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6"/>
          <w:szCs w:val="36"/>
        </w:rPr>
        <w:t xml:space="preserve">ITEA v1.2 — NOTAS DE VERSIÓN Y ANEXO DE MEJORAS</w:t>
      </w:r>
    </w:p>
    <w:p>
      <w:pPr>
        <w:spacing w:after="20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5984"/>
          <w:sz w:val="22"/>
          <w:szCs w:val="22"/>
        </w:rPr>
        <w:t xml:space="preserve">Changelog siguiendo el estándar NEWS.md de performance</w:t>
      </w:r>
    </w:p>
    <w:p>
      <w:pPr>
        <w:spacing w:after="10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Basado en: ITEA_v1_1_Robustness_Report.docx (Abril 2026)</w:t>
      </w:r>
    </w:p>
    <w:p>
      <w:pPr>
        <w:spacing w:after="40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Alberto García-Lluis Valencia — Universidad Rey Juan Carlos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Resumen Ejecutivo de Cambios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4000"/>
        <w:gridCol w:w="3406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M-01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MAJOR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GEE: Calibración empírica OLS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ρ 0.259 → 0.927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M-02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MAJOR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IRO: Desacoplamiento total de IFS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r 0.507 → 0.374 (vs IFS_v1)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M-03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MAJOR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IMO: Modelo Hurdle + cap ≤1.0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max 1.25 → 1.00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M-04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MINOR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IFS: Eliminación de CI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α 0.516 → 0.749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M-05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MINOR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ITEA/ICT: Documentación formativo vs reflexivo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α negativo explicado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M-06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MINOR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§11: Errores robustos HC3 obligatorios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BP p&lt;0.001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B-01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984"/>
                <w:sz w:val="18"/>
                <w:szCs w:val="18"/>
              </w:rPr>
              <w:t xml:space="preserve">BUGFIX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IMO max capped (Shampooers 1.25→1.00)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Anomalía lógica corregida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B-02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984"/>
                <w:sz w:val="18"/>
                <w:szCs w:val="18"/>
              </w:rPr>
              <w:t xml:space="preserve">BUGFIX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§11.1: α&gt;0.70 restringido a reflexivos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ITEA/ICT excluidos del criterio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M-01: Reformulación del GEE (Major Change)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Problema identificado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Informe de robustez, Sección 3.1: </w:t>
      </w:r>
      <w:r>
        <w:rPr>
          <w:rFonts w:ascii="Arial" w:cs="Arial" w:eastAsia="Arial" w:hAnsi="Arial"/>
          <w:sz w:val="22"/>
          <w:szCs w:val="22"/>
        </w:rPr>
        <w:t xml:space="preserve">Spearman ρ(GEE_v1, Job Zone) = 0.259. El criterio §8.3 exigía ρ &gt; 0.60. La fórmula de ratio GEE = C_RL/(C_RL + C_EXP/12) colapsa información ordinal: ocupaciones de JZ2 con experiencia larga obtienen GEE similar a ocupaciones de JZ4 con mucha educación.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Diagnóstico empírico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 evaluaron 5 alternativas sobre N=878 ocupaciones: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200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ρ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v1.1 original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C_RL/(C_RL+C_EXP)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0.259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8"/>
                <w:szCs w:val="18"/>
              </w:rPr>
              <w:t xml:space="preserve">❌ FAIL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Log-ratio (propuesta inicial)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log(1+RL)/log(1+RL+EXP)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0.461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8"/>
                <w:szCs w:val="18"/>
              </w:rPr>
              <w:t xml:space="preserve">❌ FAIL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PCA (PC1 normalizado)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PCA(RL,RW,PT,OJ)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0.497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18"/>
                <w:szCs w:val="18"/>
              </w:rPr>
              <w:t xml:space="preserve">❌ FAIL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Percentil puro (solo C_RL)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rank(C_RL)/N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0.832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✅ Calibración OLS (adoptada)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0.215·RL + 0.004·RW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0.927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✅ PASS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Solución implementada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CC2222"/>
          <w:sz w:val="22"/>
          <w:szCs w:val="22"/>
        </w:rPr>
        <w:t xml:space="preserve">Fórmula v1.1: </w:t>
      </w:r>
      <w:r>
        <w:rPr>
          <w:rFonts w:ascii="Arial" w:cs="Arial" w:eastAsia="Arial" w:hAnsi="Arial"/>
          <w:sz w:val="22"/>
          <w:szCs w:val="22"/>
        </w:rPr>
        <w:t xml:space="preserve">GEE = C_RL / (C_RL + C_RW/12 + C_PT/12 + C_OJ/12)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7A2E"/>
          <w:sz w:val="22"/>
          <w:szCs w:val="22"/>
        </w:rPr>
        <w:t xml:space="preserve">Fórmula v1.2: </w:t>
      </w:r>
      <w:r>
        <w:rPr>
          <w:rFonts w:ascii="Arial" w:cs="Arial" w:eastAsia="Arial" w:hAnsi="Arial"/>
          <w:sz w:val="22"/>
          <w:szCs w:val="22"/>
        </w:rPr>
        <w:t xml:space="preserve">GEE_v2 = normalize(0.215 · C_RL_años + 0.004 · C_RW_meses)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Los pesos provienen de una regresión OLS de Job Zone sobre los cuatro componentes SVP (R² = 0.854). C_RL domina (β=0.215 &gt;&gt; β_RW=0.004), mientras C_PT y C_OJ no son significativos. La normalización min-max garantiza GEE_v2 ∈ [0,1].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separación por Job Zone mejora drásticamente: JZ2 (M=0.244) → JZ3 (0.456) → JZ4 (0.623) → JZ5 (0.803), con solapamiento mínimo entre distribuciones.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M-02: Desacoplamiento IRO-IFS (Major Change)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Problema identificado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Informe de robustez, Sección 3.3: </w:t>
      </w:r>
      <w:r>
        <w:rPr>
          <w:rFonts w:ascii="Arial" w:cs="Arial" w:eastAsia="Arial" w:hAnsi="Arial"/>
          <w:sz w:val="22"/>
          <w:szCs w:val="22"/>
        </w:rPr>
        <w:t xml:space="preserve">Pearson r(IRO_v1, IFS) = 0.507. La dimensión CS (Complejidad Social) de IRO era idéntica al indicador IFS, generando una dependencia circular con 25.7% de varianza compartida.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Diagnóstico empírico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propuesta inicial (CS_v2 = 0.5·DHS + 0.5·CC_comm) empeora la redundancia (r=0.754 con IFS_v2) porque DHS y CC_comm son componentes de IFS_v2. El único desacoplamiento efectivo requiere eliminar toda dimensión social compartida: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CC2222"/>
          <w:sz w:val="22"/>
          <w:szCs w:val="22"/>
        </w:rPr>
        <w:t xml:space="preserve">Fórmula v1.1: </w:t>
      </w:r>
      <w:r>
        <w:rPr>
          <w:rFonts w:ascii="Arial" w:cs="Arial" w:eastAsia="Arial" w:hAnsi="Arial"/>
          <w:sz w:val="22"/>
          <w:szCs w:val="22"/>
        </w:rPr>
        <w:t xml:space="preserve">IRO = 0.30·CA + 0.30·CC + 0.25·CS(=IFS) + 0.15·SI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7A2E"/>
          <w:sz w:val="22"/>
          <w:szCs w:val="22"/>
        </w:rPr>
        <w:t xml:space="preserve">Fórmula v1.2: </w:t>
      </w:r>
      <w:r>
        <w:rPr>
          <w:rFonts w:ascii="Arial" w:cs="Arial" w:eastAsia="Arial" w:hAnsi="Arial"/>
          <w:sz w:val="22"/>
          <w:szCs w:val="22"/>
        </w:rPr>
        <w:t xml:space="preserve">IRO_v2 = 0.35·CA + 0.35·CC + 0.30·SI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Resultado y limitación conocida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r(IRO_v2, IFS_v1) = 0.374 (mejora respecto a 0.507). Sin embargo, r(IRO_v2, IFS_v2) = 0.632, porque CC (complejidad cognitiva) correlaciona estructuralmente con DHS y CC_comm (r ≈ 0.66). Este solapamiento es conceptual, no metodológico: las personas con alta complejidad cognitiva tienden a tener también altas competencias sociales en los datos O*NET.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Acción para v1.3: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Explorar análisis factorial exploratorio para determinar si IRO e IFS deben fusionarse en un único constructo de «capital humano no automatizable».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M-03: Modelo Hurdle para IMO (Major Change)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Problema identificado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Informe de robustez, Sección 4: </w:t>
      </w:r>
      <w:r>
        <w:rPr>
          <w:rFonts w:ascii="Arial" w:cs="Arial" w:eastAsia="Arial" w:hAnsi="Arial"/>
          <w:sz w:val="22"/>
          <w:szCs w:val="22"/>
        </w:rPr>
        <w:t xml:space="preserve">74.5% de ceros en IMO_creación. Ratio zero-inflation = 6.78 (observados/esperados Poisson). Valor máximo = 1.25 (Shampooers), incoherente con la lógica del índice.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Solución implementada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CC2222"/>
          <w:sz w:val="22"/>
          <w:szCs w:val="22"/>
        </w:rPr>
        <w:t xml:space="preserve">v1.1: </w:t>
      </w:r>
      <w:r>
        <w:rPr>
          <w:rFonts w:ascii="Arial" w:cs="Arial" w:eastAsia="Arial" w:hAnsi="Arial"/>
          <w:sz w:val="22"/>
          <w:szCs w:val="22"/>
        </w:rPr>
        <w:t xml:space="preserve">IMO = N_emergentes / N_principales (ratio simple)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7A2E"/>
          <w:sz w:val="22"/>
          <w:szCs w:val="22"/>
        </w:rPr>
        <w:t xml:space="preserve">v1.2: </w:t>
      </w:r>
      <w:r>
        <w:rPr>
          <w:rFonts w:ascii="Arial" w:cs="Arial" w:eastAsia="Arial" w:hAnsi="Arial"/>
          <w:sz w:val="22"/>
          <w:szCs w:val="22"/>
        </w:rPr>
        <w:t xml:space="preserve">IMO_v2 = IMO_muta × IMO_intensidad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Donde: IMO_muta = 1 si ratio_v1 &gt; 0 (la ocupación ha mutado), 0 en caso contrario. IMO_intensidad = min(1.0, log(1 + ratio_v1) / log(2)). El logaritmo amortigua valores extremos y el cap en 1.0 impide ratios &gt; 1.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Los ceros son genuinos: representan ocupaciones estables sin tareas emergentes. El modelo Hurdle reconoce explícitamente esta estructura de dos procesos (muta/no muta + intensidad condicional) en lugar de tratarla como un defecto estadístico.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M-04: Recalibración de IFS (Minor Change)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CC2222"/>
          <w:sz w:val="22"/>
          <w:szCs w:val="22"/>
        </w:rPr>
        <w:t xml:space="preserve">v1.1: </w:t>
      </w:r>
      <w:r>
        <w:rPr>
          <w:rFonts w:ascii="Arial" w:cs="Arial" w:eastAsia="Arial" w:hAnsi="Arial"/>
          <w:sz w:val="22"/>
          <w:szCs w:val="22"/>
        </w:rPr>
        <w:t xml:space="preserve">IFS = 0.35·CI + 0.20·CDE + 0.30·DHS + 0.15·CC (α = 0.516)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7A2E"/>
          <w:sz w:val="22"/>
          <w:szCs w:val="22"/>
        </w:rPr>
        <w:t xml:space="preserve">v1.2: </w:t>
      </w:r>
      <w:r>
        <w:rPr>
          <w:rFonts w:ascii="Arial" w:cs="Arial" w:eastAsia="Arial" w:hAnsi="Arial"/>
          <w:sz w:val="22"/>
          <w:szCs w:val="22"/>
        </w:rPr>
        <w:t xml:space="preserve">IFS_v2 = 0.30·CDE + 0.40·DHS + 0.30·CC_comm (α = 0.749)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eliminación de CI (Contacto Interpersonal) eleva α de 0.516 a 0.749 (Δ = +0.233). CI mide un constructo distinto (presencialidad vs competencia social) y puede tratarse como indicador independiente (IPI — Índice de Presencialidad Interpersonal) en futuras versiones.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M-05: Documentación ITEA/ICT como índices formativos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Los α negativos de ITEA (-0.327) e ICT (-0.214) no son defectos. Ambos son índices formativos (componentes → indicador), no reflexivos (constructo latente → ítems). El criterio α &gt; 0.70 del §11.1 se restringe explícitamente a indicadores reflexivos: IRO, IFS, IEF. La validez de ITEA e ICT se establece vía: VIF &lt; 5 (cumplido: 1.01–1.21), estabilidad de pesos (ρ &gt; 0.90, cumplido: 0.987+), y validez de criterio.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M-06: Errores estándar robustos HC3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test de Breusch-Pagan sobre ITEA_Estratif ~ Estrato + SOC_Major rechaza homocedasticidad (LM=33.4, p&lt;0.001). Todos los tests de significación e intervalos de confianza deben usar la matriz HC3 (MacKinnon &amp; White, 1985). Esto no afecta a los estimadores puntuales pero invalida la inferencia OLS estándar.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B-01/B-02: Bugfixes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B-01: max(IMO) capped a 1.0 (Shampooers: 1.25 → 1.00). Un ratio &gt; 1 implicaría más tareas nuevas que originales, incoherente para ocupaciones estables.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B-02: El criterio α &gt; 0.70 de §11.1 se restringe a IRO, IFS, IEF. Se añade nota explícita en §3.1 y §5.1 documentando que ITEA e ICT son formativos.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Tabla de Validación Post-Corrección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1400"/>
        <w:gridCol w:w="1200"/>
        <w:gridCol w:w="1506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GEE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Spearman ρ vs JZ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8"/>
                <w:szCs w:val="18"/>
              </w:rPr>
              <w:t xml:space="preserve">0.259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0.927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&gt;0.50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IRO-IFS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Pearson r (vs IFS_v1)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8"/>
                <w:szCs w:val="18"/>
              </w:rPr>
              <w:t xml:space="preserve">0.507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0.374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&lt;0.30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⚠️ MEJORA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IFS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Cronbach α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8"/>
                <w:szCs w:val="18"/>
              </w:rPr>
              <w:t xml:space="preserve">0.516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0.749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&gt;0.70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IMO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max ≤ 1.0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8"/>
                <w:szCs w:val="18"/>
              </w:rPr>
              <w:t xml:space="preserve">1.250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≤1.0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IMO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Modelo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Ratio simple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Hurdle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Dos partes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✅ IMPL.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ITEA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Estabilidad pesos (ρ)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0.987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0.987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&gt;0.90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✅ MANT.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IEF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Cronbach α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0.919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0.919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&gt;0.70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✅ MANT.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IRO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Cronbach α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0.798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0.842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&gt;0.70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ITEA-AEI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Pearson 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0.572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0.572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&gt;0.50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Referencia metodológica</w:t>
      </w:r>
    </w:p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Lüdecke, D., Ben-Shachar, M. S., Patil, I., Waggoner, P. &amp; Makowski, D. (2021).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performance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: An R Package for Assessment, Comparison and Testing of Statistical Models. JOSS, 6(60), 3139.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Tests ejecutados en Python (scipy 1.12, statsmodels 0.14, pingouin 0.5) replicando check_collinearity(), check_heteroscedasticity(), check_zeroinflation() y cronbach_alpha().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ITEA v1.2 — Notas de Versión</w:t>
    </w:r>
    <w:r>
      <w:rPr>
        <w:rFonts w:ascii="Arial" w:cs="Arial" w:eastAsia="Arial" w:hAnsi="Arial"/>
        <w:color w:val="888888"/>
        <w:sz w:val="16"/>
        <w:szCs w:val="16"/>
      </w:rPr>
      <w:t xml:space="preserve">	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B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2026-04-14T07:00:55.108Z</dcterms:created>
  <dcterms:modified xsi:type="dcterms:W3CDTF">2026-04-14T07:00:55.109Z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