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"/>
        </w:rPr>
        <w:t xml:space="preserve">ITEA Framework — Methodology v4.0</w:t>
      </w:r>
    </w:p>
    <w:p>
      <w:pPr>
        <w:pStyle w:val="Subtitle"/>
      </w:pPr>
      <w:r>
        <w:rPr>
          <w:lang w:val="en"/>
        </w:rPr>
        <w:t xml:space="preserve">OAXI-EU on the ISCO-08 axis and v4.1 task grading (in development)</w:t>
      </w:r>
    </w:p>
    <w:p>
      <w:pPr>
        <w:pStyle w:val="Author"/>
      </w:pPr>
      <w:r>
        <w:rPr>
          <w:lang w:val="en"/>
        </w:rPr>
        <w:t xml:space="preserve">Alberto García-Lluis Valencia</w:t>
      </w:r>
    </w:p>
    <w:p>
      <w:pPr>
        <w:pStyle w:val="Date"/>
      </w:pPr>
      <w:r>
        <w:rPr>
          <w:lang w:val="en"/>
        </w:rPr>
        <w:t xml:space="preserve">23 October 2026</w:t>
      </w:r>
    </w:p>
    <w:p>
      <w:pPr>
        <w:pStyle w:val="Heading1"/>
      </w:pPr>
      <w:bookmarkStart w:id="9" w:name="_459b17783b817f46670a99f420f46d006164fb3"/>
      <w:r>
        <w:rPr>
          <w:lang w:val="en"/>
        </w:rPr>
        <w:t xml:space="preserve">1. Scope of this document</w:t>
      </w:r>
      <w:bookmarkEnd w:id="9"/>
    </w:p>
    <w:p>
      <w:pPr>
        <w:pStyle w:val="FirstParagraph"/>
      </w:pPr>
      <w:r>
        <w:rPr>
          <w:lang w:val="en"/>
        </w:rPr>
        <w:t xml:space="preserve">This is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methodological reference for ITEA version 4.0</w:t>
      </w:r>
      <w:r>
        <w:rPr>
          <w:lang w:val="en"/>
        </w:rPr>
        <w:t xml:space="preserve">. It extends, and does not replace, the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Consolidated Methodology v3.0</w:t>
      </w:r>
      <w:r>
        <w:rPr>
          <w:lang w:val="en"/>
        </w:rPr>
        <w:t xml:space="preserve"> </w:t>
      </w:r>
      <w:r>
        <w:rPr>
          <w:lang w:val="en"/>
        </w:rPr>
        <w:t xml:space="preserve">(</w:t>
      </w:r>
      <w:r>
        <w:rPr>
          <w:rStyle w:val="VerbatimChar"/>
          <w:lang w:val="en"/>
        </w:rPr>
        <w:t xml:space="preserve">docs/ITEA_v3_0_Consolidated_Methodology.docx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Unchanged:</w:t>
      </w:r>
      <w:r>
        <w:rPr>
          <w:lang w:val="en"/>
        </w:rPr>
        <w:t xml:space="preserve"> </w:t>
      </w:r>
      <w:r>
        <w:rPr>
          <w:lang w:val="en"/>
        </w:rPr>
        <w:t xml:space="preserve">the ten v3.0 indicators on O*NET 30.2 (ITEA, IRA, ICT, IFS, IPI, IEF, GEE, IMO, OAEI and AEI) and their formulas. They are cited here only where they bear on v4.0.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n"/>
        </w:rPr>
        <w:t xml:space="preserve">Added:</w:t>
      </w:r>
    </w:p>
    <w:p>
      <w:pPr>
        <w:pStyle w:val="Compact"/>
        <w:numPr>
          <w:ilvl w:val="1"/>
          <w:numId w:val="1002"/>
        </w:numPr>
      </w:pPr>
      <w:r>
        <w:rPr>
          <w:lang w:val="en"/>
        </w:rPr>
        <w:t xml:space="preserve">the European index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OAXI-EU</w:t>
      </w:r>
      <w:r>
        <w:rPr>
          <w:lang w:val="en"/>
        </w:rPr>
        <w:t xml:space="preserve"> </w:t>
      </w:r>
      <w:r>
        <w:rPr>
          <w:lang w:val="en"/>
        </w:rPr>
        <w:t xml:space="preserve">on the ISCO-08 axis (§3);</w:t>
      </w:r>
    </w:p>
    <w:p>
      <w:pPr>
        <w:pStyle w:val="Compact"/>
        <w:numPr>
          <w:ilvl w:val="1"/>
          <w:numId w:val="1002"/>
        </w:numPr>
      </w:pPr>
      <w:r>
        <w:rPr>
          <w:lang w:val="en"/>
        </w:rPr>
        <w:t xml:space="preserve">the reproducible software architecture (§4);</w:t>
      </w:r>
    </w:p>
    <w:p>
      <w:pPr>
        <w:pStyle w:val="Compact"/>
        <w:numPr>
          <w:ilvl w:val="1"/>
          <w:numId w:val="1002"/>
        </w:numPr>
      </w:pPr>
      <w:r>
        <w:rPr>
          <w:lang w:val="en"/>
        </w:rPr>
        <w:t xml:space="preserve">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v4.1 task-grading</w:t>
      </w:r>
      <w:r>
        <w:rPr>
          <w:lang w:val="en"/>
        </w:rPr>
        <w:t xml:space="preserve"> </w:t>
      </w:r>
      <w:r>
        <w:rPr>
          <w:lang w:val="en"/>
        </w:rPr>
        <w:t xml:space="preserve">programme (§5), which will replace the index’s input.</w:t>
      </w:r>
    </w:p>
    <w:p>
      <w:pPr>
        <w:pStyle w:val="FirstParagraph"/>
      </w:pPr>
      <w:r>
        <w:rPr>
          <w:lang w:val="en"/>
        </w:rPr>
        <w:t xml:space="preserve">Everything described here is reproduced from public inputs with the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itea-framework</w:t>
      </w:r>
      <w:r>
        <w:rPr>
          <w:lang w:val="en"/>
        </w:rPr>
        <w:t xml:space="preserve"> </w:t>
      </w:r>
      <w:r>
        <w:rPr>
          <w:lang w:val="en"/>
        </w:rPr>
        <w:t xml:space="preserve">package (repository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Aval22/ITEA</w:t>
      </w:r>
      <w:r>
        <w:rPr>
          <w:lang w:val="en"/>
        </w:rPr>
        <w:t xml:space="preserve">).</w:t>
      </w:r>
    </w:p>
    <w:p>
      <w:pPr>
        <w:pStyle w:val="Heading1"/>
      </w:pPr>
      <w:bookmarkStart w:id="10" w:name="_5de99032a5514c209086725bef7574eef98feb4"/>
      <w:r>
        <w:rPr>
          <w:lang w:val="en"/>
        </w:rPr>
        <w:t xml:space="preserve">2. What ITEA measures</w:t>
      </w:r>
      <w:bookmarkEnd w:id="10"/>
    </w:p>
    <w:p>
      <w:pPr>
        <w:pStyle w:val="FirstParagraph"/>
      </w:pPr>
      <w:r>
        <w:rPr>
          <w:lang w:val="en"/>
        </w:rPr>
        <w:t xml:space="preserve">ITEA measures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algorithmic expropriability</w:t>
      </w:r>
      <w:r>
        <w:rPr>
          <w:lang w:val="en"/>
        </w:rPr>
        <w:t xml:space="preserve">: the potential for the knowledge a worker uses to become embedded in the firm’s systems. The framework separates three planes: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n"/>
        </w:rPr>
        <w:t xml:space="preserve">Exposure:</w:t>
      </w:r>
      <w:r>
        <w:rPr>
          <w:lang w:val="en"/>
        </w:rPr>
        <w:t xml:space="preserve"> </w:t>
      </w:r>
      <w:r>
        <w:rPr>
          <w:lang w:val="en"/>
        </w:rPr>
        <w:t xml:space="preserve">how much of the work AI can reach.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n"/>
        </w:rPr>
        <w:t xml:space="preserve">Expropriability:</w:t>
      </w:r>
      <w:r>
        <w:rPr>
          <w:lang w:val="en"/>
        </w:rPr>
        <w:t xml:space="preserve"> </w:t>
      </w:r>
      <w:r>
        <w:rPr>
          <w:lang w:val="en"/>
        </w:rPr>
        <w:t xml:space="preserve">the potential for capture, which requires both exposure and codifiable knowledge.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en"/>
        </w:rPr>
        <w:t xml:space="preserve">Expropriation:</w:t>
      </w:r>
      <w:r>
        <w:rPr>
          <w:lang w:val="en"/>
        </w:rPr>
        <w:t xml:space="preserve"> </w:t>
      </w:r>
      <w:r>
        <w:rPr>
          <w:lang w:val="en"/>
        </w:rPr>
        <w:t xml:space="preserve">the normative event, the worker’s loss of sovereignty over how that knowledge is exploited. It is not measured directly.</w:t>
      </w:r>
    </w:p>
    <w:p>
      <w:pPr>
        <w:pStyle w:val="FirstParagraph"/>
      </w:pPr>
      <w:r>
        <w:rPr>
          <w:lang w:val="en"/>
        </w:rPr>
        <w:t xml:space="preserve">All ITEA indices measure a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potential</w:t>
      </w:r>
      <w:r>
        <w:rPr>
          <w:lang w:val="en"/>
        </w:rPr>
        <w:t xml:space="preserve">: which occupations’ knowledge is most open to codification. They do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not</w:t>
      </w:r>
      <w:r>
        <w:rPr>
          <w:lang w:val="en"/>
        </w:rPr>
        <w:t xml:space="preserve"> </w:t>
      </w:r>
      <w:r>
        <w:rPr>
          <w:lang w:val="en"/>
        </w:rPr>
        <w:t xml:space="preserve">measure realised automation or realised transfers of value.</w:t>
      </w:r>
    </w:p>
    <w:p>
      <w:pPr>
        <w:pStyle w:val="Heading1"/>
      </w:pPr>
      <w:bookmarkStart w:id="11" w:name="_97351a55f33121a228cd8c2dec53d3476b5e570"/>
      <w:r>
        <w:rPr>
          <w:lang w:val="en"/>
        </w:rPr>
        <w:t xml:space="preserve">3. OAXI-EU: the European expropriability index</w:t>
      </w:r>
      <w:bookmarkEnd w:id="11"/>
    </w:p>
    <w:p>
      <w:pPr>
        <w:pStyle w:val="Heading2"/>
      </w:pPr>
      <w:bookmarkStart w:id="12" w:name="_inputs"/>
      <w:r>
        <w:rPr>
          <w:lang w:val="en"/>
        </w:rPr>
        <w:t xml:space="preserve">3.1 Inputs</w:t>
      </w:r>
      <w:bookmarkEnd w:id="12"/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Task grades (AXI, legacy).</w:t>
      </w:r>
      <w:r>
        <w:rPr>
          <w:lang w:val="en"/>
        </w:rPr>
        <w:t xml:space="preserve"> </w:t>
      </w:r>
      <w:r>
        <w:rPr>
          <w:lang w:val="en"/>
        </w:rPr>
        <w:t xml:space="preserve">47,810 O*NET 29.1 task statements graded on four ordinal scales: automation, codifiability (</w:t>
      </w:r>
      <w:r>
        <w:rPr>
          <w:rStyle w:val="VerbatimChar"/>
          <w:lang w:val="en"/>
        </w:rPr>
        <w:t xml:space="preserve">CI_Grade</w:t>
      </w:r>
      <w:r>
        <w:rPr>
          <w:lang w:val="en"/>
        </w:rPr>
        <w:t xml:space="preserve">), generative-AI impact and agentic-AI impact. They come from an analysis of the technical specifications of business software and hardware vendors, applied by technology pattern. They are documented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src/itea/data/README_AXI.md</w:t>
      </w:r>
      <w:r>
        <w:rPr>
          <w:lang w:val="en"/>
        </w:rPr>
        <w:t xml:space="preserve">. Their agreement with independent coders is moderate for codifiability (α = 0.50) and insufficient for automation (α = 0.35). They are replaced in v4.1 (§5).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O*NET 30.2:</w:t>
      </w:r>
      <w:r>
        <w:rPr>
          <w:lang w:val="en"/>
        </w:rPr>
        <w:t xml:space="preserve"> </w:t>
      </w:r>
      <w:r>
        <w:rPr>
          <w:lang w:val="en"/>
        </w:rPr>
        <w:t xml:space="preserve">tasks and task-to-Detailed-Work-Activity (DWA) links.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en"/>
        </w:rPr>
        <w:t xml:space="preserve">Official BLS crosswalks:</w:t>
      </w:r>
      <w:r>
        <w:rPr>
          <w:lang w:val="en"/>
        </w:rPr>
        <w:t xml:space="preserve"> </w:t>
      </w:r>
      <w:r>
        <w:rPr>
          <w:lang w:val="en"/>
        </w:rPr>
        <w:t xml:space="preserve">SOC 2018 → SOC 2010 and SOC 2010 → ISCO-08.</w:t>
      </w:r>
    </w:p>
    <w:p>
      <w:pPr>
        <w:pStyle w:val="Heading2"/>
      </w:pPr>
      <w:bookmarkStart w:id="13" w:name="_aggregation"/>
      <w:r>
        <w:rPr>
          <w:lang w:val="en"/>
        </w:rPr>
        <w:t xml:space="preserve">3.2 Aggregation</w:t>
      </w:r>
      <w:bookmarkEnd w:id="13"/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"/>
        </w:rPr>
        <w:t xml:space="preserve">Task to activity.</w:t>
      </w:r>
      <w:r>
        <w:rPr>
          <w:lang w:val="en"/>
        </w:rPr>
        <w:t xml:space="preserve"> </w:t>
      </w:r>
      <w:r>
        <w:rPr>
          <w:lang w:val="en"/>
        </w:rPr>
        <w:t xml:space="preserve">Each AXI statement is matched to its O*NET 30.2 task by normalised text within the occupation. 23,890 of the 47,810 tasks match, because O*NET rewrote many statements between releases. Each DWA receives the share of its tasks with a high grade.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"/>
        </w:rPr>
        <w:t xml:space="preserve">Activity to occupation.</w:t>
      </w:r>
      <w:r>
        <w:rPr>
          <w:lang w:val="en"/>
        </w:rPr>
        <w:t xml:space="preserve"> </w:t>
      </w:r>
      <w:r>
        <w:rPr>
          <w:lang w:val="en"/>
        </w:rPr>
        <w:t xml:space="preserve">Each of the 923 O*NET-SOC occupations receives the mean over the activities it performs, so occupations without matched tasks are still covered.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en"/>
        </w:rPr>
        <w:t xml:space="preserve">Occupation to ISCO-08.</w:t>
      </w:r>
      <w:r>
        <w:rPr>
          <w:lang w:val="en"/>
        </w:rPr>
        <w:t xml:space="preserve"> </w:t>
      </w:r>
      <w:r>
        <w:rPr>
          <w:lang w:val="en"/>
        </w:rPr>
        <w:t xml:space="preserve">The official SOC 2018 → SOC 2010 → ISCO-08 chain is many-to-many. It is split with equal weights, with employment weights as an option. Result: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428 ISCO-08 unit groups</w:t>
      </w:r>
      <w:r>
        <w:rPr>
          <w:lang w:val="en"/>
        </w:rPr>
        <w:t xml:space="preserve">.</w:t>
      </w:r>
    </w:p>
    <w:p>
      <w:pPr>
        <w:pStyle w:val="Heading2"/>
      </w:pPr>
      <w:bookmarkStart w:id="14" w:name="_index"/>
      <w:r>
        <w:rPr>
          <w:lang w:val="en"/>
        </w:rPr>
        <w:t xml:space="preserve">3.3 Index</w:t>
      </w:r>
      <w:bookmarkEnd w:id="14"/>
    </w:p>
    <w:p>
      <w:pPr>
        <w:pStyle w:val="FirstParagraph"/>
      </w:pPr>
      <w:r>
        <w:rPr>
          <w:lang w:val="en"/>
        </w:rPr>
        <w:t xml:space="preserve">For each ISCO group: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n"/>
        </w:rPr>
        <w:t xml:space="preserve">E</w:t>
      </w:r>
      <w:r>
        <w:rPr>
          <w:lang w:val="en"/>
        </w:rPr>
        <w:t xml:space="preserve"> </w:t>
      </w:r>
      <w:r>
        <w:rPr>
          <w:lang w:val="en"/>
        </w:rPr>
        <w:t xml:space="preserve">is the share of activities with high generative-AI impact.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en"/>
        </w:rPr>
        <w:t xml:space="preserve">K</w:t>
      </w:r>
      <w:r>
        <w:rPr>
          <w:lang w:val="en"/>
        </w:rPr>
        <w:t xml:space="preserve"> </w:t>
      </w:r>
      <w:r>
        <w:rPr>
          <w:lang w:val="en"/>
        </w:rPr>
        <w:t xml:space="preserve">is the share of activities with algorithmically codifiable knowledge (</w:t>
      </w:r>
      <w:r>
        <w:rPr>
          <w:rStyle w:val="VerbatimChar"/>
          <w:lang w:val="en"/>
        </w:rPr>
        <w:t xml:space="preserve">CI_Grade = HIGH_ALGO</w:t>
      </w:r>
      <w:r>
        <w:rPr>
          <w:lang w:val="en"/>
        </w:rP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lang w:val="en"/>
        </w:rPr>
        <w:t xml:space="preserve">Both are min–max normalised.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core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κ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K</m:t>
              </m:r>
            </m:e>
            <m:sup>
              <m:r>
                <m:t> </m:t>
              </m:r>
              <m:r>
                <m:t>κ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OAXI-EU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99</m:t>
          </m:r>
          <m:r>
            <m:rPr>
              <m:sty m:val="p"/>
            </m:rPr>
            <m:t>⋅</m:t>
          </m:r>
          <m:r>
            <m:rPr>
              <m:nor/>
            </m:rPr>
            <m:t>minmax</m:t>
          </m:r>
          <m:r>
            <m:rPr>
              <m:sty m:val="p"/>
            </m:rPr>
            <m:t>(</m:t>
          </m:r>
          <m:r>
            <m:rPr>
              <m:nor/>
            </m:rPr>
            <m:t>core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  <w:lang w:val="en"/>
        </w:rPr>
        <w:t xml:space="preserve">Why a geometric form:</w:t>
      </w:r>
      <w:r>
        <w:rPr>
          <w:lang w:val="en"/>
        </w:rPr>
        <w:t xml:space="preserve"> </w:t>
      </w:r>
      <w:r>
        <w:rPr>
          <w:lang w:val="en"/>
        </w:rPr>
        <w:t xml:space="preserve">expropriability requires both exposure and codifiability, so an occupation lacking either cannot score high.</w:t>
      </w:r>
    </w:p>
    <w:p>
      <w:pPr>
        <w:pStyle w:val="BodyText"/>
      </w:pPr>
      <w:r>
        <w:rPr>
          <w:b/>
          <w:bCs/>
          <w:lang w:val="en"/>
        </w:rPr>
        <w:t xml:space="preserve">Choice of κ: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0.40</w:t>
      </w:r>
      <w:r>
        <w:rPr>
          <w:lang w:val="en"/>
        </w:rPr>
        <w:t xml:space="preserve">, the value that maximises convergence with an independent external index. The optimum is flat between 0.3 and 0.4, and the calibration table is reproduced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itea.kappa_grid</w:t>
      </w:r>
      <w:r>
        <w:rPr>
          <w:lang w:val="en"/>
        </w:rPr>
        <w:t xml:space="preserve">.</w:t>
      </w:r>
    </w:p>
    <w:p>
      <w:pPr>
        <w:pStyle w:val="Heading2"/>
      </w:pPr>
      <w:bookmarkStart w:id="15" w:name="_validation"/>
      <w:r>
        <w:rPr>
          <w:lang w:val="en"/>
        </w:rPr>
        <w:t xml:space="preserve">3.4 Validation</w:t>
      </w:r>
      <w:bookmarkEnd w:id="15"/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"/>
        </w:rPr>
        <w:t xml:space="preserve">Convergence with the JRC AI-exposure index</w:t>
      </w:r>
      <w:r>
        <w:rPr>
          <w:lang w:val="en"/>
        </w:rPr>
        <w:t xml:space="preserve"> </w:t>
      </w:r>
      <w:r>
        <w:rPr>
          <w:lang w:val="en"/>
        </w:rPr>
        <w:t xml:space="preserve">(JRC145832; Casas et al., 2026, Table M.1, CC BY 4.0) at ISCO 3-digit level: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Pearson 0.736, Spearman 0.819</w:t>
      </w:r>
      <w:r>
        <w:rPr>
          <w:lang w:val="en"/>
        </w:rPr>
        <w:t xml:space="preserve"> </w:t>
      </w:r>
      <w:r>
        <w:rPr>
          <w:lang w:val="en"/>
        </w:rPr>
        <w:t xml:space="preserve">over 127 groups. It is reproduced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itea validate</w:t>
      </w:r>
      <w:r>
        <w:rPr>
          <w:lang w:val="en"/>
        </w:rPr>
        <w:t xml:space="preserve"> </w:t>
      </w:r>
      <w:r>
        <w:rPr>
          <w:lang w:val="en"/>
        </w:rPr>
        <w:t xml:space="preserve">and by the tests.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en"/>
        </w:rPr>
        <w:t xml:space="preserve">Caveat:</w:t>
      </w:r>
      <w:r>
        <w:rPr>
          <w:lang w:val="en"/>
        </w:rPr>
        <w:t xml:space="preserve"> </w:t>
      </w:r>
      <w:r>
        <w:rPr>
          <w:lang w:val="en"/>
        </w:rPr>
        <w:t xml:space="preserve">the JRC index is ability-based. It is independent of the AXI grades, but not of the v4.1 structural layer, which also uses abilities (§5). It is therefore not used to validate K in v4.1.</w:t>
      </w:r>
    </w:p>
    <w:p>
      <w:pPr>
        <w:pStyle w:val="Heading2"/>
      </w:pPr>
      <w:bookmarkStart w:id="16" w:name="_c9db6256d0a868868c9a551a0c97c3f9269ea08"/>
      <w:r>
        <w:rPr>
          <w:lang w:val="en"/>
        </w:rPr>
        <w:t xml:space="preserve">3.5 Changes from the beta</w:t>
      </w:r>
      <w:bookmarkEnd w:id="16"/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Crosswalk.</w:t>
      </w:r>
      <w:r>
        <w:rPr>
          <w:lang w:val="en"/>
        </w:rPr>
        <w:t xml:space="preserve"> </w:t>
      </w:r>
      <w:r>
        <w:rPr>
          <w:lang w:val="en"/>
        </w:rPr>
        <w:t xml:space="preserve">The one-to-one mapping typed into a wage spreadsheet misassigned some occupations and left 48 professional ISCO groups without data. It is replaced by the official BLS tables.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en"/>
        </w:rPr>
        <w:t xml:space="preserve">Coverage.</w:t>
      </w:r>
      <w:r>
        <w:rPr>
          <w:lang w:val="en"/>
        </w:rPr>
        <w:t xml:space="preserve"> </w:t>
      </w:r>
      <w:r>
        <w:rPr>
          <w:lang w:val="en"/>
        </w:rPr>
        <w:t xml:space="preserve">The beta restricted the index to the 784 occupations with employment data. All 923 occupations are now used, reaching 428 ISCO groups (previously 237).</w:t>
      </w:r>
    </w:p>
    <w:p>
      <w:pPr>
        <w:pStyle w:val="Heading1"/>
      </w:pPr>
      <w:bookmarkStart w:id="17" w:name="_3220b5af4475dc477cb3ad79a02de45b22fb29f"/>
      <w:r>
        <w:rPr>
          <w:lang w:val="en"/>
        </w:rPr>
        <w:t xml:space="preserve">4. Software and reproducibility</w:t>
      </w:r>
      <w:bookmarkEnd w:id="1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itea fetch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Downloads O*NET 30.2 and the BLS crosswalks and verifies their SHA-256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itea build-eu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Builds OAXI-EU and records input and output hashes (</w:t>
            </w:r>
            <w:r>
              <w:rPr>
                <w:rStyle w:val="VerbatimChar"/>
                <w:lang w:val="en"/>
              </w:rPr>
              <w:t xml:space="preserve">oaxi_eu.meta.json</w:t>
            </w:r>
            <w:r>
              <w:rPr>
                <w:lang w:val="en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itea validate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Computes convergence with the packaged JRC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itea.rollup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Carries any task-level score, keyed by O*NET Task ID, to activities, occupations and ISCO-08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itea.v3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v3.0 indicators. CI checks that they reproduce the R reference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en"/>
              </w:rPr>
              <w:t xml:space="preserve">itea.grading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v4.1 task grading (§5)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  <w:lang w:val="en"/>
        </w:rPr>
        <w:t xml:space="preserve">Testing:</w:t>
      </w:r>
      <w:r>
        <w:rPr>
          <w:lang w:val="en"/>
        </w:rPr>
        <w:t xml:space="preserve"> </w:t>
      </w:r>
      <w:r>
        <w:rPr>
          <w:lang w:val="en"/>
        </w:rPr>
        <w:t xml:space="preserve">continuous integration runs the tests on Python 3.10, 3.12 and 3.13, installs the package cleanly from its wheel, and checks R–Python parity.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n"/>
        </w:rPr>
        <w:t xml:space="preserve">Reference outputs:</w:t>
      </w:r>
      <w:r>
        <w:rPr>
          <w:lang w:val="en"/>
        </w:rPr>
        <w:t xml:space="preserve"> </w:t>
      </w:r>
      <w:r>
        <w:rPr>
          <w:lang w:val="en"/>
        </w:rPr>
        <w:t xml:space="preserve">the CSV files in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v4.0/outputs/</w:t>
      </w:r>
      <w:r>
        <w:rPr>
          <w:lang w:val="en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lang w:val="en"/>
        </w:rPr>
        <w:t xml:space="preserve">Excel workbook: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data/processed/ITEA_v4_0_Workbook.xlsx</w:t>
      </w:r>
      <w:r>
        <w:rPr>
          <w:lang w:val="en"/>
        </w:rPr>
        <w:t xml:space="preserve"> </w:t>
      </w:r>
      <w:r>
        <w:rPr>
          <w:lang w:val="en"/>
        </w:rPr>
        <w:t xml:space="preserve">is a reading copy of those outputs, generated by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scripts/build_workbook_v4.py</w:t>
      </w:r>
      <w:r>
        <w:rPr>
          <w:lang w:val="en"/>
        </w:rPr>
        <w:t xml:space="preserve">.</w:t>
      </w:r>
    </w:p>
    <w:p>
      <w:pPr>
        <w:pStyle w:val="Heading1"/>
      </w:pPr>
      <w:bookmarkStart w:id="18" w:name="_35d08c303f48e1401691013c8dbf76ecf1c458f"/>
      <w:r>
        <w:rPr>
          <w:lang w:val="en"/>
        </w:rPr>
        <w:t xml:space="preserve">5. v4.1 task grading (in development)</w:t>
      </w:r>
      <w:bookmarkEnd w:id="18"/>
    </w:p>
    <w:p>
      <w:pPr>
        <w:pStyle w:val="Heading2"/>
      </w:pPr>
      <w:bookmarkStart w:id="19" w:name="_1d2f8fa7fbcb1aa9d2ecb1a698f225d832df19e"/>
      <w:r>
        <w:rPr>
          <w:lang w:val="en"/>
        </w:rPr>
        <w:t xml:space="preserve">5.1 Why the grading is rebuilt</w:t>
      </w:r>
      <w:bookmarkEnd w:id="19"/>
    </w:p>
    <w:p>
      <w:pPr>
        <w:pStyle w:val="FirstParagraph"/>
      </w:pPr>
      <w:r>
        <w:rPr>
          <w:lang w:val="en"/>
        </w:rPr>
        <w:t xml:space="preserve">The AXI grades lack a reproducible task-by-task procedure, take few distinct values and have low reliability on automation. v4.1 replaces them with an automated, documented grading of the</w:t>
      </w:r>
      <w:r>
        <w:rPr>
          <w:lang w:val="en"/>
        </w:rPr>
        <w:t xml:space="preserve"> </w:t>
      </w:r>
      <w:r>
        <w:rPr>
          <w:b/>
          <w:bCs/>
          <w:lang w:val="en"/>
        </w:rPr>
        <w:t xml:space="preserve">18,796 O*NET 30.2 tasks</w:t>
      </w:r>
      <w:r>
        <w:rPr>
          <w:lang w:val="en"/>
        </w:rPr>
        <w:t xml:space="preserve">, on these principles: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"/>
        </w:rPr>
        <w:t xml:space="preserve">Construction uses official sources only:</w:t>
      </w:r>
      <w:r>
        <w:rPr>
          <w:lang w:val="en"/>
        </w:rPr>
        <w:t xml:space="preserve"> </w:t>
      </w:r>
      <w:r>
        <w:rPr>
          <w:lang w:val="en"/>
        </w:rPr>
        <w:t xml:space="preserve">the O*NET linkage tables and ESCO.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"/>
        </w:rPr>
        <w:t xml:space="preserve">Validation uses independent references</w:t>
      </w:r>
      <w:r>
        <w:rPr>
          <w:lang w:val="en"/>
        </w:rPr>
        <w:t xml:space="preserve"> </w:t>
      </w:r>
      <w:r>
        <w:rPr>
          <w:lang w:val="en"/>
        </w:rPr>
        <w:t xml:space="preserve">that are never used for construction.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"/>
        </w:rPr>
        <w:t xml:space="preserve">Hypotheses are registered before each run.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  <w:lang w:val="en"/>
        </w:rPr>
        <w:t xml:space="preserve">No grade is trained on AXI.</w:t>
      </w:r>
    </w:p>
    <w:p>
      <w:pPr>
        <w:pStyle w:val="Heading2"/>
      </w:pPr>
      <w:bookmarkStart w:id="20" w:name="_2c6a5a73b42dffee021b92cb1ff86b4fa0b886c"/>
      <w:r>
        <w:rPr>
          <w:lang w:val="en"/>
        </w:rPr>
        <w:t xml:space="preserve">5.2 Six components</w:t>
      </w:r>
      <w:bookmarkEnd w:id="2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"/>
              </w:rP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Question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K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(codifiability)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Can the task’s knowledge be expressed as rules or learned from records?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E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(generative-AI exposure)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Can generative AI produce the main output or cut its time substantially?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T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(technology mediation)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Is there vendor-documented technology that supports or automates the task?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Task × 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U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(effective utilisation)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How much of that technology is adopted and used?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Sector × country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S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(certifiable competence)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Is there a certification that attests the competence?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Task × 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en"/>
              </w:rPr>
              <w:t xml:space="preserve">C</w:t>
            </w:r>
            <w:r>
              <w:rPr>
                <w:lang w:val="en"/>
              </w:rPr>
              <w:t xml:space="preserve"> </w:t>
            </w:r>
            <w:r>
              <w:rPr>
                <w:lang w:val="en"/>
              </w:rPr>
              <w:t xml:space="preserve">(economic feasibility)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Does it pay off?</w:t>
            </w:r>
          </w:p>
        </w:tc>
        <w:tc>
          <w:tcPr/>
          <w:p>
            <w:pPr>
              <w:pStyle w:val="Compact"/>
            </w:pPr>
            <w:r>
              <w:rPr>
                <w:lang w:val="en"/>
              </w:rPr>
              <w:t xml:space="preserve">Occupation × country</w:t>
            </w:r>
          </w:p>
        </w:tc>
      </w:tr>
    </w:tbl>
    <w:p>
      <w:pPr>
        <w:pStyle w:val="Heading2"/>
      </w:pPr>
      <w:bookmarkStart w:id="21" w:name="_e6ed6ff631295f887df0a5dd2fd5d3aee332f83"/>
      <w:r>
        <w:rPr>
          <w:lang w:val="en"/>
        </w:rPr>
        <w:t xml:space="preserve">5.3 Status and results</w:t>
      </w:r>
      <w:bookmarkEnd w:id="21"/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Layer 1 (structural), done.</w:t>
      </w:r>
    </w:p>
    <w:p>
      <w:pPr>
        <w:pStyle w:val="Compact"/>
        <w:numPr>
          <w:ilvl w:val="1"/>
          <w:numId w:val="1012"/>
        </w:numPr>
      </w:pPr>
      <w:r>
        <w:rPr>
          <w:lang w:val="en"/>
        </w:rPr>
        <w:t xml:space="preserve">Construction: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K_GWA = cognitive share × (1 − social share)</w:t>
      </w:r>
      <w:r>
        <w:rPr>
          <w:lang w:val="en"/>
        </w:rPr>
        <w:t xml:space="preserve"> </w:t>
      </w:r>
      <w:r>
        <w:rPr>
          <w:lang w:val="en"/>
        </w:rPr>
        <w:t xml:space="preserve">and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E_GWA</w:t>
      </w:r>
      <w:r>
        <w:rPr>
          <w:lang w:val="en"/>
        </w:rPr>
        <w:t xml:space="preserve"> </w:t>
      </w:r>
      <w:r>
        <w:rPr>
          <w:lang w:val="en"/>
        </w:rPr>
        <w:t xml:space="preserve">= share of verbal, reasoning and quantitative abilities, both from the O*NET Abilities and Skills to Work Activities tables, and propagated to each task through its DWAs.</w:t>
      </w:r>
    </w:p>
    <w:p>
      <w:pPr>
        <w:pStyle w:val="Compact"/>
        <w:numPr>
          <w:ilvl w:val="1"/>
          <w:numId w:val="1012"/>
        </w:numPr>
      </w:pPr>
      <w:r>
        <w:rPr>
          <w:lang w:val="en"/>
        </w:rPr>
        <w:t xml:space="preserve">Validation: E converges with the Eloundou et al. (2024) human labels (ρ = 0.40), and K with non-routine analytical work (ρ = 0.67, and 0.28 within Job Zone).</w:t>
      </w:r>
    </w:p>
    <w:p>
      <w:pPr>
        <w:pStyle w:val="Compact"/>
        <w:numPr>
          <w:ilvl w:val="1"/>
          <w:numId w:val="1012"/>
        </w:numPr>
      </w:pPr>
      <w:r>
        <w:rPr>
          <w:lang w:val="en"/>
        </w:rPr>
        <w:t xml:space="preserve">K predicts human-rated exposure net of skill level (partial ρ = 0.40).</w:t>
      </w:r>
    </w:p>
    <w:p>
      <w:pPr>
        <w:pStyle w:val="Compact"/>
        <w:numPr>
          <w:ilvl w:val="1"/>
          <w:numId w:val="1012"/>
        </w:numPr>
      </w:pPr>
      <w:r>
        <w:rPr>
          <w:lang w:val="en"/>
        </w:rPr>
        <w:t xml:space="preserve">Hypotheses that failed: routine cognitive content runs the other way, also in non-manual occupations, and is dropped as a reference; the correlation with Job Zone (0.70) was borderline.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Layer U, done:</w:t>
      </w:r>
      <w:r>
        <w:rPr>
          <w:lang w:val="en"/>
        </w:rPr>
        <w:t xml:space="preserve"> </w:t>
      </w:r>
      <w:r>
        <w:rPr>
          <w:lang w:val="en"/>
        </w:rPr>
        <w:t xml:space="preserve">adoption of ERP, CRM, business intelligence and AI by country and NACE sector (Eurostat; 35 territories × 13 sectors). Usage depth is a declared assumption: 0.10, 0.27 or 0.35. These tables do not cover the financial sector.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Layer T, inventory done:</w:t>
      </w:r>
      <w:r>
        <w:rPr>
          <w:lang w:val="en"/>
        </w:rPr>
        <w:t xml:space="preserve"> </w:t>
      </w:r>
      <w:r>
        <w:rPr>
          <w:lang w:val="en"/>
        </w:rPr>
        <w:t xml:space="preserve">8,785 software products by occupation (O*NET Technology Skills). The pilot will be in finance and consulting.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Layer 2 (semantic), done:</w:t>
      </w:r>
      <w:r>
        <w:rPr>
          <w:lang w:val="en"/>
        </w:rPr>
        <w:t xml:space="preserve"> </w:t>
      </w:r>
      <w:r>
        <w:rPr>
          <w:lang w:val="en"/>
        </w:rPr>
        <w:t xml:space="preserve">each task is linked to its 5 nearest ESCO concepts with sentence embeddings (all-mpnet-base-v2, run locally). 68 % of the variance of K2 lies within activities (5 % for K1), and K2 is less tied to skill level (ρ = 0.49 with Job Zone).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Layer 3 (NLI anchors), negative result:</w:t>
      </w:r>
      <w:r>
        <w:rPr>
          <w:lang w:val="en"/>
        </w:rPr>
        <w:t xml:space="preserve"> </w:t>
      </w:r>
      <w:r>
        <w:rPr>
          <w:lang w:val="en"/>
        </w:rPr>
        <w:t xml:space="preserve">it fails its four hypotheses and is not used.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OAXI-EU v4.1, built:</w:t>
      </w:r>
    </w:p>
    <w:p>
      <w:pPr>
        <w:pStyle w:val="Compact"/>
        <w:numPr>
          <w:ilvl w:val="1"/>
          <w:numId w:val="1013"/>
        </w:numPr>
      </w:pPr>
      <w:r>
        <w:rPr>
          <w:lang w:val="en"/>
        </w:rPr>
        <w:t xml:space="preserve">components: K = K1 + K2 and E = E1 + E2;</w:t>
      </w:r>
    </w:p>
    <w:p>
      <w:pPr>
        <w:pStyle w:val="Compact"/>
        <w:numPr>
          <w:ilvl w:val="1"/>
          <w:numId w:val="1013"/>
        </w:numPr>
      </w:pPr>
      <w:r>
        <w:rPr>
          <w:lang w:val="en"/>
        </w:rPr>
        <w:t xml:space="preserve">uncertainty: a 1,000-draw Monte Carlo with a 5–95 % band per group (median: 66 of 428 places);</w:t>
      </w:r>
    </w:p>
    <w:p>
      <w:pPr>
        <w:pStyle w:val="Compact"/>
        <w:numPr>
          <w:ilvl w:val="1"/>
          <w:numId w:val="1013"/>
        </w:numPr>
      </w:pPr>
      <w:r>
        <w:rPr>
          <w:lang w:val="en"/>
        </w:rPr>
        <w:t xml:space="preserve">validation: final E vs Eloundou ρ = 0.45, and final K vs analytical work within Job Zone 0.26;</w:t>
      </w:r>
    </w:p>
    <w:p>
      <w:pPr>
        <w:pStyle w:val="Compact"/>
        <w:numPr>
          <w:ilvl w:val="1"/>
          <w:numId w:val="1013"/>
        </w:numPr>
      </w:pPr>
      <w:r>
        <w:rPr>
          <w:lang w:val="en"/>
        </w:rPr>
        <w:t xml:space="preserve">against the v4.0 index: Spearman 0.80. The largest uncertainty comes from E, whose two sources agree weakly.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  <w:lang w:val="en"/>
        </w:rPr>
        <w:t xml:space="preserve">Pending:</w:t>
      </w:r>
      <w:r>
        <w:rPr>
          <w:lang w:val="en"/>
        </w:rPr>
        <w:t xml:space="preserve"> </w:t>
      </w:r>
      <w:r>
        <w:rPr>
          <w:lang w:val="en"/>
        </w:rPr>
        <w:t xml:space="preserve">layers T, S and C.</w:t>
      </w:r>
    </w:p>
    <w:p>
      <w:pPr>
        <w:pStyle w:val="FirstParagraph"/>
      </w:pPr>
      <w:r>
        <w:rPr>
          <w:b/>
          <w:bCs/>
          <w:lang w:val="en"/>
        </w:rPr>
        <w:t xml:space="preserve">Full detail:</w:t>
      </w:r>
      <w:r>
        <w:rPr>
          <w:lang w:val="en"/>
        </w:rPr>
        <w:t xml:space="preserve"> </w:t>
      </w:r>
      <w:r>
        <w:rPr>
          <w:rStyle w:val="VerbatimChar"/>
          <w:lang w:val="en"/>
        </w:rPr>
        <w:t xml:space="preserve">docs/grading/</w:t>
      </w:r>
      <w:r>
        <w:rPr>
          <w:lang w:val="en"/>
        </w:rPr>
        <w:t xml:space="preserve"> </w:t>
      </w:r>
      <w:r>
        <w:rPr>
          <w:lang w:val="en"/>
        </w:rPr>
        <w:t xml:space="preserve">(methodology, decision log, hypotheses and results).</w:t>
      </w:r>
    </w:p>
    <w:p>
      <w:pPr>
        <w:pStyle w:val="Heading1"/>
      </w:pPr>
      <w:bookmarkStart w:id="22" w:name="_limitations"/>
      <w:r>
        <w:rPr>
          <w:lang w:val="en"/>
        </w:rPr>
        <w:t xml:space="preserve">6. Limitations</w:t>
      </w:r>
      <w:bookmarkEnd w:id="22"/>
    </w:p>
    <w:p>
      <w:pPr>
        <w:pStyle w:val="Compact"/>
        <w:numPr>
          <w:ilvl w:val="0"/>
          <w:numId w:val="1014"/>
        </w:numPr>
      </w:pPr>
      <w:r>
        <w:rPr>
          <w:b/>
          <w:bCs/>
          <w:lang w:val="en"/>
        </w:rPr>
        <w:t xml:space="preserve">OAXI-EU v4.0 inherits the limitations of the AXI grades</w:t>
      </w:r>
      <w:r>
        <w:rPr>
          <w:lang w:val="en"/>
        </w:rPr>
        <w:t xml:space="preserve"> </w:t>
      </w:r>
      <w:r>
        <w:rPr>
          <w:lang w:val="en"/>
        </w:rPr>
        <w:t xml:space="preserve">(§3.1). Its results should be read as provisional until the v4.1 rebuild.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n"/>
        </w:rPr>
        <w:t xml:space="preserve">Task loss across releases.</w:t>
      </w:r>
      <w:r>
        <w:rPr>
          <w:lang w:val="en"/>
        </w:rPr>
        <w:t xml:space="preserve"> </w:t>
      </w:r>
      <w:r>
        <w:rPr>
          <w:lang w:val="en"/>
        </w:rPr>
        <w:t xml:space="preserve">Only half of the AXI statements match O*NET 30.2. Aggregation through activities covers every occupation, but with fewer tasks of its own.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n"/>
        </w:rPr>
        <w:t xml:space="preserve">Equal crosswalk weights.</w:t>
      </w:r>
      <w:r>
        <w:rPr>
          <w:lang w:val="en"/>
        </w:rPr>
        <w:t xml:space="preserve"> </w:t>
      </w:r>
      <w:r>
        <w:rPr>
          <w:lang w:val="en"/>
        </w:rPr>
        <w:t xml:space="preserve">Employment weights are available as an option.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n"/>
        </w:rPr>
        <w:t xml:space="preserve">The JRC index is not an independent criterion for K</w:t>
      </w:r>
      <w:r>
        <w:rPr>
          <w:lang w:val="en"/>
        </w:rPr>
        <w:t xml:space="preserve"> </w:t>
      </w:r>
      <w:r>
        <w:rPr>
          <w:lang w:val="en"/>
        </w:rPr>
        <w:t xml:space="preserve">in v4.1 (§3.4).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lang w:val="en"/>
        </w:rPr>
        <w:t xml:space="preserve">All indices measure a potential,</w:t>
      </w:r>
      <w:r>
        <w:rPr>
          <w:lang w:val="en"/>
        </w:rPr>
        <w:t xml:space="preserve"> </w:t>
      </w:r>
      <w:r>
        <w:rPr>
          <w:lang w:val="en"/>
        </w:rPr>
        <w:t xml:space="preserve">not realised outcomes.</w:t>
      </w:r>
    </w:p>
    <w:p>
      <w:pPr>
        <w:pStyle w:val="Heading1"/>
      </w:pPr>
      <w:bookmarkStart w:id="23" w:name="_references"/>
      <w:r>
        <w:rPr>
          <w:lang w:val="en"/>
        </w:rPr>
        <w:t xml:space="preserve">References</w:t>
      </w:r>
      <w:bookmarkEnd w:id="23"/>
    </w:p>
    <w:p>
      <w:pPr>
        <w:pStyle w:val="Compact"/>
        <w:numPr>
          <w:ilvl w:val="0"/>
          <w:numId w:val="1015"/>
        </w:numPr>
      </w:pPr>
      <w:r>
        <w:rPr>
          <w:lang w:val="en"/>
        </w:rPr>
        <w:t xml:space="preserve">Acemoglu, D., &amp; Autor, D. (2011). Skills, tasks and technologies: Implications for employment and earnings.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Handbook of Labor Economics</w:t>
      </w:r>
      <w:r>
        <w:rPr>
          <w:lang w:val="en"/>
        </w:rPr>
        <w:t xml:space="preserve">, 4B, 1043–1171.</w:t>
      </w:r>
    </w:p>
    <w:p>
      <w:pPr>
        <w:pStyle w:val="Compact"/>
        <w:numPr>
          <w:ilvl w:val="0"/>
          <w:numId w:val="1015"/>
        </w:numPr>
      </w:pPr>
      <w:r>
        <w:rPr>
          <w:lang w:val="en"/>
        </w:rPr>
        <w:t xml:space="preserve">Casas, P., Fernández-Macías, E., Martínez-Plumed, F., Gómez, E., González-Vázquez, I., &amp; Salotti, S. (2026).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Revisiting the occupational impact of AI in the generative AI era</w:t>
      </w:r>
      <w:r>
        <w:rPr>
          <w:lang w:val="en"/>
        </w:rPr>
        <w:t xml:space="preserve">. JRC145832, European Commission.</w:t>
      </w:r>
    </w:p>
    <w:p>
      <w:pPr>
        <w:pStyle w:val="Compact"/>
        <w:numPr>
          <w:ilvl w:val="0"/>
          <w:numId w:val="1015"/>
        </w:numPr>
      </w:pPr>
      <w:r>
        <w:rPr>
          <w:lang w:val="en"/>
        </w:rPr>
        <w:t xml:space="preserve">Eloundou, T., Manning, S., Mishkin, P., &amp; Rock, D. (2024). GPTs are GPTs: Labor market impact potential of LLMs.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Science</w:t>
      </w:r>
      <w:r>
        <w:rPr>
          <w:lang w:val="en"/>
        </w:rPr>
        <w:t xml:space="preserve">, 384(6702), 1306–1308.</w:t>
      </w:r>
    </w:p>
    <w:p>
      <w:pPr>
        <w:pStyle w:val="Compact"/>
        <w:numPr>
          <w:ilvl w:val="0"/>
          <w:numId w:val="1015"/>
        </w:numPr>
      </w:pPr>
      <w:r>
        <w:rPr>
          <w:lang w:val="en"/>
        </w:rPr>
        <w:t xml:space="preserve">Fernández-Macías, E., &amp; Bisello, M. (2022). A comprehensive taxonomy of tasks for assessing the impact of new technologies on work.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Social Indicators Research</w:t>
      </w:r>
      <w:r>
        <w:rPr>
          <w:lang w:val="en"/>
        </w:rPr>
        <w:t xml:space="preserve">, 159, 821–841.</w:t>
      </w:r>
    </w:p>
    <w:p>
      <w:pPr>
        <w:pStyle w:val="Compact"/>
        <w:numPr>
          <w:ilvl w:val="0"/>
          <w:numId w:val="1015"/>
        </w:numPr>
      </w:pPr>
      <w:r>
        <w:rPr>
          <w:lang w:val="en"/>
        </w:rPr>
        <w:t xml:space="preserve">National Center for O*NET Development (2026).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O*NET 30.2 Database</w:t>
      </w:r>
      <w:r>
        <w:rPr>
          <w:lang w:val="en"/>
        </w:rPr>
        <w:t xml:space="preserve">. USDOL/ETA, CC BY 4.0.</w:t>
      </w:r>
    </w:p>
    <w:p>
      <w:pPr>
        <w:pStyle w:val="Compact"/>
        <w:numPr>
          <w:ilvl w:val="0"/>
          <w:numId w:val="1015"/>
        </w:numPr>
      </w:pPr>
      <w:r>
        <w:rPr>
          <w:lang w:val="en"/>
        </w:rPr>
        <w:t xml:space="preserve">OECD &amp; JRC (2008).</w:t>
      </w:r>
      <w:r>
        <w:rPr>
          <w:lang w:val="en"/>
        </w:rPr>
        <w:t xml:space="preserve"> </w:t>
      </w:r>
      <w:r>
        <w:rPr>
          <w:i/>
          <w:iCs/>
          <w:lang w:val="en"/>
        </w:rPr>
        <w:t xml:space="preserve">Handbook on Constructing Composite Indicators: Methodology and User Guide</w:t>
      </w:r>
      <w:r>
        <w:rPr>
          <w:lang w:val="en"/>
        </w:rPr>
        <w:t xml:space="preserve">. OECD.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ITEA Framework — Methodology v4.0</dc:title>
  <dc:creator>Alberto García-Lluis Valencia</dc:creator>
  <dc:language>en</dc:language>
  <cp:keywords/>
  <dcterms:created xsi:type="dcterms:W3CDTF">2026-10-23T16:54:24Z</dcterms:created>
  <dcterms:modified xsi:type="dcterms:W3CDTF">2026-10-23T16:54:24Z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October 2026</vt:lpwstr>
  </property>
  <property fmtid="{D5CDD505-2E9C-101B-9397-08002B2CF9AE}" pid="3" name="subtitle">
    <vt:lpwstr>OAXI-EU on the ISCO-08 axis and v4.1 task grading (in development)</vt:lpwstr>
  </property>
</Properties>
</file>