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
        </w:rPr>
        <w:t xml:space="preserve">Marco ITEA — Metodología v4.0</w:t>
      </w:r>
    </w:p>
    <w:p>
      <w:pPr>
        <w:pStyle w:val="Subtitle"/>
      </w:pPr>
      <w:r>
        <w:rPr>
          <w:lang w:val="es"/>
        </w:rPr>
        <w:t xml:space="preserve">OAXI-EU sobre el eje ISCO-08 y graduación de tareas v4.1 (en desarrollo)</w:t>
      </w:r>
    </w:p>
    <w:p>
      <w:pPr>
        <w:pStyle w:val="Author"/>
      </w:pPr>
      <w:r>
        <w:rPr>
          <w:lang w:val="es"/>
        </w:rPr>
        <w:t xml:space="preserve">Alberto García-Lluis Valencia</w:t>
      </w:r>
    </w:p>
    <w:p>
      <w:pPr>
        <w:pStyle w:val="Date"/>
      </w:pPr>
      <w:r>
        <w:rPr>
          <w:lang w:val="es"/>
        </w:rPr>
        <w:t xml:space="preserve">23 de octubre de 2026</w:t>
      </w:r>
    </w:p>
    <w:p>
      <w:pPr>
        <w:pStyle w:val="Heading1"/>
      </w:pPr>
      <w:bookmarkStart w:id="9" w:name="_98d6fb97356f0785e8ba75ac8659460896a5ad7"/>
      <w:r>
        <w:rPr>
          <w:lang w:val="es"/>
        </w:rPr>
        <w:t xml:space="preserve">1. Alcance de este documento</w:t>
      </w:r>
      <w:bookmarkEnd w:id="9"/>
    </w:p>
    <w:p>
      <w:pPr>
        <w:pStyle w:val="FirstParagraph"/>
      </w:pPr>
      <w:r>
        <w:rPr>
          <w:lang w:val="es"/>
        </w:rPr>
        <w:t xml:space="preserve">Este documento es la</w:t>
      </w:r>
      <w:r>
        <w:rPr>
          <w:lang w:val="es"/>
        </w:rPr>
        <w:t xml:space="preserve"> </w:t>
      </w:r>
      <w:r>
        <w:rPr>
          <w:b/>
          <w:bCs/>
          <w:lang w:val="es"/>
        </w:rPr>
        <w:t xml:space="preserve">referencia metodológica de la versión 4.0</w:t>
      </w:r>
      <w:r>
        <w:rPr>
          <w:lang w:val="es"/>
        </w:rPr>
        <w:t xml:space="preserve"> </w:t>
      </w:r>
      <w:r>
        <w:rPr>
          <w:lang w:val="es"/>
        </w:rPr>
        <w:t xml:space="preserve">de ITEA. No sustituye a la</w:t>
      </w:r>
      <w:r>
        <w:rPr>
          <w:lang w:val="es"/>
        </w:rPr>
        <w:t xml:space="preserve"> </w:t>
      </w:r>
      <w:r>
        <w:rPr>
          <w:i/>
          <w:iCs/>
          <w:lang w:val="es"/>
        </w:rPr>
        <w:t xml:space="preserve">Metodología consolidada v3.0</w:t>
      </w:r>
      <w:r>
        <w:rPr>
          <w:lang w:val="es"/>
        </w:rPr>
        <w:t xml:space="preserve"> </w:t>
      </w:r>
      <w:r>
        <w:rPr>
          <w:lang w:val="es"/>
        </w:rPr>
        <w:t xml:space="preserve">(</w:t>
      </w:r>
      <w:r>
        <w:rPr>
          <w:rStyle w:val="VerbatimChar"/>
          <w:lang w:val="es"/>
        </w:rPr>
        <w:t xml:space="preserve">docs/ITEA_v3_0_Consolidated_Methodology.docx</w:t>
      </w:r>
      <w:r>
        <w:rPr>
          <w:lang w:val="es"/>
        </w:rPr>
        <w:t xml:space="preserve">), sino que la amplía:</w:t>
      </w:r>
    </w:p>
    <w:p>
      <w:pPr>
        <w:pStyle w:val="Compact"/>
        <w:numPr>
          <w:ilvl w:val="0"/>
          <w:numId w:val="1001"/>
        </w:numPr>
      </w:pPr>
      <w:r>
        <w:rPr>
          <w:b/>
          <w:bCs/>
          <w:lang w:val="es"/>
        </w:rPr>
        <w:t xml:space="preserve">Se mantiene sin cambios:</w:t>
      </w:r>
      <w:r>
        <w:rPr>
          <w:lang w:val="es"/>
        </w:rPr>
        <w:t xml:space="preserve"> </w:t>
      </w:r>
      <w:r>
        <w:rPr>
          <w:lang w:val="es"/>
        </w:rPr>
        <w:t xml:space="preserve">los diez indicadores de la v3.0 sobre O*NET 30.2 (ITEA, IRA, ICT, IFS, IPI, IEF, GEE, IMO, OAEI y AEI) y sus fórmulas. Se citan aquí solo en lo que afecta a la v4.0.</w:t>
      </w:r>
    </w:p>
    <w:p>
      <w:pPr>
        <w:pStyle w:val="Compact"/>
        <w:numPr>
          <w:ilvl w:val="0"/>
          <w:numId w:val="1001"/>
        </w:numPr>
      </w:pPr>
      <w:r>
        <w:rPr>
          <w:b/>
          <w:bCs/>
          <w:lang w:val="es"/>
        </w:rPr>
        <w:t xml:space="preserve">Se añade:</w:t>
      </w:r>
    </w:p>
    <w:p>
      <w:pPr>
        <w:pStyle w:val="Compact"/>
        <w:numPr>
          <w:ilvl w:val="1"/>
          <w:numId w:val="1002"/>
        </w:numPr>
      </w:pPr>
      <w:r>
        <w:rPr>
          <w:lang w:val="es"/>
        </w:rPr>
        <w:t xml:space="preserve">el índice europeo</w:t>
      </w:r>
      <w:r>
        <w:rPr>
          <w:lang w:val="es"/>
        </w:rPr>
        <w:t xml:space="preserve"> </w:t>
      </w:r>
      <w:r>
        <w:rPr>
          <w:b/>
          <w:bCs/>
          <w:lang w:val="es"/>
        </w:rPr>
        <w:t xml:space="preserve">OAXI-EU</w:t>
      </w:r>
      <w:r>
        <w:rPr>
          <w:lang w:val="es"/>
        </w:rPr>
        <w:t xml:space="preserve"> </w:t>
      </w:r>
      <w:r>
        <w:rPr>
          <w:lang w:val="es"/>
        </w:rPr>
        <w:t xml:space="preserve">sobre el eje ISCO-08 (§3);</w:t>
      </w:r>
    </w:p>
    <w:p>
      <w:pPr>
        <w:pStyle w:val="Compact"/>
        <w:numPr>
          <w:ilvl w:val="1"/>
          <w:numId w:val="1002"/>
        </w:numPr>
      </w:pPr>
      <w:r>
        <w:rPr>
          <w:lang w:val="es"/>
        </w:rPr>
        <w:t xml:space="preserve">la arquitectura reproducible del software (§4);</w:t>
      </w:r>
    </w:p>
    <w:p>
      <w:pPr>
        <w:pStyle w:val="Compact"/>
        <w:numPr>
          <w:ilvl w:val="1"/>
          <w:numId w:val="1002"/>
        </w:numPr>
      </w:pPr>
      <w:r>
        <w:rPr>
          <w:lang w:val="es"/>
        </w:rPr>
        <w:t xml:space="preserve">el programa de</w:t>
      </w:r>
      <w:r>
        <w:rPr>
          <w:lang w:val="es"/>
        </w:rPr>
        <w:t xml:space="preserve"> </w:t>
      </w:r>
      <w:r>
        <w:rPr>
          <w:b/>
          <w:bCs/>
          <w:lang w:val="es"/>
        </w:rPr>
        <w:t xml:space="preserve">graduación de tareas v4.1</w:t>
      </w:r>
      <w:r>
        <w:rPr>
          <w:lang w:val="es"/>
        </w:rPr>
        <w:t xml:space="preserve"> </w:t>
      </w:r>
      <w:r>
        <w:rPr>
          <w:lang w:val="es"/>
        </w:rPr>
        <w:t xml:space="preserve">(§5), que sustituirá la entrada del índice.</w:t>
      </w:r>
    </w:p>
    <w:p>
      <w:pPr>
        <w:pStyle w:val="FirstParagraph"/>
      </w:pPr>
      <w:r>
        <w:rPr>
          <w:lang w:val="es"/>
        </w:rPr>
        <w:t xml:space="preserve">Todo lo que se describe se reproduce desde fuentes públicas con el paquete</w:t>
      </w:r>
      <w:r>
        <w:rPr>
          <w:lang w:val="es"/>
        </w:rPr>
        <w:t xml:space="preserve"> </w:t>
      </w:r>
      <w:r>
        <w:rPr>
          <w:rStyle w:val="VerbatimChar"/>
          <w:lang w:val="es"/>
        </w:rPr>
        <w:t xml:space="preserve">itea-framework</w:t>
      </w:r>
      <w:r>
        <w:rPr>
          <w:lang w:val="es"/>
        </w:rPr>
        <w:t xml:space="preserve"> </w:t>
      </w:r>
      <w:r>
        <w:rPr>
          <w:lang w:val="es"/>
        </w:rPr>
        <w:t xml:space="preserve">(repositorio</w:t>
      </w:r>
      <w:r>
        <w:rPr>
          <w:lang w:val="es"/>
        </w:rPr>
        <w:t xml:space="preserve"> </w:t>
      </w:r>
      <w:r>
        <w:rPr>
          <w:rStyle w:val="VerbatimChar"/>
          <w:lang w:val="es"/>
        </w:rPr>
        <w:t xml:space="preserve">Aval22/ITEA</w:t>
      </w:r>
      <w:r>
        <w:rPr>
          <w:lang w:val="es"/>
        </w:rPr>
        <w:t xml:space="preserve">).</w:t>
      </w:r>
    </w:p>
    <w:p>
      <w:pPr>
        <w:pStyle w:val="Heading1"/>
      </w:pPr>
      <w:bookmarkStart w:id="10" w:name="_00e0184bf660097fb70754a1da65e9bd3ae75f3"/>
      <w:r>
        <w:rPr>
          <w:lang w:val="es"/>
        </w:rPr>
        <w:t xml:space="preserve">2. Qué mide ITEA</w:t>
      </w:r>
      <w:bookmarkEnd w:id="10"/>
    </w:p>
    <w:p>
      <w:pPr>
        <w:pStyle w:val="FirstParagraph"/>
      </w:pPr>
      <w:r>
        <w:rPr>
          <w:lang w:val="es"/>
        </w:rPr>
        <w:t xml:space="preserve">ITEA mide la</w:t>
      </w:r>
      <w:r>
        <w:rPr>
          <w:lang w:val="es"/>
        </w:rPr>
        <w:t xml:space="preserve"> </w:t>
      </w:r>
      <w:r>
        <w:rPr>
          <w:b/>
          <w:bCs/>
          <w:lang w:val="es"/>
        </w:rPr>
        <w:t xml:space="preserve">expropiabilidad algorítmica</w:t>
      </w:r>
      <w:r>
        <w:rPr>
          <w:lang w:val="es"/>
        </w:rPr>
        <w:t xml:space="preserve">: el potencial de que el conocimiento que usa un trabajador quede incorporado a los sistemas de la empresa. El marco separa tres planos:</w:t>
      </w:r>
    </w:p>
    <w:p>
      <w:pPr>
        <w:pStyle w:val="Compact"/>
        <w:numPr>
          <w:ilvl w:val="0"/>
          <w:numId w:val="1003"/>
        </w:numPr>
      </w:pPr>
      <w:r>
        <w:rPr>
          <w:b/>
          <w:bCs/>
          <w:lang w:val="es"/>
        </w:rPr>
        <w:t xml:space="preserve">Exposición:</w:t>
      </w:r>
      <w:r>
        <w:rPr>
          <w:lang w:val="es"/>
        </w:rPr>
        <w:t xml:space="preserve"> </w:t>
      </w:r>
      <w:r>
        <w:rPr>
          <w:lang w:val="es"/>
        </w:rPr>
        <w:t xml:space="preserve">qué parte del trabajo puede alcanzar la IA.</w:t>
      </w:r>
    </w:p>
    <w:p>
      <w:pPr>
        <w:pStyle w:val="Compact"/>
        <w:numPr>
          <w:ilvl w:val="0"/>
          <w:numId w:val="1003"/>
        </w:numPr>
      </w:pPr>
      <w:r>
        <w:rPr>
          <w:b/>
          <w:bCs/>
          <w:lang w:val="es"/>
        </w:rPr>
        <w:t xml:space="preserve">Expropiabilidad:</w:t>
      </w:r>
      <w:r>
        <w:rPr>
          <w:lang w:val="es"/>
        </w:rPr>
        <w:t xml:space="preserve"> </w:t>
      </w:r>
      <w:r>
        <w:rPr>
          <w:lang w:val="es"/>
        </w:rPr>
        <w:t xml:space="preserve">el potencial de captura, que exige a la vez exposición y conocimiento codificable.</w:t>
      </w:r>
    </w:p>
    <w:p>
      <w:pPr>
        <w:pStyle w:val="Compact"/>
        <w:numPr>
          <w:ilvl w:val="0"/>
          <w:numId w:val="1003"/>
        </w:numPr>
      </w:pPr>
      <w:r>
        <w:rPr>
          <w:b/>
          <w:bCs/>
          <w:lang w:val="es"/>
        </w:rPr>
        <w:t xml:space="preserve">Expropiación:</w:t>
      </w:r>
      <w:r>
        <w:rPr>
          <w:lang w:val="es"/>
        </w:rPr>
        <w:t xml:space="preserve"> </w:t>
      </w:r>
      <w:r>
        <w:rPr>
          <w:lang w:val="es"/>
        </w:rPr>
        <w:t xml:space="preserve">el hecho normativo, es decir, la pérdida de la soberanía del trabajador sobre la explotación de su saber. No se mide directamente.</w:t>
      </w:r>
    </w:p>
    <w:p>
      <w:pPr>
        <w:pStyle w:val="FirstParagraph"/>
      </w:pPr>
      <w:r>
        <w:rPr>
          <w:lang w:val="es"/>
        </w:rPr>
        <w:t xml:space="preserve">Todos los índices de ITEA miden un</w:t>
      </w:r>
      <w:r>
        <w:rPr>
          <w:lang w:val="es"/>
        </w:rPr>
        <w:t xml:space="preserve"> </w:t>
      </w:r>
      <w:r>
        <w:rPr>
          <w:b/>
          <w:bCs/>
          <w:lang w:val="es"/>
        </w:rPr>
        <w:t xml:space="preserve">potencial</w:t>
      </w:r>
      <w:r>
        <w:rPr>
          <w:lang w:val="es"/>
        </w:rPr>
        <w:t xml:space="preserve">: qué ocupaciones tienen el conocimiento más abierto a la codificación.</w:t>
      </w:r>
      <w:r>
        <w:rPr>
          <w:lang w:val="es"/>
        </w:rPr>
        <w:t xml:space="preserve"> </w:t>
      </w:r>
      <w:r>
        <w:rPr>
          <w:b/>
          <w:bCs/>
          <w:lang w:val="es"/>
        </w:rPr>
        <w:t xml:space="preserve">No</w:t>
      </w:r>
      <w:r>
        <w:rPr>
          <w:lang w:val="es"/>
        </w:rPr>
        <w:t xml:space="preserve"> </w:t>
      </w:r>
      <w:r>
        <w:rPr>
          <w:lang w:val="es"/>
        </w:rPr>
        <w:t xml:space="preserve">miden automatización realizada ni transferencias efectivas de valor.</w:t>
      </w:r>
    </w:p>
    <w:p>
      <w:pPr>
        <w:pStyle w:val="Heading1"/>
      </w:pPr>
      <w:bookmarkStart w:id="11" w:name="_de43165046c19c6b3413bab16820d0f9a3b02e8"/>
      <w:r>
        <w:rPr>
          <w:lang w:val="es"/>
        </w:rPr>
        <w:t xml:space="preserve">3. OAXI-EU: índice europeo de expropiabilidad</w:t>
      </w:r>
      <w:bookmarkEnd w:id="11"/>
    </w:p>
    <w:p>
      <w:pPr>
        <w:pStyle w:val="Heading2"/>
      </w:pPr>
      <w:bookmarkStart w:id="12" w:name="_entradas"/>
      <w:r>
        <w:rPr>
          <w:lang w:val="es"/>
        </w:rPr>
        <w:t xml:space="preserve">3.1 Entradas</w:t>
      </w:r>
      <w:bookmarkEnd w:id="12"/>
    </w:p>
    <w:p>
      <w:pPr>
        <w:pStyle w:val="Compact"/>
        <w:numPr>
          <w:ilvl w:val="0"/>
          <w:numId w:val="1004"/>
        </w:numPr>
      </w:pPr>
      <w:r>
        <w:rPr>
          <w:b/>
          <w:bCs/>
          <w:lang w:val="es"/>
        </w:rPr>
        <w:t xml:space="preserve">Grados de tareas (AXI, heredados).</w:t>
      </w:r>
      <w:r>
        <w:rPr>
          <w:lang w:val="es"/>
        </w:rPr>
        <w:t xml:space="preserve"> </w:t>
      </w:r>
      <w:r>
        <w:rPr>
          <w:lang w:val="es"/>
        </w:rPr>
        <w:t xml:space="preserve">Son 47.810 enunciados de tareas de O*NET 29.1 con cuatro escalas ordinales: automatización, codificabilidad (</w:t>
      </w:r>
      <w:r>
        <w:rPr>
          <w:rStyle w:val="VerbatimChar"/>
          <w:lang w:val="es"/>
        </w:rPr>
        <w:t xml:space="preserve">CI_Grade</w:t>
      </w:r>
      <w:r>
        <w:rPr>
          <w:lang w:val="es"/>
        </w:rPr>
        <w:t xml:space="preserve">), impacto de la IA generativa e impacto de la IA agéntica. Proceden de un análisis de las especificaciones técnicas de fabricantes de software y hardware de negocio, aplicado por patrón tecnológico. Su documentación está en</w:t>
      </w:r>
      <w:r>
        <w:rPr>
          <w:lang w:val="es"/>
        </w:rPr>
        <w:t xml:space="preserve"> </w:t>
      </w:r>
      <w:r>
        <w:rPr>
          <w:rStyle w:val="VerbatimChar"/>
          <w:lang w:val="es"/>
        </w:rPr>
        <w:t xml:space="preserve">src/itea/data/README_AXI.md</w:t>
      </w:r>
      <w:r>
        <w:rPr>
          <w:lang w:val="es"/>
        </w:rPr>
        <w:t xml:space="preserve">, y su fiabilidad frente a codificadores independientes es moderada en codificabilidad (α = 0,50) e insuficiente en automatización (α = 0,35). En la v4.1 se sustituyen (§5).</w:t>
      </w:r>
    </w:p>
    <w:p>
      <w:pPr>
        <w:pStyle w:val="Compact"/>
        <w:numPr>
          <w:ilvl w:val="0"/>
          <w:numId w:val="1004"/>
        </w:numPr>
      </w:pPr>
      <w:r>
        <w:rPr>
          <w:b/>
          <w:bCs/>
          <w:lang w:val="es"/>
        </w:rPr>
        <w:t xml:space="preserve">O*NET 30.2:</w:t>
      </w:r>
      <w:r>
        <w:rPr>
          <w:lang w:val="es"/>
        </w:rPr>
        <w:t xml:space="preserve"> </w:t>
      </w:r>
      <w:r>
        <w:rPr>
          <w:lang w:val="es"/>
        </w:rPr>
        <w:t xml:space="preserve">tareas y enlaces de las tareas con las actividades de trabajo detalladas (DWA).</w:t>
      </w:r>
    </w:p>
    <w:p>
      <w:pPr>
        <w:pStyle w:val="Compact"/>
        <w:numPr>
          <w:ilvl w:val="0"/>
          <w:numId w:val="1004"/>
        </w:numPr>
      </w:pPr>
      <w:r>
        <w:rPr>
          <w:b/>
          <w:bCs/>
          <w:lang w:val="es"/>
        </w:rPr>
        <w:t xml:space="preserve">Crosswalks oficiales del BLS:</w:t>
      </w:r>
      <w:r>
        <w:rPr>
          <w:lang w:val="es"/>
        </w:rPr>
        <w:t xml:space="preserve"> </w:t>
      </w:r>
      <w:r>
        <w:rPr>
          <w:lang w:val="es"/>
        </w:rPr>
        <w:t xml:space="preserve">SOC 2018 → SOC 2010 y SOC 2010 → ISCO-08.</w:t>
      </w:r>
    </w:p>
    <w:p>
      <w:pPr>
        <w:pStyle w:val="Heading2"/>
      </w:pPr>
      <w:bookmarkStart w:id="13" w:name="_agregación"/>
      <w:r>
        <w:rPr>
          <w:lang w:val="es"/>
        </w:rPr>
        <w:t xml:space="preserve">3.2 Agregación</w:t>
      </w:r>
      <w:bookmarkEnd w:id="13"/>
    </w:p>
    <w:p>
      <w:pPr>
        <w:pStyle w:val="Compact"/>
        <w:numPr>
          <w:ilvl w:val="0"/>
          <w:numId w:val="1005"/>
        </w:numPr>
      </w:pPr>
      <w:r>
        <w:rPr>
          <w:b/>
          <w:bCs/>
          <w:lang w:val="es"/>
        </w:rPr>
        <w:t xml:space="preserve">De tarea a actividad.</w:t>
      </w:r>
      <w:r>
        <w:rPr>
          <w:lang w:val="es"/>
        </w:rPr>
        <w:t xml:space="preserve"> </w:t>
      </w:r>
      <w:r>
        <w:rPr>
          <w:lang w:val="es"/>
        </w:rPr>
        <w:t xml:space="preserve">Cada enunciado AXI se empareja con la tarea de O*NET 30.2 por su texto normalizado dentro de la ocupación. Coinciden 23.890 de las 47.810 tareas, porque O*NET reescribió muchos enunciados entre versiones. Cada actividad (DWA) recibe la proporción de sus tareas con grado alto.</w:t>
      </w:r>
    </w:p>
    <w:p>
      <w:pPr>
        <w:pStyle w:val="Compact"/>
        <w:numPr>
          <w:ilvl w:val="0"/>
          <w:numId w:val="1005"/>
        </w:numPr>
      </w:pPr>
      <w:r>
        <w:rPr>
          <w:b/>
          <w:bCs/>
          <w:lang w:val="es"/>
        </w:rPr>
        <w:t xml:space="preserve">De actividad a ocupación.</w:t>
      </w:r>
      <w:r>
        <w:rPr>
          <w:lang w:val="es"/>
        </w:rPr>
        <w:t xml:space="preserve"> </w:t>
      </w:r>
      <w:r>
        <w:rPr>
          <w:lang w:val="es"/>
        </w:rPr>
        <w:t xml:space="preserve">Cada una de las 923 ocupaciones de O*NET-SOC recibe la media de las actividades que realiza. Así, también reciben valor las ocupaciones sin tareas coincidentes.</w:t>
      </w:r>
    </w:p>
    <w:p>
      <w:pPr>
        <w:pStyle w:val="Compact"/>
        <w:numPr>
          <w:ilvl w:val="0"/>
          <w:numId w:val="1005"/>
        </w:numPr>
      </w:pPr>
      <w:r>
        <w:rPr>
          <w:b/>
          <w:bCs/>
          <w:lang w:val="es"/>
        </w:rPr>
        <w:t xml:space="preserve">De ocupación a ISCO-08.</w:t>
      </w:r>
      <w:r>
        <w:rPr>
          <w:lang w:val="es"/>
        </w:rPr>
        <w:t xml:space="preserve"> </w:t>
      </w:r>
      <w:r>
        <w:rPr>
          <w:lang w:val="es"/>
        </w:rPr>
        <w:t xml:space="preserve">La cadena oficial SOC 2018 → SOC 2010 → ISCO-08 es de muchos a muchos. Se reparte con pesos iguales, y opcionalmente con pesos de empleo. Resultado:</w:t>
      </w:r>
      <w:r>
        <w:rPr>
          <w:lang w:val="es"/>
        </w:rPr>
        <w:t xml:space="preserve"> </w:t>
      </w:r>
      <w:r>
        <w:rPr>
          <w:b/>
          <w:bCs/>
          <w:lang w:val="es"/>
        </w:rPr>
        <w:t xml:space="preserve">428 grupos primarios ISCO-08</w:t>
      </w:r>
      <w:r>
        <w:rPr>
          <w:lang w:val="es"/>
        </w:rPr>
        <w:t xml:space="preserve">.</w:t>
      </w:r>
    </w:p>
    <w:p>
      <w:pPr>
        <w:pStyle w:val="Heading2"/>
      </w:pPr>
      <w:bookmarkStart w:id="14" w:name="_índice"/>
      <w:r>
        <w:rPr>
          <w:lang w:val="es"/>
        </w:rPr>
        <w:t xml:space="preserve">3.3 Índice</w:t>
      </w:r>
      <w:bookmarkEnd w:id="14"/>
    </w:p>
    <w:p>
      <w:pPr>
        <w:pStyle w:val="FirstParagraph"/>
      </w:pPr>
      <w:r>
        <w:rPr>
          <w:lang w:val="es"/>
        </w:rPr>
        <w:t xml:space="preserve">Para cada grupo ISCO:</w:t>
      </w:r>
    </w:p>
    <w:p>
      <w:pPr>
        <w:pStyle w:val="Compact"/>
        <w:numPr>
          <w:ilvl w:val="0"/>
          <w:numId w:val="1006"/>
        </w:numPr>
      </w:pPr>
      <w:r>
        <w:rPr>
          <w:b/>
          <w:bCs/>
          <w:lang w:val="es"/>
        </w:rPr>
        <w:t xml:space="preserve">E</w:t>
      </w:r>
      <w:r>
        <w:rPr>
          <w:lang w:val="es"/>
        </w:rPr>
        <w:t xml:space="preserve"> </w:t>
      </w:r>
      <w:r>
        <w:rPr>
          <w:lang w:val="es"/>
        </w:rPr>
        <w:t xml:space="preserve">es la proporción de actividades con impacto alto de la IA generativa.</w:t>
      </w:r>
    </w:p>
    <w:p>
      <w:pPr>
        <w:pStyle w:val="Compact"/>
        <w:numPr>
          <w:ilvl w:val="0"/>
          <w:numId w:val="1006"/>
        </w:numPr>
      </w:pPr>
      <w:r>
        <w:rPr>
          <w:b/>
          <w:bCs/>
          <w:lang w:val="es"/>
        </w:rPr>
        <w:t xml:space="preserve">K</w:t>
      </w:r>
      <w:r>
        <w:rPr>
          <w:lang w:val="es"/>
        </w:rPr>
        <w:t xml:space="preserve"> </w:t>
      </w:r>
      <w:r>
        <w:rPr>
          <w:lang w:val="es"/>
        </w:rPr>
        <w:t xml:space="preserve">es la proporción de actividades con conocimiento codificable algorítmicamente (</w:t>
      </w:r>
      <w:r>
        <w:rPr>
          <w:rStyle w:val="VerbatimChar"/>
          <w:lang w:val="es"/>
        </w:rPr>
        <w:t xml:space="preserve">CI_Grade = HIGH_ALGO</w:t>
      </w:r>
      <w:r>
        <w:rPr>
          <w:lang w:val="es"/>
        </w:rPr>
        <w:t xml:space="preserve">).</w:t>
      </w:r>
    </w:p>
    <w:p>
      <w:pPr>
        <w:pStyle w:val="Compact"/>
        <w:numPr>
          <w:ilvl w:val="0"/>
          <w:numId w:val="1006"/>
        </w:numPr>
      </w:pPr>
      <w:r>
        <w:rPr>
          <w:lang w:val="es"/>
        </w:rPr>
        <w:t xml:space="preserve">Ambas se normalizan con min-max.</w:t>
      </w:r>
    </w:p>
    <w:p>
      <w:pPr>
        <w:pStyle w:val="FirstParagraph"/>
      </w:pPr>
      <m:oMathPara>
        <m:oMathParaPr>
          <m:jc m:val="center"/>
        </m:oMathParaPr>
        <m:oMath>
          <m:r>
            <m:rPr>
              <m:nor/>
            </m:rPr>
            <m:t>núcleo</m:t>
          </m:r>
          <m:r>
            <m:rPr>
              <m:sty m:val="p"/>
            </m:rPr>
            <m:t>=</m:t>
          </m:r>
          <m:sSup>
            <m:e>
              <m:r>
                <m:t>E</m:t>
              </m:r>
            </m:e>
            <m:sup>
              <m:r>
                <m:t> </m:t>
              </m:r>
              <m:r>
                <m:t>1</m:t>
              </m:r>
              <m:r>
                <m:rPr>
                  <m:sty m:val="p"/>
                </m:rPr>
                <m:t>−</m:t>
              </m:r>
              <m:r>
                <m:t>κ</m:t>
              </m:r>
            </m:sup>
          </m:sSup>
          <m:r>
            <m:rPr>
              <m:sty m:val="p"/>
            </m:rPr>
            <m:t>⋅</m:t>
          </m:r>
          <m:sSup>
            <m:e>
              <m:r>
                <m:t>K</m:t>
              </m:r>
            </m:e>
            <m:sup>
              <m:r>
                <m:t> </m:t>
              </m:r>
              <m:r>
                <m:t>κ</m:t>
              </m:r>
            </m:sup>
          </m:sSup>
          <m:r>
            <m:rPr>
              <m:sty m:val="p"/>
            </m:rPr>
            <m:t>,</m:t>
          </m:r>
          <m:r>
            <m:t>  </m:t>
          </m:r>
          <m:r>
            <m:rPr>
              <m:nor/>
            </m:rPr>
            <m:t>OAXI-EU</m:t>
          </m:r>
          <m:r>
            <m:rPr>
              <m:sty m:val="p"/>
            </m:rPr>
            <m:t>=</m:t>
          </m:r>
          <m:r>
            <m:t>1</m:t>
          </m:r>
          <m:r>
            <m:rPr>
              <m:sty m:val="p"/>
            </m:rPr>
            <m:t>+</m:t>
          </m:r>
          <m:r>
            <m:t>99</m:t>
          </m:r>
          <m:r>
            <m:rPr>
              <m:sty m:val="p"/>
            </m:rPr>
            <m:t>⋅</m:t>
          </m:r>
          <m:r>
            <m:rPr>
              <m:nor/>
            </m:rPr>
            <m:t>minmax</m:t>
          </m:r>
          <m:r>
            <m:rPr>
              <m:sty m:val="p"/>
            </m:rPr>
            <m:t>(</m:t>
          </m:r>
          <m:r>
            <m:rPr>
              <m:nor/>
            </m:rPr>
            <m:t>núcleo</m:t>
          </m:r>
          <m:r>
            <m:rPr>
              <m:sty m:val="p"/>
            </m:rPr>
            <m:t>)</m:t>
          </m:r>
        </m:oMath>
      </m:oMathPara>
    </w:p>
    <w:p>
      <w:pPr>
        <w:pStyle w:val="FirstParagraph"/>
      </w:pPr>
      <w:r>
        <w:rPr>
          <w:b/>
          <w:bCs/>
          <w:lang w:val="es"/>
        </w:rPr>
        <w:t xml:space="preserve">Por qué la forma geométrica:</w:t>
      </w:r>
      <w:r>
        <w:rPr>
          <w:lang w:val="es"/>
        </w:rPr>
        <w:t xml:space="preserve"> </w:t>
      </w:r>
      <w:r>
        <w:rPr>
          <w:lang w:val="es"/>
        </w:rPr>
        <w:t xml:space="preserve">la expropiabilidad exige a la vez exposición y codificabilidad, así que una ocupación sin una de las dos no puede puntuar alto.</w:t>
      </w:r>
    </w:p>
    <w:p>
      <w:pPr>
        <w:pStyle w:val="BodyText"/>
      </w:pPr>
      <w:r>
        <w:rPr>
          <w:b/>
          <w:bCs/>
          <w:lang w:val="es"/>
        </w:rPr>
        <w:t xml:space="preserve">Valor de κ:</w:t>
      </w:r>
      <w:r>
        <w:rPr>
          <w:lang w:val="es"/>
        </w:rPr>
        <w:t xml:space="preserve"> </w:t>
      </w:r>
      <w:r>
        <w:rPr>
          <w:lang w:val="es"/>
        </w:rPr>
        <w:t xml:space="preserve">se fija en</w:t>
      </w:r>
      <w:r>
        <w:rPr>
          <w:lang w:val="es"/>
        </w:rPr>
        <w:t xml:space="preserve"> </w:t>
      </w:r>
      <w:r>
        <w:rPr>
          <w:b/>
          <w:bCs/>
          <w:lang w:val="es"/>
        </w:rPr>
        <w:t xml:space="preserve">0,40</w:t>
      </w:r>
      <w:r>
        <w:rPr>
          <w:lang w:val="es"/>
        </w:rPr>
        <w:t xml:space="preserve">, el valor que maximiza la convergencia con un índice externo independiente. El óptimo es plano entre 0,3 y 0,4, y la tabla de calibración se reproduce con</w:t>
      </w:r>
      <w:r>
        <w:rPr>
          <w:lang w:val="es"/>
        </w:rPr>
        <w:t xml:space="preserve"> </w:t>
      </w:r>
      <w:r>
        <w:rPr>
          <w:rStyle w:val="VerbatimChar"/>
          <w:lang w:val="es"/>
        </w:rPr>
        <w:t xml:space="preserve">itea.kappa_grid</w:t>
      </w:r>
      <w:r>
        <w:rPr>
          <w:lang w:val="es"/>
        </w:rPr>
        <w:t xml:space="preserve">.</w:t>
      </w:r>
    </w:p>
    <w:p>
      <w:pPr>
        <w:pStyle w:val="Heading2"/>
      </w:pPr>
      <w:bookmarkStart w:id="15" w:name="_validación"/>
      <w:r>
        <w:rPr>
          <w:lang w:val="es"/>
        </w:rPr>
        <w:t xml:space="preserve">3.4 Validación</w:t>
      </w:r>
      <w:bookmarkEnd w:id="15"/>
    </w:p>
    <w:p>
      <w:pPr>
        <w:pStyle w:val="Compact"/>
        <w:numPr>
          <w:ilvl w:val="0"/>
          <w:numId w:val="1007"/>
        </w:numPr>
      </w:pPr>
      <w:r>
        <w:rPr>
          <w:b/>
          <w:bCs/>
          <w:lang w:val="es"/>
        </w:rPr>
        <w:t xml:space="preserve">Convergencia con el índice de exposición a la IA del JRC</w:t>
      </w:r>
      <w:r>
        <w:rPr>
          <w:lang w:val="es"/>
        </w:rPr>
        <w:t xml:space="preserve"> </w:t>
      </w:r>
      <w:r>
        <w:rPr>
          <w:lang w:val="es"/>
        </w:rPr>
        <w:t xml:space="preserve">(JRC145832; Casas et al., 2026, tabla M.1, CC BY 4.0), a tres dígitos ISCO:</w:t>
      </w:r>
      <w:r>
        <w:rPr>
          <w:lang w:val="es"/>
        </w:rPr>
        <w:t xml:space="preserve"> </w:t>
      </w:r>
      <w:r>
        <w:rPr>
          <w:b/>
          <w:bCs/>
          <w:lang w:val="es"/>
        </w:rPr>
        <w:t xml:space="preserve">Pearson 0,736 y Spearman 0,819</w:t>
      </w:r>
      <w:r>
        <w:rPr>
          <w:lang w:val="es"/>
        </w:rPr>
        <w:t xml:space="preserve"> </w:t>
      </w:r>
      <w:r>
        <w:rPr>
          <w:lang w:val="es"/>
        </w:rPr>
        <w:t xml:space="preserve">sobre 127 grupos. La reproducen</w:t>
      </w:r>
      <w:r>
        <w:rPr>
          <w:lang w:val="es"/>
        </w:rPr>
        <w:t xml:space="preserve"> </w:t>
      </w:r>
      <w:r>
        <w:rPr>
          <w:rStyle w:val="VerbatimChar"/>
          <w:lang w:val="es"/>
        </w:rPr>
        <w:t xml:space="preserve">itea validate</w:t>
      </w:r>
      <w:r>
        <w:rPr>
          <w:lang w:val="es"/>
        </w:rPr>
        <w:t xml:space="preserve"> </w:t>
      </w:r>
      <w:r>
        <w:rPr>
          <w:lang w:val="es"/>
        </w:rPr>
        <w:t xml:space="preserve">y los tests.</w:t>
      </w:r>
    </w:p>
    <w:p>
      <w:pPr>
        <w:pStyle w:val="Compact"/>
        <w:numPr>
          <w:ilvl w:val="0"/>
          <w:numId w:val="1007"/>
        </w:numPr>
      </w:pPr>
      <w:r>
        <w:rPr>
          <w:b/>
          <w:bCs/>
          <w:lang w:val="es"/>
        </w:rPr>
        <w:t xml:space="preserve">Cautela:</w:t>
      </w:r>
      <w:r>
        <w:rPr>
          <w:lang w:val="es"/>
        </w:rPr>
        <w:t xml:space="preserve"> </w:t>
      </w:r>
      <w:r>
        <w:rPr>
          <w:lang w:val="es"/>
        </w:rPr>
        <w:t xml:space="preserve">el índice del JRC se basa en capacidades. Es independiente de los grados AXI, pero no de la capa estructural de la v4.1, que también usa capacidades (§5). Por eso, para validar K en la v4.1 no se usa el JRC.</w:t>
      </w:r>
    </w:p>
    <w:p>
      <w:pPr>
        <w:pStyle w:val="Heading2"/>
      </w:pPr>
      <w:bookmarkStart w:id="16" w:name="_ca0b641fb233d493580c742fb69e87008355e86"/>
      <w:r>
        <w:rPr>
          <w:lang w:val="es"/>
        </w:rPr>
        <w:t xml:space="preserve">3.5 Cambios respecto a la versión beta</w:t>
      </w:r>
      <w:bookmarkEnd w:id="16"/>
    </w:p>
    <w:p>
      <w:pPr>
        <w:pStyle w:val="Compact"/>
        <w:numPr>
          <w:ilvl w:val="0"/>
          <w:numId w:val="1008"/>
        </w:numPr>
      </w:pPr>
      <w:r>
        <w:rPr>
          <w:b/>
          <w:bCs/>
          <w:lang w:val="es"/>
        </w:rPr>
        <w:t xml:space="preserve">Crosswalk.</w:t>
      </w:r>
      <w:r>
        <w:rPr>
          <w:lang w:val="es"/>
        </w:rPr>
        <w:t xml:space="preserve"> </w:t>
      </w:r>
      <w:r>
        <w:rPr>
          <w:lang w:val="es"/>
        </w:rPr>
        <w:t xml:space="preserve">El mapeo uno a uno, tecleado en una hoja salarial, asignaba mal algunas ocupaciones y dejaba 48 grupos ISCO profesionales sin datos. Se sustituye por las tablas oficiales del BLS.</w:t>
      </w:r>
    </w:p>
    <w:p>
      <w:pPr>
        <w:pStyle w:val="Compact"/>
        <w:numPr>
          <w:ilvl w:val="0"/>
          <w:numId w:val="1008"/>
        </w:numPr>
      </w:pPr>
      <w:r>
        <w:rPr>
          <w:b/>
          <w:bCs/>
          <w:lang w:val="es"/>
        </w:rPr>
        <w:t xml:space="preserve">Cobertura.</w:t>
      </w:r>
      <w:r>
        <w:rPr>
          <w:lang w:val="es"/>
        </w:rPr>
        <w:t xml:space="preserve"> </w:t>
      </w:r>
      <w:r>
        <w:rPr>
          <w:lang w:val="es"/>
        </w:rPr>
        <w:t xml:space="preserve">La beta restringía el índice a las 784 ocupaciones con datos de empleo. Ahora se usan las 923 ocupaciones y se llega a 428 grupos ISCO (antes, 237).</w:t>
      </w:r>
    </w:p>
    <w:p>
      <w:pPr>
        <w:pStyle w:val="Heading1"/>
      </w:pPr>
      <w:bookmarkStart w:id="17" w:name="_fb032bd5e3e35ed5c1a90ce37931c720ad2aeb1"/>
      <w:r>
        <w:rPr>
          <w:lang w:val="es"/>
        </w:rPr>
        <w:t xml:space="preserve">4. Software y reproducibilidad</w:t>
      </w:r>
      <w:bookmarkEnd w:id="17"/>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s"/>
              </w:rPr>
              <w:t xml:space="preserve">Componente</w:t>
            </w:r>
          </w:p>
        </w:tc>
        <w:tc>
          <w:tcPr/>
          <w:p>
            <w:pPr>
              <w:pStyle w:val="Compact"/>
            </w:pPr>
            <w:r>
              <w:rPr>
                <w:lang w:val="es"/>
              </w:rPr>
              <w:t xml:space="preserve">Función</w:t>
            </w:r>
          </w:p>
        </w:tc>
      </w:tr>
      <w:tr>
        <w:tc>
          <w:tcPr/>
          <w:p>
            <w:pPr>
              <w:pStyle w:val="Compact"/>
            </w:pPr>
            <w:r>
              <w:rPr>
                <w:rStyle w:val="VerbatimChar"/>
                <w:lang w:val="es"/>
              </w:rPr>
              <w:t xml:space="preserve">itea fetch</w:t>
            </w:r>
          </w:p>
        </w:tc>
        <w:tc>
          <w:tcPr/>
          <w:p>
            <w:pPr>
              <w:pStyle w:val="Compact"/>
            </w:pPr>
            <w:r>
              <w:rPr>
                <w:lang w:val="es"/>
              </w:rPr>
              <w:t xml:space="preserve">Descarga O*NET 30.2 y los crosswalks del BLS, y verifica su SHA-256</w:t>
            </w:r>
          </w:p>
        </w:tc>
      </w:tr>
      <w:tr>
        <w:tc>
          <w:tcPr/>
          <w:p>
            <w:pPr>
              <w:pStyle w:val="Compact"/>
            </w:pPr>
            <w:r>
              <w:rPr>
                <w:rStyle w:val="VerbatimChar"/>
                <w:lang w:val="es"/>
              </w:rPr>
              <w:t xml:space="preserve">itea build-eu</w:t>
            </w:r>
          </w:p>
        </w:tc>
        <w:tc>
          <w:tcPr/>
          <w:p>
            <w:pPr>
              <w:pStyle w:val="Compact"/>
            </w:pPr>
            <w:r>
              <w:rPr>
                <w:lang w:val="es"/>
              </w:rPr>
              <w:t xml:space="preserve">Construye OAXI-EU y guarda los</w:t>
            </w:r>
            <w:r>
              <w:rPr>
                <w:lang w:val="es"/>
              </w:rPr>
              <w:t xml:space="preserve"> </w:t>
            </w:r>
            <w:r>
              <w:rPr>
                <w:i/>
                <w:iCs/>
                <w:lang w:val="es"/>
              </w:rPr>
              <w:t xml:space="preserve">hash</w:t>
            </w:r>
            <w:r>
              <w:rPr>
                <w:lang w:val="es"/>
              </w:rPr>
              <w:t xml:space="preserve"> </w:t>
            </w:r>
            <w:r>
              <w:rPr>
                <w:lang w:val="es"/>
              </w:rPr>
              <w:t xml:space="preserve">de entradas y salidas (</w:t>
            </w:r>
            <w:r>
              <w:rPr>
                <w:rStyle w:val="VerbatimChar"/>
                <w:lang w:val="es"/>
              </w:rPr>
              <w:t xml:space="preserve">oaxi_eu.meta.json</w:t>
            </w:r>
            <w:r>
              <w:rPr>
                <w:lang w:val="es"/>
              </w:rPr>
              <w:t xml:space="preserve">)</w:t>
            </w:r>
          </w:p>
        </w:tc>
      </w:tr>
      <w:tr>
        <w:tc>
          <w:tcPr/>
          <w:p>
            <w:pPr>
              <w:pStyle w:val="Compact"/>
            </w:pPr>
            <w:r>
              <w:rPr>
                <w:rStyle w:val="VerbatimChar"/>
                <w:lang w:val="es"/>
              </w:rPr>
              <w:t xml:space="preserve">itea validate</w:t>
            </w:r>
          </w:p>
        </w:tc>
        <w:tc>
          <w:tcPr/>
          <w:p>
            <w:pPr>
              <w:pStyle w:val="Compact"/>
            </w:pPr>
            <w:r>
              <w:rPr>
                <w:lang w:val="es"/>
              </w:rPr>
              <w:t xml:space="preserve">Calcula la convergencia con el índice del JRC empaquetado</w:t>
            </w:r>
          </w:p>
        </w:tc>
      </w:tr>
      <w:tr>
        <w:tc>
          <w:tcPr/>
          <w:p>
            <w:pPr>
              <w:pStyle w:val="Compact"/>
            </w:pPr>
            <w:r>
              <w:rPr>
                <w:rStyle w:val="VerbatimChar"/>
                <w:lang w:val="es"/>
              </w:rPr>
              <w:t xml:space="preserve">itea.rollup</w:t>
            </w:r>
          </w:p>
        </w:tc>
        <w:tc>
          <w:tcPr/>
          <w:p>
            <w:pPr>
              <w:pStyle w:val="Compact"/>
            </w:pPr>
            <w:r>
              <w:rPr>
                <w:lang w:val="es"/>
              </w:rPr>
              <w:t xml:space="preserve">Lleva cualquier puntuación por tarea (identificada por su Task ID de O*NET) a actividades, ocupaciones e ISCO-08</w:t>
            </w:r>
          </w:p>
        </w:tc>
      </w:tr>
      <w:tr>
        <w:tc>
          <w:tcPr/>
          <w:p>
            <w:pPr>
              <w:pStyle w:val="Compact"/>
            </w:pPr>
            <w:r>
              <w:rPr>
                <w:rStyle w:val="VerbatimChar"/>
                <w:lang w:val="es"/>
              </w:rPr>
              <w:t xml:space="preserve">itea.v3</w:t>
            </w:r>
          </w:p>
        </w:tc>
        <w:tc>
          <w:tcPr/>
          <w:p>
            <w:pPr>
              <w:pStyle w:val="Compact"/>
            </w:pPr>
            <w:r>
              <w:rPr>
                <w:lang w:val="es"/>
              </w:rPr>
              <w:t xml:space="preserve">Indicadores de la v3.0. La CI comprueba que reproducen la implementación R de referencia</w:t>
            </w:r>
          </w:p>
        </w:tc>
      </w:tr>
      <w:tr>
        <w:tc>
          <w:tcPr/>
          <w:p>
            <w:pPr>
              <w:pStyle w:val="Compact"/>
            </w:pPr>
            <w:r>
              <w:rPr>
                <w:rStyle w:val="VerbatimChar"/>
                <w:lang w:val="es"/>
              </w:rPr>
              <w:t xml:space="preserve">itea.grading</w:t>
            </w:r>
          </w:p>
        </w:tc>
        <w:tc>
          <w:tcPr/>
          <w:p>
            <w:pPr>
              <w:pStyle w:val="Compact"/>
            </w:pPr>
            <w:r>
              <w:rPr>
                <w:lang w:val="es"/>
              </w:rPr>
              <w:t xml:space="preserve">Graduación de tareas v4.1 (§5)</w:t>
            </w:r>
          </w:p>
        </w:tc>
      </w:tr>
    </w:tbl>
    <w:p>
      <w:pPr>
        <w:pStyle w:val="Compact"/>
        <w:numPr>
          <w:ilvl w:val="0"/>
          <w:numId w:val="1009"/>
        </w:numPr>
      </w:pPr>
      <w:r>
        <w:rPr>
          <w:b/>
          <w:bCs/>
          <w:lang w:val="es"/>
        </w:rPr>
        <w:t xml:space="preserve">Pruebas:</w:t>
      </w:r>
      <w:r>
        <w:rPr>
          <w:lang w:val="es"/>
        </w:rPr>
        <w:t xml:space="preserve"> </w:t>
      </w:r>
      <w:r>
        <w:rPr>
          <w:lang w:val="es"/>
        </w:rPr>
        <w:t xml:space="preserve">la integración continua ejecuta los tests en Python 3.10, 3.12 y 3.13; además instala el paquete en limpio y comprueba la paridad entre R y Python.</w:t>
      </w:r>
    </w:p>
    <w:p>
      <w:pPr>
        <w:pStyle w:val="Compact"/>
        <w:numPr>
          <w:ilvl w:val="0"/>
          <w:numId w:val="1009"/>
        </w:numPr>
      </w:pPr>
      <w:r>
        <w:rPr>
          <w:b/>
          <w:bCs/>
          <w:lang w:val="es"/>
        </w:rPr>
        <w:t xml:space="preserve">Salidas de referencia:</w:t>
      </w:r>
      <w:r>
        <w:rPr>
          <w:lang w:val="es"/>
        </w:rPr>
        <w:t xml:space="preserve"> </w:t>
      </w:r>
      <w:r>
        <w:rPr>
          <w:lang w:val="es"/>
        </w:rPr>
        <w:t xml:space="preserve">los CSV de</w:t>
      </w:r>
      <w:r>
        <w:rPr>
          <w:lang w:val="es"/>
        </w:rPr>
        <w:t xml:space="preserve"> </w:t>
      </w:r>
      <w:r>
        <w:rPr>
          <w:rStyle w:val="VerbatimChar"/>
          <w:lang w:val="es"/>
        </w:rPr>
        <w:t xml:space="preserve">v4.0/outputs/</w:t>
      </w:r>
      <w:r>
        <w:rPr>
          <w:lang w:val="es"/>
        </w:rPr>
        <w:t xml:space="preserve">.</w:t>
      </w:r>
    </w:p>
    <w:p>
      <w:pPr>
        <w:pStyle w:val="Compact"/>
        <w:numPr>
          <w:ilvl w:val="0"/>
          <w:numId w:val="1009"/>
        </w:numPr>
      </w:pPr>
      <w:r>
        <w:rPr>
          <w:b/>
          <w:bCs/>
          <w:lang w:val="es"/>
        </w:rPr>
        <w:t xml:space="preserve">Libro Excel:</w:t>
      </w:r>
      <w:r>
        <w:rPr>
          <w:lang w:val="es"/>
        </w:rPr>
        <w:t xml:space="preserve"> </w:t>
      </w:r>
      <w:r>
        <w:rPr>
          <w:rStyle w:val="VerbatimChar"/>
          <w:lang w:val="es"/>
        </w:rPr>
        <w:t xml:space="preserve">data/processed/ITEA_v4_0_Workbook.xlsx</w:t>
      </w:r>
      <w:r>
        <w:rPr>
          <w:lang w:val="es"/>
        </w:rPr>
        <w:t xml:space="preserve"> </w:t>
      </w:r>
      <w:r>
        <w:rPr>
          <w:lang w:val="es"/>
        </w:rPr>
        <w:t xml:space="preserve">es una copia de lectura de esas salidas, generada con</w:t>
      </w:r>
      <w:r>
        <w:rPr>
          <w:lang w:val="es"/>
        </w:rPr>
        <w:t xml:space="preserve"> </w:t>
      </w:r>
      <w:r>
        <w:rPr>
          <w:rStyle w:val="VerbatimChar"/>
          <w:lang w:val="es"/>
        </w:rPr>
        <w:t xml:space="preserve">scripts/build_workbook_v4.py</w:t>
      </w:r>
      <w:r>
        <w:rPr>
          <w:lang w:val="es"/>
        </w:rPr>
        <w:t xml:space="preserve">.</w:t>
      </w:r>
    </w:p>
    <w:p>
      <w:pPr>
        <w:pStyle w:val="Heading1"/>
      </w:pPr>
      <w:bookmarkStart w:id="18" w:name="_135998476893f79ac8a0f75bae85f4cf41da9ae"/>
      <w:r>
        <w:rPr>
          <w:lang w:val="es"/>
        </w:rPr>
        <w:t xml:space="preserve">5. Graduación de tareas v4.1 (en desarrollo)</w:t>
      </w:r>
      <w:bookmarkEnd w:id="18"/>
    </w:p>
    <w:p>
      <w:pPr>
        <w:pStyle w:val="Heading2"/>
      </w:pPr>
      <w:bookmarkStart w:id="19" w:name="_150e3e9ba1b44a97249145626bdde04b2338d9f"/>
      <w:r>
        <w:rPr>
          <w:lang w:val="es"/>
        </w:rPr>
        <w:t xml:space="preserve">5.1 Por qué se rehace la graduación</w:t>
      </w:r>
      <w:bookmarkEnd w:id="19"/>
    </w:p>
    <w:p>
      <w:pPr>
        <w:pStyle w:val="FirstParagraph"/>
      </w:pPr>
      <w:r>
        <w:rPr>
          <w:lang w:val="es"/>
        </w:rPr>
        <w:t xml:space="preserve">Los grados AXI no tienen un procedimiento reproducible tarea a tarea, tienen pocos valores distintos y su fiabilidad es baja en automatización. La v4.1 los sustituye por una graduación automática y documentada de las</w:t>
      </w:r>
      <w:r>
        <w:rPr>
          <w:lang w:val="es"/>
        </w:rPr>
        <w:t xml:space="preserve"> </w:t>
      </w:r>
      <w:r>
        <w:rPr>
          <w:b/>
          <w:bCs/>
          <w:lang w:val="es"/>
        </w:rPr>
        <w:t xml:space="preserve">18.796 tareas de O*NET 30.2</w:t>
      </w:r>
      <w:r>
        <w:rPr>
          <w:lang w:val="es"/>
        </w:rPr>
        <w:t xml:space="preserve">, con estos principios:</w:t>
      </w:r>
    </w:p>
    <w:p>
      <w:pPr>
        <w:pStyle w:val="Compact"/>
        <w:numPr>
          <w:ilvl w:val="0"/>
          <w:numId w:val="1010"/>
        </w:numPr>
      </w:pPr>
      <w:r>
        <w:rPr>
          <w:b/>
          <w:bCs/>
          <w:lang w:val="es"/>
        </w:rPr>
        <w:t xml:space="preserve">Solo fuentes oficiales para construir:</w:t>
      </w:r>
      <w:r>
        <w:rPr>
          <w:lang w:val="es"/>
        </w:rPr>
        <w:t xml:space="preserve"> </w:t>
      </w:r>
      <w:r>
        <w:rPr>
          <w:lang w:val="es"/>
        </w:rPr>
        <w:t xml:space="preserve">las tablas de enlace de O*NET y ESCO.</w:t>
      </w:r>
    </w:p>
    <w:p>
      <w:pPr>
        <w:pStyle w:val="Compact"/>
        <w:numPr>
          <w:ilvl w:val="0"/>
          <w:numId w:val="1010"/>
        </w:numPr>
      </w:pPr>
      <w:r>
        <w:rPr>
          <w:b/>
          <w:bCs/>
          <w:lang w:val="es"/>
        </w:rPr>
        <w:t xml:space="preserve">Referencias independientes para validar,</w:t>
      </w:r>
      <w:r>
        <w:rPr>
          <w:lang w:val="es"/>
        </w:rPr>
        <w:t xml:space="preserve"> </w:t>
      </w:r>
      <w:r>
        <w:rPr>
          <w:lang w:val="es"/>
        </w:rPr>
        <w:t xml:space="preserve">que nunca se usan para construir.</w:t>
      </w:r>
    </w:p>
    <w:p>
      <w:pPr>
        <w:pStyle w:val="Compact"/>
        <w:numPr>
          <w:ilvl w:val="0"/>
          <w:numId w:val="1010"/>
        </w:numPr>
      </w:pPr>
      <w:r>
        <w:rPr>
          <w:b/>
          <w:bCs/>
          <w:lang w:val="es"/>
        </w:rPr>
        <w:t xml:space="preserve">Hipótesis registradas antes de cada ejecución.</w:t>
      </w:r>
    </w:p>
    <w:p>
      <w:pPr>
        <w:pStyle w:val="Compact"/>
        <w:numPr>
          <w:ilvl w:val="0"/>
          <w:numId w:val="1010"/>
        </w:numPr>
      </w:pPr>
      <w:r>
        <w:rPr>
          <w:b/>
          <w:bCs/>
          <w:lang w:val="es"/>
        </w:rPr>
        <w:t xml:space="preserve">Ningún grado se entrena con AXI.</w:t>
      </w:r>
    </w:p>
    <w:p>
      <w:pPr>
        <w:pStyle w:val="Heading2"/>
      </w:pPr>
      <w:bookmarkStart w:id="20" w:name="_8b08fcb7f091fba7dbc05cd5818ff16db07f7cb"/>
      <w:r>
        <w:rPr>
          <w:lang w:val="es"/>
        </w:rPr>
        <w:t xml:space="preserve">5.2 Seis componentes</w:t>
      </w:r>
      <w:bookmarkEnd w:id="20"/>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
              </w:rPr>
              <w:t xml:space="preserve">Pieza</w:t>
            </w:r>
          </w:p>
        </w:tc>
        <w:tc>
          <w:tcPr/>
          <w:p>
            <w:pPr>
              <w:pStyle w:val="Compact"/>
            </w:pPr>
            <w:r>
              <w:rPr>
                <w:lang w:val="es"/>
              </w:rPr>
              <w:t xml:space="preserve">Pregunta</w:t>
            </w:r>
          </w:p>
        </w:tc>
        <w:tc>
          <w:tcPr/>
          <w:p>
            <w:pPr>
              <w:pStyle w:val="Compact"/>
            </w:pPr>
            <w:r>
              <w:rPr>
                <w:lang w:val="es"/>
              </w:rPr>
              <w:t xml:space="preserve">Nivel</w:t>
            </w:r>
          </w:p>
        </w:tc>
      </w:tr>
      <w:tr>
        <w:tc>
          <w:tcPr/>
          <w:p>
            <w:pPr>
              <w:pStyle w:val="Compact"/>
            </w:pPr>
            <w:r>
              <w:rPr>
                <w:b/>
                <w:bCs/>
                <w:lang w:val="es"/>
              </w:rPr>
              <w:t xml:space="preserve">K</w:t>
            </w:r>
            <w:r>
              <w:rPr>
                <w:lang w:val="es"/>
              </w:rPr>
              <w:t xml:space="preserve"> </w:t>
            </w:r>
            <w:r>
              <w:rPr>
                <w:lang w:val="es"/>
              </w:rPr>
              <w:t xml:space="preserve">(codificabilidad)</w:t>
            </w:r>
          </w:p>
        </w:tc>
        <w:tc>
          <w:tcPr/>
          <w:p>
            <w:pPr>
              <w:pStyle w:val="Compact"/>
            </w:pPr>
            <w:r>
              <w:rPr>
                <w:lang w:val="es"/>
              </w:rPr>
              <w:t xml:space="preserve">¿El conocimiento de la tarea puede expresarse en reglas o aprenderse a partir de registros?</w:t>
            </w:r>
          </w:p>
        </w:tc>
        <w:tc>
          <w:tcPr/>
          <w:p>
            <w:pPr>
              <w:pStyle w:val="Compact"/>
            </w:pPr>
            <w:r>
              <w:rPr>
                <w:lang w:val="es"/>
              </w:rPr>
              <w:t xml:space="preserve">Tarea</w:t>
            </w:r>
          </w:p>
        </w:tc>
      </w:tr>
      <w:tr>
        <w:tc>
          <w:tcPr/>
          <w:p>
            <w:pPr>
              <w:pStyle w:val="Compact"/>
            </w:pPr>
            <w:r>
              <w:rPr>
                <w:b/>
                <w:bCs/>
                <w:lang w:val="es"/>
              </w:rPr>
              <w:t xml:space="preserve">E</w:t>
            </w:r>
            <w:r>
              <w:rPr>
                <w:lang w:val="es"/>
              </w:rPr>
              <w:t xml:space="preserve"> </w:t>
            </w:r>
            <w:r>
              <w:rPr>
                <w:lang w:val="es"/>
              </w:rPr>
              <w:t xml:space="preserve">(exposición a la IA generativa)</w:t>
            </w:r>
          </w:p>
        </w:tc>
        <w:tc>
          <w:tcPr/>
          <w:p>
            <w:pPr>
              <w:pStyle w:val="Compact"/>
            </w:pPr>
            <w:r>
              <w:rPr>
                <w:lang w:val="es"/>
              </w:rPr>
              <w:t xml:space="preserve">¿Puede la IA generativa producir el resultado principal o reducir mucho su tiempo?</w:t>
            </w:r>
          </w:p>
        </w:tc>
        <w:tc>
          <w:tcPr/>
          <w:p>
            <w:pPr>
              <w:pStyle w:val="Compact"/>
            </w:pPr>
            <w:r>
              <w:rPr>
                <w:lang w:val="es"/>
              </w:rPr>
              <w:t xml:space="preserve">Tarea</w:t>
            </w:r>
          </w:p>
        </w:tc>
      </w:tr>
      <w:tr>
        <w:tc>
          <w:tcPr/>
          <w:p>
            <w:pPr>
              <w:pStyle w:val="Compact"/>
            </w:pPr>
            <w:r>
              <w:rPr>
                <w:b/>
                <w:bCs/>
                <w:lang w:val="es"/>
              </w:rPr>
              <w:t xml:space="preserve">T</w:t>
            </w:r>
            <w:r>
              <w:rPr>
                <w:lang w:val="es"/>
              </w:rPr>
              <w:t xml:space="preserve"> </w:t>
            </w:r>
            <w:r>
              <w:rPr>
                <w:lang w:val="es"/>
              </w:rPr>
              <w:t xml:space="preserve">(mediación tecnológica)</w:t>
            </w:r>
          </w:p>
        </w:tc>
        <w:tc>
          <w:tcPr/>
          <w:p>
            <w:pPr>
              <w:pStyle w:val="Compact"/>
            </w:pPr>
            <w:r>
              <w:rPr>
                <w:lang w:val="es"/>
              </w:rPr>
              <w:t xml:space="preserve">¿Hay tecnología, documentada por su fabricante, que apoye o automatice la tarea?</w:t>
            </w:r>
          </w:p>
        </w:tc>
        <w:tc>
          <w:tcPr/>
          <w:p>
            <w:pPr>
              <w:pStyle w:val="Compact"/>
            </w:pPr>
            <w:r>
              <w:rPr>
                <w:lang w:val="es"/>
              </w:rPr>
              <w:t xml:space="preserve">Tarea × tecnología</w:t>
            </w:r>
          </w:p>
        </w:tc>
      </w:tr>
      <w:tr>
        <w:tc>
          <w:tcPr/>
          <w:p>
            <w:pPr>
              <w:pStyle w:val="Compact"/>
            </w:pPr>
            <w:r>
              <w:rPr>
                <w:b/>
                <w:bCs/>
                <w:lang w:val="es"/>
              </w:rPr>
              <w:t xml:space="preserve">U</w:t>
            </w:r>
            <w:r>
              <w:rPr>
                <w:lang w:val="es"/>
              </w:rPr>
              <w:t xml:space="preserve"> </w:t>
            </w:r>
            <w:r>
              <w:rPr>
                <w:lang w:val="es"/>
              </w:rPr>
              <w:t xml:space="preserve">(utilización efectiva)</w:t>
            </w:r>
          </w:p>
        </w:tc>
        <w:tc>
          <w:tcPr/>
          <w:p>
            <w:pPr>
              <w:pStyle w:val="Compact"/>
            </w:pPr>
            <w:r>
              <w:rPr>
                <w:lang w:val="es"/>
              </w:rPr>
              <w:t xml:space="preserve">¿Cuánto de esa tecnología se adopta y se usa?</w:t>
            </w:r>
          </w:p>
        </w:tc>
        <w:tc>
          <w:tcPr/>
          <w:p>
            <w:pPr>
              <w:pStyle w:val="Compact"/>
            </w:pPr>
            <w:r>
              <w:rPr>
                <w:lang w:val="es"/>
              </w:rPr>
              <w:t xml:space="preserve">Sector × país</w:t>
            </w:r>
          </w:p>
        </w:tc>
      </w:tr>
      <w:tr>
        <w:tc>
          <w:tcPr/>
          <w:p>
            <w:pPr>
              <w:pStyle w:val="Compact"/>
            </w:pPr>
            <w:r>
              <w:rPr>
                <w:b/>
                <w:bCs/>
                <w:lang w:val="es"/>
              </w:rPr>
              <w:t xml:space="preserve">S</w:t>
            </w:r>
            <w:r>
              <w:rPr>
                <w:lang w:val="es"/>
              </w:rPr>
              <w:t xml:space="preserve"> </w:t>
            </w:r>
            <w:r>
              <w:rPr>
                <w:lang w:val="es"/>
              </w:rPr>
              <w:t xml:space="preserve">(solvencia técnica certificable)</w:t>
            </w:r>
          </w:p>
        </w:tc>
        <w:tc>
          <w:tcPr/>
          <w:p>
            <w:pPr>
              <w:pStyle w:val="Compact"/>
            </w:pPr>
            <w:r>
              <w:rPr>
                <w:lang w:val="es"/>
              </w:rPr>
              <w:t xml:space="preserve">¿Hay una certificación que acredite la competencia?</w:t>
            </w:r>
          </w:p>
        </w:tc>
        <w:tc>
          <w:tcPr/>
          <w:p>
            <w:pPr>
              <w:pStyle w:val="Compact"/>
            </w:pPr>
            <w:r>
              <w:rPr>
                <w:lang w:val="es"/>
              </w:rPr>
              <w:t xml:space="preserve">Tarea × tecnología</w:t>
            </w:r>
          </w:p>
        </w:tc>
      </w:tr>
      <w:tr>
        <w:tc>
          <w:tcPr/>
          <w:p>
            <w:pPr>
              <w:pStyle w:val="Compact"/>
            </w:pPr>
            <w:r>
              <w:rPr>
                <w:b/>
                <w:bCs/>
                <w:lang w:val="es"/>
              </w:rPr>
              <w:t xml:space="preserve">C</w:t>
            </w:r>
            <w:r>
              <w:rPr>
                <w:lang w:val="es"/>
              </w:rPr>
              <w:t xml:space="preserve"> </w:t>
            </w:r>
            <w:r>
              <w:rPr>
                <w:lang w:val="es"/>
              </w:rPr>
              <w:t xml:space="preserve">(factibilidad económica)</w:t>
            </w:r>
          </w:p>
        </w:tc>
        <w:tc>
          <w:tcPr/>
          <w:p>
            <w:pPr>
              <w:pStyle w:val="Compact"/>
            </w:pPr>
            <w:r>
              <w:rPr>
                <w:lang w:val="es"/>
              </w:rPr>
              <w:t xml:space="preserve">¿Compensa económicamente?</w:t>
            </w:r>
          </w:p>
        </w:tc>
        <w:tc>
          <w:tcPr/>
          <w:p>
            <w:pPr>
              <w:pStyle w:val="Compact"/>
            </w:pPr>
            <w:r>
              <w:rPr>
                <w:lang w:val="es"/>
              </w:rPr>
              <w:t xml:space="preserve">Ocupación × país</w:t>
            </w:r>
          </w:p>
        </w:tc>
      </w:tr>
    </w:tbl>
    <w:p>
      <w:pPr>
        <w:pStyle w:val="Heading2"/>
      </w:pPr>
      <w:bookmarkStart w:id="21" w:name="_d880e42cf626adef0a6b219c418e5ecace8339f"/>
      <w:r>
        <w:rPr>
          <w:lang w:val="es"/>
        </w:rPr>
        <w:t xml:space="preserve">5.3 Estado y resultados</w:t>
      </w:r>
      <w:bookmarkEnd w:id="21"/>
    </w:p>
    <w:p>
      <w:pPr>
        <w:pStyle w:val="Compact"/>
        <w:numPr>
          <w:ilvl w:val="0"/>
          <w:numId w:val="1011"/>
        </w:numPr>
      </w:pPr>
      <w:r>
        <w:rPr>
          <w:b/>
          <w:bCs/>
          <w:lang w:val="es"/>
        </w:rPr>
        <w:t xml:space="preserve">Capa 1 (estructural), hecha.</w:t>
      </w:r>
    </w:p>
    <w:p>
      <w:pPr>
        <w:pStyle w:val="Compact"/>
        <w:numPr>
          <w:ilvl w:val="1"/>
          <w:numId w:val="1012"/>
        </w:numPr>
      </w:pPr>
      <w:r>
        <w:rPr>
          <w:lang w:val="es"/>
        </w:rPr>
        <w:t xml:space="preserve">Cálculo:</w:t>
      </w:r>
      <w:r>
        <w:rPr>
          <w:lang w:val="es"/>
        </w:rPr>
        <w:t xml:space="preserve"> </w:t>
      </w:r>
      <w:r>
        <w:rPr>
          <w:rStyle w:val="VerbatimChar"/>
          <w:lang w:val="es"/>
        </w:rPr>
        <w:t xml:space="preserve">K_GWA = proporción cognitiva × (1 − proporción social)</w:t>
      </w:r>
      <w:r>
        <w:rPr>
          <w:lang w:val="es"/>
        </w:rPr>
        <w:t xml:space="preserve"> </w:t>
      </w:r>
      <w:r>
        <w:rPr>
          <w:lang w:val="es"/>
        </w:rPr>
        <w:t xml:space="preserve">y</w:t>
      </w:r>
      <w:r>
        <w:rPr>
          <w:lang w:val="es"/>
        </w:rPr>
        <w:t xml:space="preserve"> </w:t>
      </w:r>
      <w:r>
        <w:rPr>
          <w:rStyle w:val="VerbatimChar"/>
          <w:lang w:val="es"/>
        </w:rPr>
        <w:t xml:space="preserve">E_GWA</w:t>
      </w:r>
      <w:r>
        <w:rPr>
          <w:lang w:val="es"/>
        </w:rPr>
        <w:t xml:space="preserve"> </w:t>
      </w:r>
      <w:r>
        <w:rPr>
          <w:lang w:val="es"/>
        </w:rPr>
        <w:t xml:space="preserve">= proporción de capacidades verbales, de razonamiento y cuantitativas, ambas desde las tablas</w:t>
      </w:r>
      <w:r>
        <w:rPr>
          <w:lang w:val="es"/>
        </w:rPr>
        <w:t xml:space="preserve"> </w:t>
      </w:r>
      <w:r>
        <w:rPr>
          <w:i/>
          <w:iCs/>
          <w:lang w:val="es"/>
        </w:rPr>
        <w:t xml:space="preserve">Abilities</w:t>
      </w:r>
      <w:r>
        <w:rPr>
          <w:lang w:val="es"/>
        </w:rPr>
        <w:t xml:space="preserve"> </w:t>
      </w:r>
      <w:r>
        <w:rPr>
          <w:lang w:val="es"/>
        </w:rPr>
        <w:t xml:space="preserve">y</w:t>
      </w:r>
      <w:r>
        <w:rPr>
          <w:lang w:val="es"/>
        </w:rPr>
        <w:t xml:space="preserve"> </w:t>
      </w:r>
      <w:r>
        <w:rPr>
          <w:i/>
          <w:iCs/>
          <w:lang w:val="es"/>
        </w:rPr>
        <w:t xml:space="preserve">Skills to Work Activities</w:t>
      </w:r>
      <w:r>
        <w:rPr>
          <w:lang w:val="es"/>
        </w:rPr>
        <w:t xml:space="preserve"> </w:t>
      </w:r>
      <w:r>
        <w:rPr>
          <w:lang w:val="es"/>
        </w:rPr>
        <w:t xml:space="preserve">de O*NET; se propagan a cada tarea por sus DWA.</w:t>
      </w:r>
    </w:p>
    <w:p>
      <w:pPr>
        <w:pStyle w:val="Compact"/>
        <w:numPr>
          <w:ilvl w:val="1"/>
          <w:numId w:val="1012"/>
        </w:numPr>
      </w:pPr>
      <w:r>
        <w:rPr>
          <w:lang w:val="es"/>
        </w:rPr>
        <w:t xml:space="preserve">Validación: E converge con las etiquetas humanas de Eloundou et al. (2024) (ρ = 0,40), y K con el trabajo analítico no rutinario (ρ = 0,67, y 0,28 dentro de cada Job Zone).</w:t>
      </w:r>
    </w:p>
    <w:p>
      <w:pPr>
        <w:pStyle w:val="Compact"/>
        <w:numPr>
          <w:ilvl w:val="1"/>
          <w:numId w:val="1012"/>
        </w:numPr>
      </w:pPr>
      <w:r>
        <w:rPr>
          <w:lang w:val="es"/>
        </w:rPr>
        <w:t xml:space="preserve">K predice la exposición humana descontando la cualificación (ρ parcial = 0,40).</w:t>
      </w:r>
    </w:p>
    <w:p>
      <w:pPr>
        <w:pStyle w:val="Compact"/>
        <w:numPr>
          <w:ilvl w:val="1"/>
          <w:numId w:val="1012"/>
        </w:numPr>
      </w:pPr>
      <w:r>
        <w:rPr>
          <w:lang w:val="es"/>
        </w:rPr>
        <w:t xml:space="preserve">Hipótesis que fallaron: la rutina cognitiva va en sentido contrario, también en ocupaciones no manuales, y se abandona como referencia; la correlación con el Job Zone (0,70) quedó al límite.</w:t>
      </w:r>
    </w:p>
    <w:p>
      <w:pPr>
        <w:pStyle w:val="Compact"/>
        <w:numPr>
          <w:ilvl w:val="0"/>
          <w:numId w:val="1011"/>
        </w:numPr>
      </w:pPr>
      <w:r>
        <w:rPr>
          <w:b/>
          <w:bCs/>
          <w:lang w:val="es"/>
        </w:rPr>
        <w:t xml:space="preserve">Capa U, hecha:</w:t>
      </w:r>
      <w:r>
        <w:rPr>
          <w:lang w:val="es"/>
        </w:rPr>
        <w:t xml:space="preserve"> </w:t>
      </w:r>
      <w:r>
        <w:rPr>
          <w:lang w:val="es"/>
        </w:rPr>
        <w:t xml:space="preserve">adopción de ERP, CRM, inteligencia de negocio e IA por país y sector NACE (Eurostat, 35 territorios × 13 sectores). La profundidad de uso es un supuesto declarado: 0,10, 0,27 o 0,35. Estas tablas no cubren el sector financiero.</w:t>
      </w:r>
    </w:p>
    <w:p>
      <w:pPr>
        <w:pStyle w:val="Compact"/>
        <w:numPr>
          <w:ilvl w:val="0"/>
          <w:numId w:val="1011"/>
        </w:numPr>
      </w:pPr>
      <w:r>
        <w:rPr>
          <w:b/>
          <w:bCs/>
          <w:lang w:val="es"/>
        </w:rPr>
        <w:t xml:space="preserve">Capa T, inventario hecho:</w:t>
      </w:r>
      <w:r>
        <w:rPr>
          <w:lang w:val="es"/>
        </w:rPr>
        <w:t xml:space="preserve"> </w:t>
      </w:r>
      <w:r>
        <w:rPr>
          <w:lang w:val="es"/>
        </w:rPr>
        <w:t xml:space="preserve">8.785 productos de software por ocupación (O*NET</w:t>
      </w:r>
      <w:r>
        <w:rPr>
          <w:lang w:val="es"/>
        </w:rPr>
        <w:t xml:space="preserve"> </w:t>
      </w:r>
      <w:r>
        <w:rPr>
          <w:i/>
          <w:iCs/>
          <w:lang w:val="es"/>
        </w:rPr>
        <w:t xml:space="preserve">Technology Skills</w:t>
      </w:r>
      <w:r>
        <w:rPr>
          <w:lang w:val="es"/>
        </w:rPr>
        <w:t xml:space="preserve">). El piloto será en finanzas y consultoría.</w:t>
      </w:r>
    </w:p>
    <w:p>
      <w:pPr>
        <w:pStyle w:val="Compact"/>
        <w:numPr>
          <w:ilvl w:val="0"/>
          <w:numId w:val="1011"/>
        </w:numPr>
      </w:pPr>
      <w:r>
        <w:rPr>
          <w:b/>
          <w:bCs/>
          <w:lang w:val="es"/>
        </w:rPr>
        <w:t xml:space="preserve">Capa 2 (semántica), hecha:</w:t>
      </w:r>
      <w:r>
        <w:rPr>
          <w:lang w:val="es"/>
        </w:rPr>
        <w:t xml:space="preserve"> </w:t>
      </w:r>
      <w:r>
        <w:rPr>
          <w:lang w:val="es"/>
        </w:rPr>
        <w:t xml:space="preserve">cada tarea se enlaza con sus 5 conceptos ESCO más próximos mediante</w:t>
      </w:r>
      <w:r>
        <w:rPr>
          <w:lang w:val="es"/>
        </w:rPr>
        <w:t xml:space="preserve"> </w:t>
      </w:r>
      <w:r>
        <w:rPr>
          <w:i/>
          <w:iCs/>
          <w:lang w:val="es"/>
        </w:rPr>
        <w:t xml:space="preserve">embeddings</w:t>
      </w:r>
      <w:r>
        <w:rPr>
          <w:lang w:val="es"/>
        </w:rPr>
        <w:t xml:space="preserve"> </w:t>
      </w:r>
      <w:r>
        <w:rPr>
          <w:lang w:val="es"/>
        </w:rPr>
        <w:t xml:space="preserve">(all-mpnet-base-v2, en local). El 68 % de la varianza de K2 está dentro de cada actividad (el 5 % en K1), y K2 está menos ligada a la cualificación (ρ = 0,49 con el Job Zone).</w:t>
      </w:r>
    </w:p>
    <w:p>
      <w:pPr>
        <w:pStyle w:val="Compact"/>
        <w:numPr>
          <w:ilvl w:val="0"/>
          <w:numId w:val="1011"/>
        </w:numPr>
      </w:pPr>
      <w:r>
        <w:rPr>
          <w:b/>
          <w:bCs/>
          <w:lang w:val="es"/>
        </w:rPr>
        <w:t xml:space="preserve">Capa 3 (anclas NLI), resultado negativo:</w:t>
      </w:r>
      <w:r>
        <w:rPr>
          <w:lang w:val="es"/>
        </w:rPr>
        <w:t xml:space="preserve"> </w:t>
      </w:r>
      <w:r>
        <w:rPr>
          <w:lang w:val="es"/>
        </w:rPr>
        <w:t xml:space="preserve">no supera sus cuatro hipótesis y no se usa.</w:t>
      </w:r>
    </w:p>
    <w:p>
      <w:pPr>
        <w:pStyle w:val="Compact"/>
        <w:numPr>
          <w:ilvl w:val="0"/>
          <w:numId w:val="1011"/>
        </w:numPr>
      </w:pPr>
      <w:r>
        <w:rPr>
          <w:b/>
          <w:bCs/>
          <w:lang w:val="es"/>
        </w:rPr>
        <w:t xml:space="preserve">OAXI-EU v4.1, construido:</w:t>
      </w:r>
    </w:p>
    <w:p>
      <w:pPr>
        <w:pStyle w:val="Compact"/>
        <w:numPr>
          <w:ilvl w:val="1"/>
          <w:numId w:val="1013"/>
        </w:numPr>
      </w:pPr>
      <w:r>
        <w:rPr>
          <w:lang w:val="es"/>
        </w:rPr>
        <w:t xml:space="preserve">componentes: K = K1 + K2 y E = E1 + E2;</w:t>
      </w:r>
    </w:p>
    <w:p>
      <w:pPr>
        <w:pStyle w:val="Compact"/>
        <w:numPr>
          <w:ilvl w:val="1"/>
          <w:numId w:val="1013"/>
        </w:numPr>
      </w:pPr>
      <w:r>
        <w:rPr>
          <w:lang w:val="es"/>
        </w:rPr>
        <w:t xml:space="preserve">incertidumbre: Monte Carlo de 1.000 réplicas, con una banda del 5–95 % por grupo (mediana: 66 de 428 puestos);</w:t>
      </w:r>
    </w:p>
    <w:p>
      <w:pPr>
        <w:pStyle w:val="Compact"/>
        <w:numPr>
          <w:ilvl w:val="1"/>
          <w:numId w:val="1013"/>
        </w:numPr>
      </w:pPr>
      <w:r>
        <w:rPr>
          <w:lang w:val="es"/>
        </w:rPr>
        <w:t xml:space="preserve">validación: la E final frente a Eloundou da ρ = 0,45, y la K final frente al trabajo analítico, dentro de cada Job Zone, da 0,26;</w:t>
      </w:r>
    </w:p>
    <w:p>
      <w:pPr>
        <w:pStyle w:val="Compact"/>
        <w:numPr>
          <w:ilvl w:val="1"/>
          <w:numId w:val="1013"/>
        </w:numPr>
      </w:pPr>
      <w:r>
        <w:rPr>
          <w:lang w:val="es"/>
        </w:rPr>
        <w:t xml:space="preserve">respecto al índice v4.0: Spearman 0,80. La mayor incertidumbre procede de E, cuyas dos fuentes coinciden poco.</w:t>
      </w:r>
    </w:p>
    <w:p>
      <w:pPr>
        <w:pStyle w:val="Compact"/>
        <w:numPr>
          <w:ilvl w:val="0"/>
          <w:numId w:val="1011"/>
        </w:numPr>
      </w:pPr>
      <w:r>
        <w:rPr>
          <w:b/>
          <w:bCs/>
          <w:lang w:val="es"/>
        </w:rPr>
        <w:t xml:space="preserve">Pendiente:</w:t>
      </w:r>
      <w:r>
        <w:rPr>
          <w:lang w:val="es"/>
        </w:rPr>
        <w:t xml:space="preserve"> </w:t>
      </w:r>
      <w:r>
        <w:rPr>
          <w:lang w:val="es"/>
        </w:rPr>
        <w:t xml:space="preserve">capas T, S y C.</w:t>
      </w:r>
    </w:p>
    <w:p>
      <w:pPr>
        <w:pStyle w:val="FirstParagraph"/>
      </w:pPr>
      <w:r>
        <w:rPr>
          <w:b/>
          <w:bCs/>
          <w:lang w:val="es"/>
        </w:rPr>
        <w:t xml:space="preserve">Detalle completo:</w:t>
      </w:r>
      <w:r>
        <w:rPr>
          <w:lang w:val="es"/>
        </w:rPr>
        <w:t xml:space="preserve"> </w:t>
      </w:r>
      <w:r>
        <w:rPr>
          <w:rStyle w:val="VerbatimChar"/>
          <w:lang w:val="es"/>
        </w:rPr>
        <w:t xml:space="preserve">docs/grading/</w:t>
      </w:r>
      <w:r>
        <w:rPr>
          <w:lang w:val="es"/>
        </w:rPr>
        <w:t xml:space="preserve"> </w:t>
      </w:r>
      <w:r>
        <w:rPr>
          <w:lang w:val="es"/>
        </w:rPr>
        <w:t xml:space="preserve">(metodología, registro de decisiones, hipótesis y resultados).</w:t>
      </w:r>
    </w:p>
    <w:p>
      <w:pPr>
        <w:pStyle w:val="Heading1"/>
      </w:pPr>
      <w:bookmarkStart w:id="22" w:name="_limitaciones"/>
      <w:r>
        <w:rPr>
          <w:lang w:val="es"/>
        </w:rPr>
        <w:t xml:space="preserve">6. Limitaciones</w:t>
      </w:r>
      <w:bookmarkEnd w:id="22"/>
    </w:p>
    <w:p>
      <w:pPr>
        <w:pStyle w:val="Compact"/>
        <w:numPr>
          <w:ilvl w:val="0"/>
          <w:numId w:val="1014"/>
        </w:numPr>
      </w:pPr>
      <w:r>
        <w:rPr>
          <w:b/>
          <w:bCs/>
          <w:lang w:val="es"/>
        </w:rPr>
        <w:t xml:space="preserve">OAXI-EU v4.0 hereda las limitaciones de los grados AXI</w:t>
      </w:r>
      <w:r>
        <w:rPr>
          <w:lang w:val="es"/>
        </w:rPr>
        <w:t xml:space="preserve"> </w:t>
      </w:r>
      <w:r>
        <w:rPr>
          <w:lang w:val="es"/>
        </w:rPr>
        <w:t xml:space="preserve">(§3.1). Sus resultados deben leerse como provisionales hasta la reconstrucción con la v4.1.</w:t>
      </w:r>
    </w:p>
    <w:p>
      <w:pPr>
        <w:pStyle w:val="Compact"/>
        <w:numPr>
          <w:ilvl w:val="0"/>
          <w:numId w:val="1014"/>
        </w:numPr>
      </w:pPr>
      <w:r>
        <w:rPr>
          <w:b/>
          <w:bCs/>
          <w:lang w:val="es"/>
        </w:rPr>
        <w:t xml:space="preserve">Pérdida de tareas entre versiones.</w:t>
      </w:r>
      <w:r>
        <w:rPr>
          <w:lang w:val="es"/>
        </w:rPr>
        <w:t xml:space="preserve"> </w:t>
      </w:r>
      <w:r>
        <w:rPr>
          <w:lang w:val="es"/>
        </w:rPr>
        <w:t xml:space="preserve">Solo la mitad de los enunciados AXI coincide con O*NET 30.2. La agregación por actividades da valor a todas las ocupaciones, pero con menos tareas propias.</w:t>
      </w:r>
    </w:p>
    <w:p>
      <w:pPr>
        <w:pStyle w:val="Compact"/>
        <w:numPr>
          <w:ilvl w:val="0"/>
          <w:numId w:val="1014"/>
        </w:numPr>
      </w:pPr>
      <w:r>
        <w:rPr>
          <w:b/>
          <w:bCs/>
          <w:lang w:val="es"/>
        </w:rPr>
        <w:t xml:space="preserve">Pesos iguales en el crosswalk.</w:t>
      </w:r>
      <w:r>
        <w:rPr>
          <w:lang w:val="es"/>
        </w:rPr>
        <w:t xml:space="preserve"> </w:t>
      </w:r>
      <w:r>
        <w:rPr>
          <w:lang w:val="es"/>
        </w:rPr>
        <w:t xml:space="preserve">Hay pesos de empleo disponibles como opción.</w:t>
      </w:r>
    </w:p>
    <w:p>
      <w:pPr>
        <w:pStyle w:val="Compact"/>
        <w:numPr>
          <w:ilvl w:val="0"/>
          <w:numId w:val="1014"/>
        </w:numPr>
      </w:pPr>
      <w:r>
        <w:rPr>
          <w:b/>
          <w:bCs/>
          <w:lang w:val="es"/>
        </w:rPr>
        <w:t xml:space="preserve">El índice del JRC no es un criterio independiente para K</w:t>
      </w:r>
      <w:r>
        <w:rPr>
          <w:lang w:val="es"/>
        </w:rPr>
        <w:t xml:space="preserve"> </w:t>
      </w:r>
      <w:r>
        <w:rPr>
          <w:lang w:val="es"/>
        </w:rPr>
        <w:t xml:space="preserve">en la v4.1 (§3.4).</w:t>
      </w:r>
    </w:p>
    <w:p>
      <w:pPr>
        <w:pStyle w:val="Compact"/>
        <w:numPr>
          <w:ilvl w:val="0"/>
          <w:numId w:val="1014"/>
        </w:numPr>
      </w:pPr>
      <w:r>
        <w:rPr>
          <w:b/>
          <w:bCs/>
          <w:lang w:val="es"/>
        </w:rPr>
        <w:t xml:space="preserve">Todos los índices miden un potencial,</w:t>
      </w:r>
      <w:r>
        <w:rPr>
          <w:lang w:val="es"/>
        </w:rPr>
        <w:t xml:space="preserve"> </w:t>
      </w:r>
      <w:r>
        <w:rPr>
          <w:lang w:val="es"/>
        </w:rPr>
        <w:t xml:space="preserve">no hechos realizados.</w:t>
      </w:r>
    </w:p>
    <w:p>
      <w:pPr>
        <w:pStyle w:val="Heading1"/>
      </w:pPr>
      <w:bookmarkStart w:id="23" w:name="_referencias"/>
      <w:r>
        <w:rPr>
          <w:lang w:val="es"/>
        </w:rPr>
        <w:t xml:space="preserve">Referencias</w:t>
      </w:r>
      <w:bookmarkEnd w:id="23"/>
    </w:p>
    <w:p>
      <w:pPr>
        <w:pStyle w:val="Compact"/>
        <w:numPr>
          <w:ilvl w:val="0"/>
          <w:numId w:val="1015"/>
        </w:numPr>
      </w:pPr>
      <w:r>
        <w:rPr>
          <w:lang w:val="es"/>
        </w:rPr>
        <w:t xml:space="preserve">Acemoglu, D. y Autor, D. (2011). Skills, tasks and technologies: Implications for employment and earnings.</w:t>
      </w:r>
      <w:r>
        <w:rPr>
          <w:lang w:val="es"/>
        </w:rPr>
        <w:t xml:space="preserve"> </w:t>
      </w:r>
      <w:r>
        <w:rPr>
          <w:i/>
          <w:iCs/>
          <w:lang w:val="es"/>
        </w:rPr>
        <w:t xml:space="preserve">Handbook of Labor Economics</w:t>
      </w:r>
      <w:r>
        <w:rPr>
          <w:lang w:val="es"/>
        </w:rPr>
        <w:t xml:space="preserve">, 4B, 1043–1171.</w:t>
      </w:r>
    </w:p>
    <w:p>
      <w:pPr>
        <w:pStyle w:val="Compact"/>
        <w:numPr>
          <w:ilvl w:val="0"/>
          <w:numId w:val="1015"/>
        </w:numPr>
      </w:pPr>
      <w:r>
        <w:rPr>
          <w:lang w:val="es"/>
        </w:rPr>
        <w:t xml:space="preserve">Casas, P., Fernández-Macías, E., Martínez-Plumed, F., Gómez, E., González-Vázquez, I. y Salotti, S. (2026).</w:t>
      </w:r>
      <w:r>
        <w:rPr>
          <w:lang w:val="es"/>
        </w:rPr>
        <w:t xml:space="preserve"> </w:t>
      </w:r>
      <w:r>
        <w:rPr>
          <w:i/>
          <w:iCs/>
          <w:lang w:val="es"/>
        </w:rPr>
        <w:t xml:space="preserve">Revisiting the occupational impact of AI in the generative AI era</w:t>
      </w:r>
      <w:r>
        <w:rPr>
          <w:lang w:val="es"/>
        </w:rPr>
        <w:t xml:space="preserve">. JRC145832, Comisión Europea.</w:t>
      </w:r>
    </w:p>
    <w:p>
      <w:pPr>
        <w:pStyle w:val="Compact"/>
        <w:numPr>
          <w:ilvl w:val="0"/>
          <w:numId w:val="1015"/>
        </w:numPr>
      </w:pPr>
      <w:r>
        <w:rPr>
          <w:lang w:val="es"/>
        </w:rPr>
        <w:t xml:space="preserve">Eloundou, T., Manning, S., Mishkin, P. y Rock, D. (2024). GPTs are GPTs: Labor market impact potential of LLMs.</w:t>
      </w:r>
      <w:r>
        <w:rPr>
          <w:lang w:val="es"/>
        </w:rPr>
        <w:t xml:space="preserve"> </w:t>
      </w:r>
      <w:r>
        <w:rPr>
          <w:i/>
          <w:iCs/>
          <w:lang w:val="es"/>
        </w:rPr>
        <w:t xml:space="preserve">Science</w:t>
      </w:r>
      <w:r>
        <w:rPr>
          <w:lang w:val="es"/>
        </w:rPr>
        <w:t xml:space="preserve">, 384(6702), 1306–1308.</w:t>
      </w:r>
    </w:p>
    <w:p>
      <w:pPr>
        <w:pStyle w:val="Compact"/>
        <w:numPr>
          <w:ilvl w:val="0"/>
          <w:numId w:val="1015"/>
        </w:numPr>
      </w:pPr>
      <w:r>
        <w:rPr>
          <w:lang w:val="es"/>
        </w:rPr>
        <w:t xml:space="preserve">Fernández-Macías, E. y Bisello, M. (2022). A comprehensive taxonomy of tasks for assessing the impact of new technologies on work.</w:t>
      </w:r>
      <w:r>
        <w:rPr>
          <w:lang w:val="es"/>
        </w:rPr>
        <w:t xml:space="preserve"> </w:t>
      </w:r>
      <w:r>
        <w:rPr>
          <w:i/>
          <w:iCs/>
          <w:lang w:val="es"/>
        </w:rPr>
        <w:t xml:space="preserve">Social Indicators Research</w:t>
      </w:r>
      <w:r>
        <w:rPr>
          <w:lang w:val="es"/>
        </w:rPr>
        <w:t xml:space="preserve">, 159, 821–841.</w:t>
      </w:r>
    </w:p>
    <w:p>
      <w:pPr>
        <w:pStyle w:val="Compact"/>
        <w:numPr>
          <w:ilvl w:val="0"/>
          <w:numId w:val="1015"/>
        </w:numPr>
      </w:pPr>
      <w:r>
        <w:rPr>
          <w:lang w:val="es"/>
        </w:rPr>
        <w:t xml:space="preserve">National Center for O*NET Development (2026).</w:t>
      </w:r>
      <w:r>
        <w:rPr>
          <w:lang w:val="es"/>
        </w:rPr>
        <w:t xml:space="preserve"> </w:t>
      </w:r>
      <w:r>
        <w:rPr>
          <w:i/>
          <w:iCs/>
          <w:lang w:val="es"/>
        </w:rPr>
        <w:t xml:space="preserve">O*NET 30.2 Database</w:t>
      </w:r>
      <w:r>
        <w:rPr>
          <w:lang w:val="es"/>
        </w:rPr>
        <w:t xml:space="preserve">. USDOL/ETA, CC BY 4.0.</w:t>
      </w:r>
    </w:p>
    <w:p>
      <w:pPr>
        <w:pStyle w:val="Compact"/>
        <w:numPr>
          <w:ilvl w:val="0"/>
          <w:numId w:val="1015"/>
        </w:numPr>
      </w:pPr>
      <w:r>
        <w:rPr>
          <w:lang w:val="es"/>
        </w:rPr>
        <w:t xml:space="preserve">OCDE y JRC (2008).</w:t>
      </w:r>
      <w:r>
        <w:rPr>
          <w:lang w:val="es"/>
        </w:rPr>
        <w:t xml:space="preserve"> </w:t>
      </w:r>
      <w:r>
        <w:rPr>
          <w:i/>
          <w:iCs/>
          <w:lang w:val="es"/>
        </w:rPr>
        <w:t xml:space="preserve">Handbook on Constructing Composite Indicators: Methodology and User Guide</w:t>
      </w:r>
      <w:r>
        <w:rPr>
          <w:lang w:val="es"/>
        </w:rPr>
        <w:t xml:space="preserve">. OCDE.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ITEA — Metodología v4.0</dc:title>
  <dc:creator>Alberto García-Lluis Valencia</dc:creator>
  <dc:language>es</dc:language>
  <cp:keywords/>
  <dcterms:created xsi:type="dcterms:W3CDTF">2026-10-23T16:54:24Z</dcterms:created>
  <dcterms:modified xsi:type="dcterms:W3CDTF">2026-10-23T16:54:24Z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de octubre de 2026</vt:lpwstr>
  </property>
  <property fmtid="{D5CDD505-2E9C-101B-9397-08002B2CF9AE}" pid="3" name="subtitle">
    <vt:lpwstr>OAXI-EU sobre el eje ISCO-08 y graduación de tareas v4.1 (en desarrollo)</vt:lpwstr>
  </property>
</Properties>
</file>