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0"/>
        <w:jc w:val="center"/>
      </w:pPr>
      <w:r>
        <w:rPr>
          <w:rFonts w:ascii="Calibri" w:cs="Calibri" w:eastAsia="Calibri" w:hAnsi="Calibri"/>
          <w:b/>
          <w:bCs/>
          <w:color w:val="1B4F72"/>
          <w:sz w:val="52"/>
          <w:szCs w:val="52"/>
        </w:rPr>
        <w:t xml:space="preserve">ITEA FRAMEWORK</w:t>
      </w:r>
    </w:p>
    <w:p>
      <w:pPr>
        <w:spacing w:after="100"/>
        <w:jc w:val="center"/>
      </w:pPr>
      <w:r>
        <w:rPr>
          <w:rFonts w:ascii="Calibri" w:cs="Calibri" w:eastAsia="Calibri" w:hAnsi="Calibri"/>
          <w:i/>
          <w:iCs/>
          <w:sz w:val="30"/>
          <w:szCs w:val="30"/>
        </w:rPr>
        <w:t xml:space="preserve">Triple Index of Exposure to Automation</w:t>
      </w:r>
    </w:p>
    <w:p>
      <w:pPr>
        <w:spacing w:after="60" w:before="400"/>
        <w:jc w:val="center"/>
      </w:pPr>
      <w:r>
        <w:rPr>
          <w:rFonts w:ascii="Calibri" w:cs="Calibri" w:eastAsia="Calibri" w:hAnsi="Calibri"/>
          <w:b/>
          <w:bCs/>
          <w:color w:val="2E86C1"/>
          <w:sz w:val="28"/>
          <w:szCs w:val="28"/>
        </w:rPr>
        <w:t xml:space="preserve">Consolidated Methodological Edition · v3.0</w:t>
      </w:r>
    </w:p>
    <w:p>
      <w:pPr>
        <w:spacing w:after="60"/>
        <w:jc w:val="center"/>
      </w:pPr>
      <w:r>
        <w:rPr>
          <w:rFonts w:ascii="Calibri" w:cs="Calibri" w:eastAsia="Calibri" w:hAnsi="Calibri"/>
          <w:i/>
          <w:iCs/>
          <w:color w:val="666666"/>
          <w:sz w:val="20"/>
          <w:szCs w:val="20"/>
        </w:rPr>
        <w:t xml:space="preserve">Single authoritative reference superseding v2.0 (April 2026) and Memorandum v2.1 (April 2026)</w:t>
      </w:r>
    </w:p>
    <w:p>
      <w:pPr>
        <w:spacing w:after="100" w:before="600"/>
        <w:jc w:val="center"/>
      </w:pPr>
      <w:r>
        <w:rPr>
          <w:rFonts w:ascii="Calibri" w:cs="Calibri" w:eastAsia="Calibri" w:hAnsi="Calibri"/>
          <w:i/>
          <w:iCs/>
          <w:sz w:val="22"/>
          <w:szCs w:val="22"/>
        </w:rPr>
        <w:t xml:space="preserve">10 indicators · 1,016 occupations · O*NET 30.2</w:t>
      </w:r>
    </w:p>
    <w:p>
      <w:pPr>
        <w:spacing w:after="60"/>
        <w:jc w:val="center"/>
      </w:pPr>
      <w:r>
        <w:rPr>
          <w:rFonts w:ascii="Calibri" w:cs="Calibri" w:eastAsia="Calibri" w:hAnsi="Calibri"/>
          <w:i/>
          <w:iCs/>
          <w:sz w:val="20"/>
          <w:szCs w:val="20"/>
        </w:rPr>
        <w:t xml:space="preserve">Effective N = 878 occupations for OAEI v3.0; N = 846 for full validation matrix</w:t>
      </w:r>
    </w:p>
    <w:p>
      <w:pPr>
        <w:spacing w:after="60"/>
        <w:jc w:val="center"/>
      </w:pPr>
      <w:r>
        <w:rPr>
          <w:rFonts w:ascii="Calibri" w:cs="Calibri" w:eastAsia="Calibri" w:hAnsi="Calibri"/>
          <w:i/>
          <w:iCs/>
          <w:sz w:val="20"/>
          <w:szCs w:val="20"/>
        </w:rPr>
        <w:t xml:space="preserve">External convergent validation: r(OAEI v3.0+, AIOE) = 0.797 over 738 common SOC 6-digit occupations</w:t>
      </w:r>
    </w:p>
    <w:p>
      <w:pPr>
        <w:spacing w:after="80" w:before="600"/>
        <w:jc w:val="center"/>
      </w:pPr>
      <w:r>
        <w:rPr>
          <w:rFonts w:ascii="Calibri" w:cs="Calibri" w:eastAsia="Calibri" w:hAnsi="Calibri"/>
          <w:b/>
          <w:bCs/>
          <w:sz w:val="24"/>
          <w:szCs w:val="24"/>
        </w:rPr>
        <w:t xml:space="preserve">Author: Alberto García-Lluis Valencia</w:t>
      </w:r>
    </w:p>
    <w:p>
      <w:pPr>
        <w:spacing w:after="60"/>
        <w:jc w:val="center"/>
      </w:pPr>
      <w:r>
        <w:rPr>
          <w:rFonts w:ascii="Calibri" w:cs="Calibri" w:eastAsia="Calibri" w:hAnsi="Calibri"/>
          <w:sz w:val="22"/>
          <w:szCs w:val="22"/>
        </w:rPr>
        <w:t xml:space="preserve">Universidad Rey Juan Carlos · ORCID 0009-0003-1438-1633</w:t>
      </w:r>
    </w:p>
    <w:p>
      <w:pPr>
        <w:spacing w:after="60"/>
        <w:jc w:val="center"/>
      </w:pPr>
      <w:r>
        <w:rPr>
          <w:rFonts w:ascii="Calibri" w:cs="Calibri" w:eastAsia="Calibri" w:hAnsi="Calibri"/>
          <w:sz w:val="22"/>
          <w:szCs w:val="22"/>
        </w:rPr>
        <w:t xml:space="preserve">alb.valencia@gmail.com</w:t>
      </w:r>
    </w:p>
    <w:p>
      <w:pPr>
        <w:spacing w:after="60" w:before="480"/>
        <w:jc w:val="center"/>
      </w:pPr>
      <w:r>
        <w:rPr>
          <w:rFonts w:ascii="Calibri" w:cs="Calibri" w:eastAsia="Calibri" w:hAnsi="Calibri"/>
          <w:i/>
          <w:iCs/>
          <w:sz w:val="22"/>
          <w:szCs w:val="22"/>
        </w:rPr>
        <w:t xml:space="preserve">Version 3.0 — April 2026</w:t>
      </w:r>
    </w:p>
    <w:p>
      <w:pPr>
        <w:spacing w:after="60"/>
        <w:jc w:val="center"/>
      </w:pPr>
      <w:r>
        <w:rPr>
          <w:rFonts w:ascii="Calibri" w:cs="Calibri" w:eastAsia="Calibri" w:hAnsi="Calibri"/>
          <w:i/>
          <w:iCs/>
          <w:sz w:val="20"/>
          <w:szCs w:val="20"/>
        </w:rPr>
        <w:t xml:space="preserve">Repository: github.com/AVAL22/ITEA-Framework</w:t>
      </w:r>
    </w:p>
    <w:p>
      <w:pPr>
        <w:spacing w:after="60"/>
        <w:jc w:val="center"/>
      </w:pPr>
      <w:r>
        <w:rPr>
          <w:rFonts w:ascii="Calibri" w:cs="Calibri" w:eastAsia="Calibri" w:hAnsi="Calibri"/>
          <w:i/>
          <w:iCs/>
          <w:sz w:val="20"/>
          <w:szCs w:val="20"/>
        </w:rPr>
        <w:t xml:space="preserve">Zenodo DOI: 10.5281/zenodo.19578916</w:t>
      </w:r>
    </w:p>
    <w:p>
      <w:r>
        <w:br w:type="page"/>
      </w:r>
    </w:p>
    <w:p>
      <w:pPr>
        <w:pStyle w:val="Heading1"/>
        <w:spacing w:after="200" w:before="360"/>
      </w:pPr>
      <w:r>
        <w:rPr>
          <w:rFonts w:ascii="Calibri" w:cs="Calibri" w:eastAsia="Calibri" w:hAnsi="Calibri"/>
          <w:b/>
          <w:bCs/>
          <w:color w:val="1B4F72"/>
          <w:sz w:val="28"/>
          <w:szCs w:val="28"/>
        </w:rPr>
        <w:t xml:space="preserve">Abstract</w:t>
      </w:r>
    </w:p>
    <w:p>
      <w:pPr>
        <w:spacing w:after="120" w:line="300"/>
        <w:jc w:val="both"/>
      </w:pPr>
      <w:r>
        <w:rPr>
          <w:rFonts w:ascii="Calibri" w:cs="Calibri" w:eastAsia="Calibri" w:hAnsi="Calibri"/>
          <w:b w:val="false"/>
          <w:bCs w:val="false"/>
          <w:i w:val="false"/>
          <w:iCs w:val="false"/>
          <w:sz w:val="22"/>
          <w:szCs w:val="22"/>
        </w:rPr>
        <w:t xml:space="preserve">This document is the consolidated methodological reference for the ITEA Framework v3.0, a multidimensional system for measuring occupational exposure to algorithmic expropriation under the Agentic AI regime. It supersedes ITEA Methodology v2.0 (April 2026) and the Memorandum v2.1 (April 2026), now formally deprecated, and integrates into a single document the conceptual foundations developed in v2.0, the data update to O*NET 30.2 implemented in v2.1, and the major methodological revision implemented in v3.0. It also documents the trilogy of research papers (8A, 8B, 8C) whose empirical findings constitute the case study that motivated the v3.0 revision and that demonstrate the framework's active use in research.</w:t>
      </w:r>
    </w:p>
    <w:p>
      <w:pPr>
        <w:spacing w:after="120" w:line="300"/>
        <w:jc w:val="both"/>
      </w:pPr>
      <w:r>
        <w:rPr>
          <w:rFonts w:ascii="Calibri" w:cs="Calibri" w:eastAsia="Calibri" w:hAnsi="Calibri"/>
          <w:b w:val="false"/>
          <w:bCs w:val="false"/>
          <w:i w:val="false"/>
          <w:iCs w:val="false"/>
          <w:sz w:val="22"/>
          <w:szCs w:val="22"/>
        </w:rPr>
        <w:t xml:space="preserve">Three structural changes characterise v3.0 relative to v2.1. First, the ITEA aggregation is reformulated through z-score normalisation of components prior to averaging, with a final min-max projection to [0,1]. The improvement is substantial: r(ITEA, AEI) rises from 0.71 to 0.89; r(ITEA, AIOE) — the convergent validity against the canonical Felten, Raj and Seamans (2021) benchmark — rises from 0.36 to 0.43. Second, the IRA construction adopts triple residualisation against the full set of structural moderators (GEE, ITEA, ICT), reducing r(IRA, ITEA) from 0.28 to 0.14 and r(IRA, ICT) from 0.10 to 0.06, with 84% of the original IRA variance preserved. Third, the OAEI is provided in two variants: a canonical multiplicative form (preserving compatibility with the trilogy of papers) and an additive variant that improves criterion validity against wage from 0.58 to 0.66 while preserving external convergent validation against AIOE.</w:t>
      </w:r>
    </w:p>
    <w:p>
      <w:pPr>
        <w:spacing w:after="120" w:line="300"/>
        <w:jc w:val="both"/>
      </w:pPr>
      <w:r>
        <w:rPr>
          <w:rFonts w:ascii="Calibri" w:cs="Calibri" w:eastAsia="Calibri" w:hAnsi="Calibri"/>
          <w:b w:val="false"/>
          <w:bCs w:val="false"/>
          <w:i w:val="false"/>
          <w:iCs w:val="false"/>
          <w:sz w:val="22"/>
          <w:szCs w:val="22"/>
        </w:rPr>
        <w:t xml:space="preserve">The empirical thesis of the trilogy — that the Q1 quadrant (high GEE × high IRA) concentrates the maximum OAEI under the Insider-Outsider inversion characteristic of the Agentic regime — is preserved under v3.0. The new top-20 OAEI ranking is qualitatively more aligned with the trilogy's theoretical claim, led by Pathologists, Market Research Analysts, Business Intelligence Analysts, Credit Analysts, and Quantitative Financial Analysts: the chemically pure populations of the Agentic crystallisation phenomenon. Cross-version stability is high: r(OAEI v2.1, OAEI v3.0) = 0.93; ρ Spearman = 0.95; 11 of 20 top-20 occupations are preserved.</w:t>
      </w:r>
    </w:p>
    <w:p>
      <w:pPr>
        <w:spacing w:after="100"/>
      </w:pPr>
      <w:r>
        <w:t xml:space="preserve"/>
      </w:r>
    </w:p>
    <w:p>
      <w:pPr>
        <w:spacing w:after="120" w:line="300"/>
        <w:jc w:val="both"/>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ITEA Framework; algorithmic expropriation; Agentic AI; occupational exposure; psychometric validation; convergent validity; discriminant validity; triple residualisation; AIOE benchmark; O*NET 30.2; Insider-Outsider inversion.</w:t>
      </w:r>
    </w:p>
    <w:p>
      <w:pPr>
        <w:spacing w:after="100"/>
      </w:pPr>
      <w:r>
        <w:t xml:space="preserve"/>
      </w:r>
    </w:p>
    <w:p>
      <w:pPr>
        <w:spacing w:after="120" w:line="300"/>
        <w:jc w:val="both"/>
      </w:pPr>
      <w:r>
        <w:rPr>
          <w:rFonts w:ascii="Calibri" w:cs="Calibri" w:eastAsia="Calibri" w:hAnsi="Calibri"/>
          <w:b/>
          <w:bCs/>
          <w:i w:val="false"/>
          <w:iCs w:val="false"/>
          <w:sz w:val="22"/>
          <w:szCs w:val="22"/>
        </w:rPr>
        <w:t xml:space="preserve">JEL codes: </w:t>
      </w:r>
      <w:r>
        <w:rPr>
          <w:rFonts w:ascii="Calibri" w:cs="Calibri" w:eastAsia="Calibri" w:hAnsi="Calibri"/>
          <w:b w:val="false"/>
          <w:bCs w:val="false"/>
          <w:i w:val="false"/>
          <w:iCs w:val="false"/>
          <w:sz w:val="22"/>
          <w:szCs w:val="22"/>
        </w:rPr>
        <w:t xml:space="preserve">J24, O33, J63, J21, E24</w:t>
      </w:r>
    </w:p>
    <w:p>
      <w:r>
        <w:br w:type="page"/>
      </w:r>
    </w:p>
    <w:p>
      <w:pPr>
        <w:pStyle w:val="Heading1"/>
        <w:spacing w:after="200" w:before="360"/>
      </w:pPr>
      <w:r>
        <w:rPr>
          <w:rFonts w:ascii="Calibri" w:cs="Calibri" w:eastAsia="Calibri" w:hAnsi="Calibri"/>
          <w:b/>
          <w:bCs/>
          <w:color w:val="1B4F72"/>
          <w:sz w:val="28"/>
          <w:szCs w:val="28"/>
        </w:rPr>
        <w:t xml:space="preserve">Contents</w:t>
      </w:r>
    </w:p>
    <w:p>
      <w:pPr>
        <w:spacing w:after="60"/>
        <w:ind w:left="0"/>
        <w:jc w:val="left"/>
      </w:pPr>
      <w:r>
        <w:rPr>
          <w:rFonts w:ascii="Calibri" w:cs="Calibri" w:eastAsia="Calibri" w:hAnsi="Calibri"/>
          <w:sz w:val="22"/>
          <w:szCs w:val="22"/>
        </w:rPr>
        <w:t xml:space="preserve">1. Introduction and document scope</w:t>
      </w:r>
    </w:p>
    <w:p>
      <w:pPr>
        <w:spacing w:after="60"/>
        <w:ind w:left="540"/>
        <w:jc w:val="left"/>
      </w:pPr>
      <w:r>
        <w:rPr>
          <w:rFonts w:ascii="Calibri" w:cs="Calibri" w:eastAsia="Calibri" w:hAnsi="Calibri"/>
          <w:sz w:val="22"/>
          <w:szCs w:val="22"/>
        </w:rPr>
        <w:t xml:space="preserve">    1.1 Purpose of the consolidated edition</w:t>
      </w:r>
    </w:p>
    <w:p>
      <w:pPr>
        <w:spacing w:after="60"/>
        <w:ind w:left="540"/>
        <w:jc w:val="left"/>
      </w:pPr>
      <w:r>
        <w:rPr>
          <w:rFonts w:ascii="Calibri" w:cs="Calibri" w:eastAsia="Calibri" w:hAnsi="Calibri"/>
          <w:sz w:val="22"/>
          <w:szCs w:val="22"/>
        </w:rPr>
        <w:t xml:space="preserve">    1.2 Deprecation of v2.0 and v2.1 — formal statement</w:t>
      </w:r>
    </w:p>
    <w:p>
      <w:pPr>
        <w:spacing w:after="60"/>
        <w:ind w:left="540"/>
        <w:jc w:val="left"/>
      </w:pPr>
      <w:r>
        <w:rPr>
          <w:rFonts w:ascii="Calibri" w:cs="Calibri" w:eastAsia="Calibri" w:hAnsi="Calibri"/>
          <w:sz w:val="22"/>
          <w:szCs w:val="22"/>
        </w:rPr>
        <w:t xml:space="preserve">    1.3 Document structure</w:t>
      </w:r>
    </w:p>
    <w:p>
      <w:pPr>
        <w:spacing w:after="60"/>
        <w:ind w:left="0"/>
        <w:jc w:val="left"/>
      </w:pPr>
      <w:r>
        <w:rPr>
          <w:rFonts w:ascii="Calibri" w:cs="Calibri" w:eastAsia="Calibri" w:hAnsi="Calibri"/>
          <w:sz w:val="22"/>
          <w:szCs w:val="22"/>
        </w:rPr>
        <w:t xml:space="preserve">2. Framework evolution — from v1.x operational baseline to v3.0</w:t>
      </w:r>
    </w:p>
    <w:p>
      <w:pPr>
        <w:spacing w:after="60"/>
        <w:ind w:left="540"/>
        <w:jc w:val="left"/>
      </w:pPr>
      <w:r>
        <w:rPr>
          <w:rFonts w:ascii="Calibri" w:cs="Calibri" w:eastAsia="Calibri" w:hAnsi="Calibri"/>
          <w:sz w:val="22"/>
          <w:szCs w:val="22"/>
        </w:rPr>
        <w:t xml:space="preserve">    2.1 The two parallel numbering lines</w:t>
      </w:r>
    </w:p>
    <w:p>
      <w:pPr>
        <w:spacing w:after="60"/>
        <w:ind w:left="540"/>
        <w:jc w:val="left"/>
      </w:pPr>
      <w:r>
        <w:rPr>
          <w:rFonts w:ascii="Calibri" w:cs="Calibri" w:eastAsia="Calibri" w:hAnsi="Calibri"/>
          <w:sz w:val="22"/>
          <w:szCs w:val="22"/>
        </w:rPr>
        <w:t xml:space="preserve">    2.2 Why v3.0 was the right moment for unification</w:t>
      </w:r>
    </w:p>
    <w:p>
      <w:pPr>
        <w:spacing w:after="60"/>
        <w:ind w:left="540"/>
        <w:jc w:val="left"/>
      </w:pPr>
      <w:r>
        <w:rPr>
          <w:rFonts w:ascii="Calibri" w:cs="Calibri" w:eastAsia="Calibri" w:hAnsi="Calibri"/>
          <w:sz w:val="22"/>
          <w:szCs w:val="22"/>
        </w:rPr>
        <w:t xml:space="preserve">    2.3 The trilogy as the decisive case study</w:t>
      </w:r>
    </w:p>
    <w:p>
      <w:pPr>
        <w:spacing w:after="60"/>
        <w:ind w:left="0"/>
        <w:jc w:val="left"/>
      </w:pPr>
      <w:r>
        <w:rPr>
          <w:rFonts w:ascii="Calibri" w:cs="Calibri" w:eastAsia="Calibri" w:hAnsi="Calibri"/>
          <w:sz w:val="22"/>
          <w:szCs w:val="22"/>
        </w:rPr>
        <w:t xml:space="preserve">3. The ITEA Framework — conceptual foundations preserved from v2.0</w:t>
      </w:r>
    </w:p>
    <w:p>
      <w:pPr>
        <w:spacing w:after="60"/>
        <w:ind w:left="540"/>
        <w:jc w:val="left"/>
      </w:pPr>
      <w:r>
        <w:rPr>
          <w:rFonts w:ascii="Calibri" w:cs="Calibri" w:eastAsia="Calibri" w:hAnsi="Calibri"/>
          <w:sz w:val="22"/>
          <w:szCs w:val="22"/>
        </w:rPr>
        <w:t xml:space="preserve">    3.1 The Agentic regime distinction</w:t>
      </w:r>
    </w:p>
    <w:p>
      <w:pPr>
        <w:spacing w:after="60"/>
        <w:ind w:left="540"/>
        <w:jc w:val="left"/>
      </w:pPr>
      <w:r>
        <w:rPr>
          <w:rFonts w:ascii="Calibri" w:cs="Calibri" w:eastAsia="Calibri" w:hAnsi="Calibri"/>
          <w:sz w:val="22"/>
          <w:szCs w:val="22"/>
        </w:rPr>
        <w:t xml:space="preserve">    3.2 The eight-indicator architecture (ten with v3.0 additions)</w:t>
      </w:r>
    </w:p>
    <w:p>
      <w:pPr>
        <w:spacing w:after="60"/>
        <w:ind w:left="540"/>
        <w:jc w:val="left"/>
      </w:pPr>
      <w:r>
        <w:rPr>
          <w:rFonts w:ascii="Calibri" w:cs="Calibri" w:eastAsia="Calibri" w:hAnsi="Calibri"/>
          <w:sz w:val="22"/>
          <w:szCs w:val="22"/>
        </w:rPr>
        <w:t xml:space="preserve">    3.3 Source data: O*NET 30.2 and external benchmarks</w:t>
      </w:r>
    </w:p>
    <w:p>
      <w:pPr>
        <w:spacing w:after="60"/>
        <w:ind w:left="0"/>
        <w:jc w:val="left"/>
      </w:pPr>
      <w:r>
        <w:rPr>
          <w:rFonts w:ascii="Calibri" w:cs="Calibri" w:eastAsia="Calibri" w:hAnsi="Calibri"/>
          <w:sz w:val="22"/>
          <w:szCs w:val="22"/>
        </w:rPr>
        <w:t xml:space="preserve">4. ITEA v3.0 — reformulated aggregation</w:t>
      </w:r>
    </w:p>
    <w:p>
      <w:pPr>
        <w:spacing w:after="60"/>
        <w:ind w:left="540"/>
        <w:jc w:val="left"/>
      </w:pPr>
      <w:r>
        <w:rPr>
          <w:rFonts w:ascii="Calibri" w:cs="Calibri" w:eastAsia="Calibri" w:hAnsi="Calibri"/>
          <w:sz w:val="22"/>
          <w:szCs w:val="22"/>
        </w:rPr>
        <w:t xml:space="preserve">    4.1 Diagnostic of the v2.1 problem</w:t>
      </w:r>
    </w:p>
    <w:p>
      <w:pPr>
        <w:spacing w:after="60"/>
        <w:ind w:left="540"/>
        <w:jc w:val="left"/>
      </w:pPr>
      <w:r>
        <w:rPr>
          <w:rFonts w:ascii="Calibri" w:cs="Calibri" w:eastAsia="Calibri" w:hAnsi="Calibri"/>
          <w:sz w:val="22"/>
          <w:szCs w:val="22"/>
        </w:rPr>
        <w:t xml:space="preserve">    4.2 Mathematical formulation</w:t>
      </w:r>
    </w:p>
    <w:p>
      <w:pPr>
        <w:spacing w:after="60"/>
        <w:ind w:left="540"/>
        <w:jc w:val="left"/>
      </w:pPr>
      <w:r>
        <w:rPr>
          <w:rFonts w:ascii="Calibri" w:cs="Calibri" w:eastAsia="Calibri" w:hAnsi="Calibri"/>
          <w:sz w:val="22"/>
          <w:szCs w:val="22"/>
        </w:rPr>
        <w:t xml:space="preserve">    4.3 Validation results</w:t>
      </w:r>
    </w:p>
    <w:p>
      <w:pPr>
        <w:spacing w:after="60"/>
        <w:ind w:left="540"/>
        <w:jc w:val="left"/>
      </w:pPr>
      <w:r>
        <w:rPr>
          <w:rFonts w:ascii="Calibri" w:cs="Calibri" w:eastAsia="Calibri" w:hAnsi="Calibri"/>
          <w:sz w:val="22"/>
          <w:szCs w:val="22"/>
        </w:rPr>
        <w:t xml:space="preserve">    4.4 Trilogy case study: how Paper 8A motivated this change</w:t>
      </w:r>
    </w:p>
    <w:p>
      <w:pPr>
        <w:spacing w:after="60"/>
        <w:ind w:left="0"/>
        <w:jc w:val="left"/>
      </w:pPr>
      <w:r>
        <w:rPr>
          <w:rFonts w:ascii="Calibri" w:cs="Calibri" w:eastAsia="Calibri" w:hAnsi="Calibri"/>
          <w:sz w:val="22"/>
          <w:szCs w:val="22"/>
        </w:rPr>
        <w:t xml:space="preserve">5. IRA v3.0 — triple residualisation</w:t>
      </w:r>
    </w:p>
    <w:p>
      <w:pPr>
        <w:spacing w:after="60"/>
        <w:ind w:left="540"/>
        <w:jc w:val="left"/>
      </w:pPr>
      <w:r>
        <w:rPr>
          <w:rFonts w:ascii="Calibri" w:cs="Calibri" w:eastAsia="Calibri" w:hAnsi="Calibri"/>
          <w:sz w:val="22"/>
          <w:szCs w:val="22"/>
        </w:rPr>
        <w:t xml:space="preserve">    5.1 Diagnostic of the v2.1 problem</w:t>
      </w:r>
    </w:p>
    <w:p>
      <w:pPr>
        <w:spacing w:after="60"/>
        <w:ind w:left="540"/>
        <w:jc w:val="left"/>
      </w:pPr>
      <w:r>
        <w:rPr>
          <w:rFonts w:ascii="Calibri" w:cs="Calibri" w:eastAsia="Calibri" w:hAnsi="Calibri"/>
          <w:sz w:val="22"/>
          <w:szCs w:val="22"/>
        </w:rPr>
        <w:t xml:space="preserve">    5.2 Mathematical formulation</w:t>
      </w:r>
    </w:p>
    <w:p>
      <w:pPr>
        <w:spacing w:after="60"/>
        <w:ind w:left="540"/>
        <w:jc w:val="left"/>
      </w:pPr>
      <w:r>
        <w:rPr>
          <w:rFonts w:ascii="Calibri" w:cs="Calibri" w:eastAsia="Calibri" w:hAnsi="Calibri"/>
          <w:sz w:val="22"/>
          <w:szCs w:val="22"/>
        </w:rPr>
        <w:t xml:space="preserve">    5.3 Validation results</w:t>
      </w:r>
    </w:p>
    <w:p>
      <w:pPr>
        <w:spacing w:after="60"/>
        <w:ind w:left="540"/>
        <w:jc w:val="left"/>
      </w:pPr>
      <w:r>
        <w:rPr>
          <w:rFonts w:ascii="Calibri" w:cs="Calibri" w:eastAsia="Calibri" w:hAnsi="Calibri"/>
          <w:sz w:val="22"/>
          <w:szCs w:val="22"/>
        </w:rPr>
        <w:t xml:space="preserve">    5.4 Trilogy case study: how Paper 8C motivated this change</w:t>
      </w:r>
    </w:p>
    <w:p>
      <w:pPr>
        <w:spacing w:after="60"/>
        <w:ind w:left="0"/>
        <w:jc w:val="left"/>
      </w:pPr>
      <w:r>
        <w:rPr>
          <w:rFonts w:ascii="Calibri" w:cs="Calibri" w:eastAsia="Calibri" w:hAnsi="Calibri"/>
          <w:sz w:val="22"/>
          <w:szCs w:val="22"/>
        </w:rPr>
        <w:t xml:space="preserve">6. OAEI v3.0 — dual-variant architecture</w:t>
      </w:r>
    </w:p>
    <w:p>
      <w:pPr>
        <w:spacing w:after="60"/>
        <w:ind w:left="540"/>
        <w:jc w:val="left"/>
      </w:pPr>
      <w:r>
        <w:rPr>
          <w:rFonts w:ascii="Calibri" w:cs="Calibri" w:eastAsia="Calibri" w:hAnsi="Calibri"/>
          <w:sz w:val="22"/>
          <w:szCs w:val="22"/>
        </w:rPr>
        <w:t xml:space="preserve">    6.1 OAEI v3.0 multiplicative (canonical)</w:t>
      </w:r>
    </w:p>
    <w:p>
      <w:pPr>
        <w:spacing w:after="60"/>
        <w:ind w:left="540"/>
        <w:jc w:val="left"/>
      </w:pPr>
      <w:r>
        <w:rPr>
          <w:rFonts w:ascii="Calibri" w:cs="Calibri" w:eastAsia="Calibri" w:hAnsi="Calibri"/>
          <w:sz w:val="22"/>
          <w:szCs w:val="22"/>
        </w:rPr>
        <w:t xml:space="preserve">    6.2 OAEI v3.0+ additive (alternative)</w:t>
      </w:r>
    </w:p>
    <w:p>
      <w:pPr>
        <w:spacing w:after="60"/>
        <w:ind w:left="540"/>
        <w:jc w:val="left"/>
      </w:pPr>
      <w:r>
        <w:rPr>
          <w:rFonts w:ascii="Calibri" w:cs="Calibri" w:eastAsia="Calibri" w:hAnsi="Calibri"/>
          <w:sz w:val="22"/>
          <w:szCs w:val="22"/>
        </w:rPr>
        <w:t xml:space="preserve">    6.3 Comparative validation</w:t>
      </w:r>
    </w:p>
    <w:p>
      <w:pPr>
        <w:spacing w:after="60"/>
        <w:ind w:left="540"/>
        <w:jc w:val="left"/>
      </w:pPr>
      <w:r>
        <w:rPr>
          <w:rFonts w:ascii="Calibri" w:cs="Calibri" w:eastAsia="Calibri" w:hAnsi="Calibri"/>
          <w:sz w:val="22"/>
          <w:szCs w:val="22"/>
        </w:rPr>
        <w:t xml:space="preserve">    6.4 Use case selection guide</w:t>
      </w:r>
    </w:p>
    <w:p>
      <w:pPr>
        <w:spacing w:after="60"/>
        <w:ind w:left="540"/>
        <w:jc w:val="left"/>
      </w:pPr>
      <w:r>
        <w:rPr>
          <w:rFonts w:ascii="Calibri" w:cs="Calibri" w:eastAsia="Calibri" w:hAnsi="Calibri"/>
          <w:sz w:val="22"/>
          <w:szCs w:val="22"/>
        </w:rPr>
        <w:t xml:space="preserve">    6.5 Trilogy case study: how Paper 8B motivated the dual-variant approach</w:t>
      </w:r>
    </w:p>
    <w:p>
      <w:pPr>
        <w:spacing w:after="60"/>
        <w:ind w:left="0"/>
        <w:jc w:val="left"/>
      </w:pPr>
      <w:r>
        <w:rPr>
          <w:rFonts w:ascii="Calibri" w:cs="Calibri" w:eastAsia="Calibri" w:hAnsi="Calibri"/>
          <w:sz w:val="22"/>
          <w:szCs w:val="22"/>
        </w:rPr>
        <w:t xml:space="preserve">7. Integrated psychometric validation — eight criteria</w:t>
      </w:r>
    </w:p>
    <w:p>
      <w:pPr>
        <w:spacing w:after="60"/>
        <w:ind w:left="0"/>
        <w:jc w:val="left"/>
      </w:pPr>
      <w:r>
        <w:rPr>
          <w:rFonts w:ascii="Calibri" w:cs="Calibri" w:eastAsia="Calibri" w:hAnsi="Calibri"/>
          <w:sz w:val="22"/>
          <w:szCs w:val="22"/>
        </w:rPr>
        <w:t xml:space="preserve">8. Empirical implications for the trilogy</w:t>
      </w:r>
    </w:p>
    <w:p>
      <w:pPr>
        <w:spacing w:after="60"/>
        <w:ind w:left="540"/>
        <w:jc w:val="left"/>
      </w:pPr>
      <w:r>
        <w:rPr>
          <w:rFonts w:ascii="Calibri" w:cs="Calibri" w:eastAsia="Calibri" w:hAnsi="Calibri"/>
          <w:sz w:val="22"/>
          <w:szCs w:val="22"/>
        </w:rPr>
        <w:t xml:space="preserve">    8.1 Q1 quadrant preservation</w:t>
      </w:r>
    </w:p>
    <w:p>
      <w:pPr>
        <w:spacing w:after="60"/>
        <w:ind w:left="540"/>
        <w:jc w:val="left"/>
      </w:pPr>
      <w:r>
        <w:rPr>
          <w:rFonts w:ascii="Calibri" w:cs="Calibri" w:eastAsia="Calibri" w:hAnsi="Calibri"/>
          <w:sz w:val="22"/>
          <w:szCs w:val="22"/>
        </w:rPr>
        <w:t xml:space="preserve">    8.2 Top-20 ranking transition</w:t>
      </w:r>
    </w:p>
    <w:p>
      <w:pPr>
        <w:spacing w:after="60"/>
        <w:ind w:left="540"/>
        <w:jc w:val="left"/>
      </w:pPr>
      <w:r>
        <w:rPr>
          <w:rFonts w:ascii="Calibri" w:cs="Calibri" w:eastAsia="Calibri" w:hAnsi="Calibri"/>
          <w:sz w:val="22"/>
          <w:szCs w:val="22"/>
        </w:rPr>
        <w:t xml:space="preserve">    8.3 Sectoral concentration changes</w:t>
      </w:r>
    </w:p>
    <w:p>
      <w:pPr>
        <w:spacing w:after="60"/>
        <w:ind w:left="540"/>
        <w:jc w:val="left"/>
      </w:pPr>
      <w:r>
        <w:rPr>
          <w:rFonts w:ascii="Calibri" w:cs="Calibri" w:eastAsia="Calibri" w:hAnsi="Calibri"/>
          <w:sz w:val="22"/>
          <w:szCs w:val="22"/>
        </w:rPr>
        <w:t xml:space="preserve">    8.4 Reconciliation with policy population figures</w:t>
      </w:r>
    </w:p>
    <w:p>
      <w:pPr>
        <w:spacing w:after="60"/>
        <w:ind w:left="0"/>
        <w:jc w:val="left"/>
      </w:pPr>
      <w:r>
        <w:rPr>
          <w:rFonts w:ascii="Calibri" w:cs="Calibri" w:eastAsia="Calibri" w:hAnsi="Calibri"/>
          <w:sz w:val="22"/>
          <w:szCs w:val="22"/>
        </w:rPr>
        <w:t xml:space="preserve">9. Cross-version stability and migration guide</w:t>
      </w:r>
    </w:p>
    <w:p>
      <w:pPr>
        <w:spacing w:after="60"/>
        <w:ind w:left="0"/>
        <w:jc w:val="left"/>
      </w:pPr>
      <w:r>
        <w:rPr>
          <w:rFonts w:ascii="Calibri" w:cs="Calibri" w:eastAsia="Calibri" w:hAnsi="Calibri"/>
          <w:sz w:val="22"/>
          <w:szCs w:val="22"/>
        </w:rPr>
        <w:t xml:space="preserve">10. Acknowledged limitations of v3.0</w:t>
      </w:r>
    </w:p>
    <w:p>
      <w:pPr>
        <w:spacing w:after="60"/>
        <w:ind w:left="0"/>
        <w:jc w:val="left"/>
      </w:pPr>
      <w:r>
        <w:rPr>
          <w:rFonts w:ascii="Calibri" w:cs="Calibri" w:eastAsia="Calibri" w:hAnsi="Calibri"/>
          <w:sz w:val="22"/>
          <w:szCs w:val="22"/>
        </w:rPr>
        <w:t xml:space="preserve">11. Future work — toward v4.0</w:t>
      </w:r>
    </w:p>
    <w:p>
      <w:pPr>
        <w:spacing w:after="60"/>
        <w:ind w:left="0"/>
        <w:jc w:val="left"/>
      </w:pPr>
      <w:r>
        <w:rPr>
          <w:rFonts w:ascii="Calibri" w:cs="Calibri" w:eastAsia="Calibri" w:hAnsi="Calibri"/>
          <w:sz w:val="22"/>
          <w:szCs w:val="22"/>
        </w:rPr>
        <w:t xml:space="preserve">12. References</w:t>
      </w:r>
    </w:p>
    <w:p>
      <w:pPr>
        <w:spacing w:after="60"/>
        <w:ind w:left="0"/>
        <w:jc w:val="left"/>
      </w:pPr>
      <w:r>
        <w:rPr>
          <w:rFonts w:ascii="Calibri" w:cs="Calibri" w:eastAsia="Calibri" w:hAnsi="Calibri"/>
          <w:sz w:val="22"/>
          <w:szCs w:val="22"/>
        </w:rPr>
        <w:t xml:space="preserve">Appendix A. Deprecation cross-reference (v2.0 / v2.1 / v3.0)</w:t>
      </w:r>
    </w:p>
    <w:p>
      <w:pPr>
        <w:spacing w:after="60"/>
        <w:ind w:left="0"/>
        <w:jc w:val="left"/>
      </w:pPr>
      <w:r>
        <w:rPr>
          <w:rFonts w:ascii="Calibri" w:cs="Calibri" w:eastAsia="Calibri" w:hAnsi="Calibri"/>
          <w:sz w:val="22"/>
          <w:szCs w:val="22"/>
        </w:rPr>
        <w:t xml:space="preserve">Appendix B. Complete change-log v1.0 → v3.0</w:t>
      </w:r>
    </w:p>
    <w:p>
      <w:r>
        <w:br w:type="page"/>
      </w:r>
    </w:p>
    <w:p>
      <w:pPr>
        <w:pStyle w:val="Heading1"/>
        <w:spacing w:after="200" w:before="360"/>
      </w:pPr>
      <w:r>
        <w:rPr>
          <w:rFonts w:ascii="Calibri" w:cs="Calibri" w:eastAsia="Calibri" w:hAnsi="Calibri"/>
          <w:b/>
          <w:bCs/>
          <w:color w:val="1B4F72"/>
          <w:sz w:val="28"/>
          <w:szCs w:val="28"/>
        </w:rPr>
        <w:t xml:space="preserve">1. Introduction and Document Scope</w:t>
      </w:r>
    </w:p>
    <w:p>
      <w:pPr>
        <w:pStyle w:val="Heading2"/>
        <w:spacing w:after="140" w:before="280"/>
      </w:pPr>
      <w:r>
        <w:rPr>
          <w:rFonts w:ascii="Calibri" w:cs="Calibri" w:eastAsia="Calibri" w:hAnsi="Calibri"/>
          <w:b/>
          <w:bCs/>
          <w:i/>
          <w:iCs/>
          <w:color w:val="2E86C1"/>
          <w:sz w:val="24"/>
          <w:szCs w:val="24"/>
        </w:rPr>
        <w:t xml:space="preserve">1.1 Purpose of the consolidated edition</w:t>
      </w:r>
    </w:p>
    <w:p>
      <w:pPr>
        <w:spacing w:after="120" w:line="300"/>
        <w:jc w:val="both"/>
      </w:pPr>
      <w:r>
        <w:rPr>
          <w:rFonts w:ascii="Calibri" w:cs="Calibri" w:eastAsia="Calibri" w:hAnsi="Calibri"/>
          <w:b w:val="false"/>
          <w:bCs w:val="false"/>
          <w:i w:val="false"/>
          <w:iCs w:val="false"/>
          <w:sz w:val="22"/>
          <w:szCs w:val="22"/>
        </w:rPr>
        <w:t xml:space="preserve">The ITEA Framework has evolved through nine documented versions since its initial release in March 2024 (v1.0). The first eight of these — v1.0 through v2.1 — accumulated as a chain of incremental updates and addenda, each presupposing familiarity with the previous documents. By April 2026, a researcher attempting to understand the current state of the framework needed to consult, in sequence: the v2.0 Methodology document (April 2026, the conceptual anchor), the v2.1 Memorandum (April 2026, the data update to O*NET 30.2), and the v3.0 Methodology document (April 2026, the major methodological revision). The cross-references between these three documents were navigable but cumbersome, and the deprecation status of earlier versions was not formally declared.</w:t>
      </w:r>
    </w:p>
    <w:p>
      <w:pPr>
        <w:spacing w:after="120" w:line="300"/>
        <w:jc w:val="both"/>
      </w:pPr>
      <w:r>
        <w:rPr>
          <w:rFonts w:ascii="Calibri" w:cs="Calibri" w:eastAsia="Calibri" w:hAnsi="Calibri"/>
          <w:b w:val="false"/>
          <w:bCs w:val="false"/>
          <w:i w:val="false"/>
          <w:iCs w:val="false"/>
          <w:sz w:val="22"/>
          <w:szCs w:val="22"/>
        </w:rPr>
        <w:t xml:space="preserve">This consolidated edition resolves that fragmentation. It is the single authoritative reference for the ITEA Framework v3.0, integrating the conceptual foundations of v2.0, the data update of v2.1, and the methodological revision of v3.0. It additionally introduces three sections not present in any of the predecessor documents: a formal deprecation statement (§1.2), a narrative of the framework's evolution from the v1.x operational line to the v3.0 unified specification (§2), and a case study of the trilogy of research papers (8A, 8B, 8C) whose empirical findings constitute the practical motivation for the v3.0 revision (§4.4, §5.4, §6.5). The case study is intended both as a demonstration of the framework's active use in research and as evidence of the principled, empirically-grounded reasoning behind each methodological decision — a documentation standard suitable for software-paper venues such as the Journal of Open Source Software.</w:t>
      </w:r>
    </w:p>
    <w:p>
      <w:pPr>
        <w:pStyle w:val="Heading2"/>
        <w:spacing w:after="140" w:before="280"/>
      </w:pPr>
      <w:r>
        <w:rPr>
          <w:rFonts w:ascii="Calibri" w:cs="Calibri" w:eastAsia="Calibri" w:hAnsi="Calibri"/>
          <w:b/>
          <w:bCs/>
          <w:i/>
          <w:iCs/>
          <w:color w:val="2E86C1"/>
          <w:sz w:val="24"/>
          <w:szCs w:val="24"/>
        </w:rPr>
        <w:t xml:space="preserve">1.2 Deprecation of v2.0 and v2.1 — formal statement</w:t>
      </w:r>
    </w:p>
    <w:p>
      <w:pPr>
        <w:spacing w:after="120" w:line="300"/>
        <w:jc w:val="both"/>
      </w:pPr>
      <w:r>
        <w:rPr>
          <w:rFonts w:ascii="Calibri" w:cs="Calibri" w:eastAsia="Calibri" w:hAnsi="Calibri"/>
          <w:b w:val="false"/>
          <w:bCs w:val="false"/>
          <w:i w:val="false"/>
          <w:iCs w:val="false"/>
          <w:sz w:val="22"/>
          <w:szCs w:val="22"/>
        </w:rPr>
        <w:t xml:space="preserve">As of the publication date of this consolidated edition, the following documents are formally deprecated and superseded:</w:t>
      </w:r>
    </w:p>
    <w:p>
      <w:pPr>
        <w:spacing w:after="10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rPr>
          <w:tblHeader/>
        </w:trPr>
        <w:tc>
          <w:tcPr>
            <w:tcW w:type="dxa" w:w="3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Document</w:t>
            </w:r>
          </w:p>
        </w:tc>
        <w:tc>
          <w:tcPr>
            <w:tcW w:type="dxa" w:w="3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Deprecation status</w:t>
            </w:r>
          </w:p>
        </w:tc>
        <w:tc>
          <w:tcPr>
            <w:tcW w:type="dxa" w:w="3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Replacement</w:t>
            </w:r>
          </w:p>
        </w:tc>
      </w:tr>
      <w:tr>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ITEA Methodology v2.0 (April 2026)</w:t>
            </w:r>
          </w:p>
        </w:tc>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DEPRECATED — preserved for historical reference only</w:t>
            </w:r>
          </w:p>
        </w:tc>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This document, §3 (conceptual foundations) and §4–§6 (revised aggregation)</w:t>
            </w:r>
          </w:p>
        </w:tc>
      </w:tr>
      <w:tr>
        <w:tc>
          <w:tcPr>
            <w:tcW w:type="dxa" w:w="3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ITEA Memorandum v2.1 (April 2026)</w:t>
            </w:r>
          </w:p>
        </w:tc>
        <w:tc>
          <w:tcPr>
            <w:tcW w:type="dxa" w:w="3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DEPRECATED — superseded by data refresh in v3.0</w:t>
            </w:r>
          </w:p>
        </w:tc>
        <w:tc>
          <w:tcPr>
            <w:tcW w:type="dxa" w:w="3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This document, §3.3 (source data) and §9 (migration guide)</w:t>
            </w:r>
          </w:p>
        </w:tc>
      </w:tr>
      <w:tr>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ITEA Methodology v3.0 (April 2026, original release)</w:t>
            </w:r>
          </w:p>
        </w:tc>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SUPERSEDED — content fully integrated</w:t>
            </w:r>
          </w:p>
        </w:tc>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This consolidated edition</w:t>
            </w:r>
          </w:p>
        </w:tc>
      </w:tr>
      <w:tr>
        <w:tc>
          <w:tcPr>
            <w:tcW w:type="dxa" w:w="3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Research_Data_Workbook_ITEA v1.x series</w:t>
            </w:r>
          </w:p>
        </w:tc>
        <w:tc>
          <w:tcPr>
            <w:tcW w:type="dxa" w:w="3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LEGACY — accessible as v1.45-legacy tag in repository</w:t>
            </w:r>
          </w:p>
        </w:tc>
        <w:tc>
          <w:tcPr>
            <w:tcW w:type="dxa" w:w="3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ITEA_v3.0_Workbook.xlsx</w:t>
            </w:r>
          </w:p>
        </w:tc>
      </w:tr>
      <w:tr>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itea_functions_v1.45.{R, py}</w:t>
            </w:r>
          </w:p>
        </w:tc>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LEGACY — preserved for replication of v1.x results</w:t>
            </w:r>
          </w:p>
        </w:tc>
        <w:tc>
          <w:tcPr>
            <w:tcW w:type="dxa" w:w="3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itea_functions_v3.{R, py} (in repository, /code/v3/)</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deprecation is non-destructive: all deprecated documents and code remain accessible via the repository's archived tags (in particular `v1.45-legacy` for the v1.x operational line) and via the corresponding Zenodo DOI versioning. Researchers wishing to reproduce results published using v2.0 or v2.1 data can do so by checking out the appropriate tag and following the version-specific README. The deprecation declaration applies to the framework's prospective usage: new research, new datasets, and new policy applications should adopt v3.0 unless there is an explicit reason to use a legacy version (e.g., direct replication of a published paper that used v2.1 data).</w:t>
      </w:r>
    </w:p>
    <w:p>
      <w:pPr>
        <w:pStyle w:val="Heading2"/>
        <w:spacing w:after="140" w:before="280"/>
      </w:pPr>
      <w:r>
        <w:rPr>
          <w:rFonts w:ascii="Calibri" w:cs="Calibri" w:eastAsia="Calibri" w:hAnsi="Calibri"/>
          <w:b/>
          <w:bCs/>
          <w:i/>
          <w:iCs/>
          <w:color w:val="2E86C1"/>
          <w:sz w:val="24"/>
          <w:szCs w:val="24"/>
        </w:rPr>
        <w:t xml:space="preserve">1.3 Document structure</w:t>
      </w:r>
    </w:p>
    <w:p>
      <w:pPr>
        <w:spacing w:after="120" w:line="300"/>
        <w:jc w:val="both"/>
      </w:pPr>
      <w:r>
        <w:rPr>
          <w:rFonts w:ascii="Calibri" w:cs="Calibri" w:eastAsia="Calibri" w:hAnsi="Calibri"/>
          <w:b w:val="false"/>
          <w:bCs w:val="false"/>
          <w:i w:val="false"/>
          <w:iCs w:val="false"/>
          <w:sz w:val="22"/>
          <w:szCs w:val="22"/>
        </w:rPr>
        <w:t xml:space="preserve">Section 2 narrates the framework's evolution and explains why v3.0 was the right moment to unify the parallel v1.x operational and v2.x methodological numbering lines. Section 3 presents the conceptual foundations preserved from v2.0 with minimal change. Sections 4, 5 and 6 develop the three central methodological revisions of v3.0 — the reformulated ITEA aggregation, the triple-residualised IRA, and the dual-variant OAEI architecture — and each closes with a trilogy case study showing how the corresponding revision was motivated by a specific empirical finding from Papers 8A, 8B or 8C. Section 7 presents the integrated psychometric validation across eight criteria. Section 8 documents the implications for the trilogy itself. Section 9 provides the cross-version stability analysis and operational migration guide. Sections 10 and 11 acknowledge limitations and outline the path toward v4.0. Section 12 contains the references. Appendix A provides a complete deprecation cross-reference, Appendix B the full change-log from v1.0 to v3.0.</w:t>
      </w:r>
    </w:p>
    <w:p>
      <w:pPr>
        <w:spacing w:after="120" w:line="300"/>
        <w:jc w:val="both"/>
      </w:pPr>
      <w:r>
        <w:rPr>
          <w:rFonts w:ascii="Calibri" w:cs="Calibri" w:eastAsia="Calibri" w:hAnsi="Calibri"/>
          <w:b w:val="false"/>
          <w:bCs w:val="false"/>
          <w:i w:val="false"/>
          <w:iCs w:val="false"/>
          <w:sz w:val="22"/>
          <w:szCs w:val="22"/>
        </w:rPr>
        <w:t xml:space="preserve">Readers who are familiar with v2.1 and want only the v3.0 changes should focus on §4, §5, §6, §7 and §9. Readers approaching the framework for the first time should read sequentially. Readers preparing the framework for institutional adoption (e.g., as input for the Spanish Strategy on Artificial Intelligence or for Eurostat harmonisation under ESJS2) should pay particular attention to §3.1 (the Agentic regime distinction), §6.4 (variant selection), and §8.4 (policy population reconciliation).</w:t>
      </w:r>
    </w:p>
    <w:p>
      <w:r>
        <w:br w:type="page"/>
      </w:r>
    </w:p>
    <w:p>
      <w:pPr>
        <w:pStyle w:val="Heading1"/>
        <w:spacing w:after="200" w:before="360"/>
      </w:pPr>
      <w:r>
        <w:rPr>
          <w:rFonts w:ascii="Calibri" w:cs="Calibri" w:eastAsia="Calibri" w:hAnsi="Calibri"/>
          <w:b/>
          <w:bCs/>
          <w:color w:val="1B4F72"/>
          <w:sz w:val="28"/>
          <w:szCs w:val="28"/>
        </w:rPr>
        <w:t xml:space="preserve">2. Framework Evolution — from v1.x Operational Baseline to v3.0</w:t>
      </w:r>
    </w:p>
    <w:p>
      <w:pPr>
        <w:pStyle w:val="Heading2"/>
        <w:spacing w:after="140" w:before="280"/>
      </w:pPr>
      <w:r>
        <w:rPr>
          <w:rFonts w:ascii="Calibri" w:cs="Calibri" w:eastAsia="Calibri" w:hAnsi="Calibri"/>
          <w:b/>
          <w:bCs/>
          <w:i/>
          <w:iCs/>
          <w:color w:val="2E86C1"/>
          <w:sz w:val="24"/>
          <w:szCs w:val="24"/>
        </w:rPr>
        <w:t xml:space="preserve">2.1 The two parallel numbering lines</w:t>
      </w:r>
    </w:p>
    <w:p>
      <w:pPr>
        <w:spacing w:after="120" w:line="300"/>
        <w:jc w:val="both"/>
      </w:pPr>
      <w:r>
        <w:rPr>
          <w:rFonts w:ascii="Calibri" w:cs="Calibri" w:eastAsia="Calibri" w:hAnsi="Calibri"/>
          <w:b w:val="false"/>
          <w:bCs w:val="false"/>
          <w:i w:val="false"/>
          <w:iCs w:val="false"/>
          <w:sz w:val="22"/>
          <w:szCs w:val="22"/>
        </w:rPr>
        <w:t xml:space="preserve">The ITEA Framework has historically developed along two parallel numbering lines that this consolidated edition unifies. The first is the operational line (v1.0 through v1.45), comprising the data workbooks, R/Python implementation code, Streamlit dashboard, and Zenodo deposits oriented at researchers consuming the framework as an analytical tool. The second is the methodological line (v2.0 through v3.0), comprising the academic papers and addenda oriented at peer reviewers and methodologists evaluating the framework's psychometric foundations. Until April 2026, these two lines progressed asynchronously: the operational v1.45 was released in October 2025 with the dual GEE OLS+ordinal calibration; the methodological v3.0 was finalised in April 2026 with z-score ITEA aggregation, triple-residualised IRA, and dual-variant OAEI.</w:t>
      </w:r>
    </w:p>
    <w:p>
      <w:pPr>
        <w:spacing w:after="100"/>
      </w:pPr>
      <w:r>
        <w:t xml:space="preserve"/>
      </w:r>
    </w:p>
    <w:p>
      <w:pPr>
        <w:spacing w:after="100" w:before="200"/>
        <w:jc w:val="left"/>
      </w:pPr>
      <w:r>
        <w:rPr>
          <w:rFonts w:ascii="Calibri" w:cs="Calibri" w:eastAsia="Calibri" w:hAnsi="Calibri"/>
          <w:b/>
          <w:bCs/>
          <w:i/>
          <w:iCs/>
          <w:sz w:val="22"/>
          <w:szCs w:val="22"/>
        </w:rPr>
        <w:t xml:space="preserve">Table 2.1. Parallel numbering lines through April 2026</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4400"/>
      </w:tblGrid>
      <w:tr>
        <w:trPr>
          <w:tblHeader/>
        </w:trPr>
        <w:tc>
          <w:tcPr>
            <w:tcW w:type="dxa" w:w="18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Date</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Operational line (v1.x)</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Methodological line (v2.x → v3.x)</w:t>
            </w:r>
          </w:p>
        </w:tc>
      </w:tr>
      <w:tr>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March 2024</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v1.0 — Initial release</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r>
      <w:tr>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September 2024</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v1.1 — IRO institutional security; ITEA additive</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r>
      <w:tr>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March 2025</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v1.2 — GEE OLS calibration (ρ 0.259→0.927); IMO Hurdle+cap</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r>
      <w:tr>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April 2026</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v1.3 — IPI new indicator; IFS CI extraction</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 Methodology — formative/reflective typology, eight indicators</w:t>
            </w:r>
          </w:p>
        </w:tc>
      </w:tr>
      <w:tr>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October 2025</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v1.45 — IRO 4→2 items; GEE dual OLS+ordinal</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r>
      <w:tr>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April 2026</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v2.1 Memorandum — O*NET 30.2 data refresh</w:t>
            </w:r>
          </w:p>
        </w:tc>
      </w:tr>
      <w:tr>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April 2026</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v3.0 Methodology — z-score ITEA, triple-residualised IRA, dual-variant OAEI</w:t>
            </w:r>
          </w:p>
        </w:tc>
      </w:tr>
      <w:tr>
        <w:tc>
          <w:tcPr>
            <w:tcW w:type="dxa" w:w="18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Now (this document)</w:t>
            </w:r>
          </w:p>
        </w:tc>
        <w:tc>
          <w:tcPr>
            <w:tcW w:type="dxa" w:w="44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UNIFIED at v3.0</w:t>
            </w:r>
          </w:p>
        </w:tc>
        <w:tc>
          <w:tcPr>
            <w:tcW w:type="dxa" w:w="44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UNIFIED at v3.0</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two lines were never inconsistent — they were complementary perspectives on the same underlying object — but the unsynchronised numbering created friction for readers attempting to map between operational releases and methodological documents. A research paper citing "ITEA v1.45" referred to the same conceptual framework as one citing "ITEA v2.1", but the precise indicator formulas, source data versions, and validation tables were not trivially comparable. The consolidated edition resolves this by collapsing both lines onto v3.0: the operational repository (github.com/AVAL22/ITEA-Framework) advances from v1.45 to v3.0 with the v1.45 release archived as a `v1.45-legacy` tag for replication; the methodological documentation advances from v3.0 (separate document) to this consolidated edition.</w:t>
      </w:r>
    </w:p>
    <w:p>
      <w:pPr>
        <w:pStyle w:val="Heading2"/>
        <w:spacing w:after="140" w:before="280"/>
      </w:pPr>
      <w:r>
        <w:rPr>
          <w:rFonts w:ascii="Calibri" w:cs="Calibri" w:eastAsia="Calibri" w:hAnsi="Calibri"/>
          <w:b/>
          <w:bCs/>
          <w:i/>
          <w:iCs/>
          <w:color w:val="2E86C1"/>
          <w:sz w:val="24"/>
          <w:szCs w:val="24"/>
        </w:rPr>
        <w:t xml:space="preserve">2.2 Why v3.0 was the right moment for unification</w:t>
      </w:r>
    </w:p>
    <w:p>
      <w:pPr>
        <w:spacing w:after="120" w:line="300"/>
        <w:jc w:val="both"/>
      </w:pPr>
      <w:r>
        <w:rPr>
          <w:rFonts w:ascii="Calibri" w:cs="Calibri" w:eastAsia="Calibri" w:hAnsi="Calibri"/>
          <w:b w:val="false"/>
          <w:bCs w:val="false"/>
          <w:i w:val="false"/>
          <w:iCs w:val="false"/>
          <w:sz w:val="22"/>
          <w:szCs w:val="22"/>
        </w:rPr>
        <w:t xml:space="preserve">Three considerations made April 2026 the right moment for unification. First, the methodological revisions implemented in v3.0 were major rather than incremental: the z-score ITEA aggregation, the triple-residualised IRA, and the dual-variant OAEI all change the formulas of central indicators, in contrast to the additions of v1.3 (IPI as a new indicator) or v1.45 (GEE dual calibration) which were extensions without modification. A version-major increment was therefore warranted on methodological grounds alone. Second, three research papers (the 8A/8B/8C trilogy) were entering submission in April 2026 with empirical content that depended on v2.1-era data; once these were under review, any further data refresh would force coordination of review cycles. Conducting the v3.0 unification before the trilogy's review cycles closed was therefore expedient. Third, the Journal of Open Source Software has a publication track that requires a clearly-versioned software artifact with documented evolution; preparing for that submission required exactly the kind of unification exercise that this consolidated edition completes.</w:t>
      </w:r>
    </w:p>
    <w:p>
      <w:pPr>
        <w:pStyle w:val="Heading2"/>
        <w:spacing w:after="140" w:before="280"/>
      </w:pPr>
      <w:r>
        <w:rPr>
          <w:rFonts w:ascii="Calibri" w:cs="Calibri" w:eastAsia="Calibri" w:hAnsi="Calibri"/>
          <w:b/>
          <w:bCs/>
          <w:i/>
          <w:iCs/>
          <w:color w:val="2E86C1"/>
          <w:sz w:val="24"/>
          <w:szCs w:val="24"/>
        </w:rPr>
        <w:t xml:space="preserve">2.3 The trilogy as the decisive case study</w:t>
      </w:r>
    </w:p>
    <w:p>
      <w:pPr>
        <w:spacing w:after="120" w:line="300"/>
        <w:jc w:val="both"/>
      </w:pPr>
      <w:r>
        <w:rPr>
          <w:rFonts w:ascii="Calibri" w:cs="Calibri" w:eastAsia="Calibri" w:hAnsi="Calibri"/>
          <w:b w:val="false"/>
          <w:bCs w:val="false"/>
          <w:i w:val="false"/>
          <w:iCs w:val="false"/>
          <w:sz w:val="22"/>
          <w:szCs w:val="22"/>
        </w:rPr>
        <w:t xml:space="preserve">Three research papers in active circulation as of April 2026 — collectively referred to as the trilogy — provided the decisive empirical evidence that motivated the v3.0 revision. Each paper exposed a specific limitation of the v2.1 instrument that, taken individually, would not have warranted a major revision but, taken jointly, made the case unambiguous. The papers, citable by name throughout this document, are:</w:t>
      </w:r>
    </w:p>
    <w:p>
      <w:pPr>
        <w:spacing w:after="100"/>
      </w:pPr>
      <w:r>
        <w:t xml:space="preserve"/>
      </w:r>
    </w:p>
    <w:p>
      <w:pPr>
        <w:spacing w:after="120" w:line="300"/>
        <w:jc w:val="both"/>
      </w:pPr>
      <w:r>
        <w:rPr>
          <w:rFonts w:ascii="Calibri" w:cs="Calibri" w:eastAsia="Calibri" w:hAnsi="Calibri"/>
          <w:b/>
          <w:bCs/>
          <w:i w:val="false"/>
          <w:iCs w:val="false"/>
          <w:sz w:val="22"/>
          <w:szCs w:val="22"/>
        </w:rPr>
        <w:t xml:space="preserve">Paper 8A — </w:t>
      </w:r>
      <w:r>
        <w:rPr>
          <w:rFonts w:ascii="Calibri" w:cs="Calibri" w:eastAsia="Calibri" w:hAnsi="Calibri"/>
          <w:b w:val="false"/>
          <w:bCs w:val="false"/>
          <w:i/>
          <w:iCs/>
          <w:sz w:val="22"/>
          <w:szCs w:val="22"/>
        </w:rPr>
        <w:t xml:space="preserve">"The Structural Flaw: Industrial Labour Contract Inadequacy under Agentic AI" </w:t>
      </w:r>
      <w:r>
        <w:rPr>
          <w:rFonts w:ascii="Calibri" w:cs="Calibri" w:eastAsia="Calibri" w:hAnsi="Calibri"/>
          <w:b w:val="false"/>
          <w:bCs w:val="false"/>
          <w:i w:val="false"/>
          <w:iCs w:val="false"/>
          <w:sz w:val="22"/>
          <w:szCs w:val="22"/>
        </w:rPr>
        <w:t xml:space="preserve">(García-Lluis Valencia, 2026a). Targeted journals: Journal of Institutional Economics; Industrial and Corporate Change. Zenodo DOI: 10.5281/zenodo.19592542.</w:t>
      </w:r>
    </w:p>
    <w:p>
      <w:pPr>
        <w:spacing w:after="120" w:line="300"/>
        <w:jc w:val="both"/>
      </w:pPr>
      <w:r>
        <w:rPr>
          <w:rFonts w:ascii="Calibri" w:cs="Calibri" w:eastAsia="Calibri" w:hAnsi="Calibri"/>
          <w:b/>
          <w:bCs/>
          <w:i w:val="false"/>
          <w:iCs w:val="false"/>
          <w:sz w:val="22"/>
          <w:szCs w:val="22"/>
        </w:rPr>
        <w:t xml:space="preserve">Paper 8B — </w:t>
      </w:r>
      <w:r>
        <w:rPr>
          <w:rFonts w:ascii="Calibri" w:cs="Calibri" w:eastAsia="Calibri" w:hAnsi="Calibri"/>
          <w:b w:val="false"/>
          <w:bCs w:val="false"/>
          <w:i/>
          <w:iCs/>
          <w:sz w:val="22"/>
          <w:szCs w:val="22"/>
        </w:rPr>
        <w:t xml:space="preserve">"Beyond the Pigouvian Trap: Tokenised Intellectual Capital as a Pareto-Dominant Mechanism for the Agentic AI Layoff Externality" </w:t>
      </w:r>
      <w:r>
        <w:rPr>
          <w:rFonts w:ascii="Calibri" w:cs="Calibri" w:eastAsia="Calibri" w:hAnsi="Calibri"/>
          <w:b w:val="false"/>
          <w:bCs w:val="false"/>
          <w:i w:val="false"/>
          <w:iCs w:val="false"/>
          <w:sz w:val="22"/>
          <w:szCs w:val="22"/>
        </w:rPr>
        <w:t xml:space="preserve">(García-Lluis Valencia, 2026b). Theoretical paper formalising the Lindbeck–Snower protective condition dissolution and its restoration via tokenisation. Zenodo DOI: 10.5281/zenodo.19592542.</w:t>
      </w:r>
    </w:p>
    <w:p>
      <w:pPr>
        <w:spacing w:after="120" w:line="300"/>
        <w:jc w:val="both"/>
      </w:pPr>
      <w:r>
        <w:rPr>
          <w:rFonts w:ascii="Calibri" w:cs="Calibri" w:eastAsia="Calibri" w:hAnsi="Calibri"/>
          <w:b/>
          <w:bCs/>
          <w:i w:val="false"/>
          <w:iCs w:val="false"/>
          <w:sz w:val="22"/>
          <w:szCs w:val="22"/>
        </w:rPr>
        <w:t xml:space="preserve">Paper 8C — </w:t>
      </w:r>
      <w:r>
        <w:rPr>
          <w:rFonts w:ascii="Calibri" w:cs="Calibri" w:eastAsia="Calibri" w:hAnsi="Calibri"/>
          <w:b w:val="false"/>
          <w:bCs w:val="false"/>
          <w:i/>
          <w:iCs/>
          <w:sz w:val="22"/>
          <w:szCs w:val="22"/>
        </w:rPr>
        <w:t xml:space="preserve">"QE and Senior Workforce Restructuring: A Labour Liability Transmission Channel" </w:t>
      </w:r>
      <w:r>
        <w:rPr>
          <w:rFonts w:ascii="Calibri" w:cs="Calibri" w:eastAsia="Calibri" w:hAnsi="Calibri"/>
          <w:b w:val="false"/>
          <w:bCs w:val="false"/>
          <w:i w:val="false"/>
          <w:iCs w:val="false"/>
          <w:sz w:val="22"/>
          <w:szCs w:val="22"/>
        </w:rPr>
        <w:t xml:space="preserve">(García-Lluis Valencia, 2026c). Targeted journal: Labour Economics. Empirical paper documenting a novel monetary-policy transmission channel through which Quantitative Easing transformed senior employment contracts into financial liabilities. Zenodo DOI: 10.5281/zenodo.19592184.</w:t>
      </w:r>
    </w:p>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three papers together demonstrate three things relevant to the v3.0 design. First, the framework is being used in research that aspires to top-quartile journal publication, which raises the bar for psychometric defensibility — convergent and discriminant validity at the component level, not merely at the composite level, must withstand referee scrutiny. Second, each paper exposed a different limitation of v2.1: Paper 8A exposed the inadequacy of equal-weight ITEA aggregation for the populations the trilogy theoretically singles out (knowledge-intensive analytical professionals); Paper 8B exposed the conceptual problem of insufficient discriminant validity between IRA and ITEA when constructing the contractual mechanism; Paper 8C exposed the trade-off between internal coherence and external convergent validity that the dual-variant OAEI resolves. Third, the empirical findings in Papers 8B and 8C — particularly the central estimate of ΔV ≈ €190,000 per displaced senior worker after empirically-grounded recalibration — depend on v3.0 specifications that were not yet available in v2.1.</w:t>
      </w:r>
    </w:p>
    <w:p>
      <w:pPr>
        <w:spacing w:after="120" w:line="300"/>
        <w:jc w:val="both"/>
      </w:pPr>
      <w:r>
        <w:rPr>
          <w:rFonts w:ascii="Calibri" w:cs="Calibri" w:eastAsia="Calibri" w:hAnsi="Calibri"/>
          <w:b w:val="false"/>
          <w:bCs w:val="false"/>
          <w:i w:val="false"/>
          <w:iCs w:val="false"/>
          <w:sz w:val="22"/>
          <w:szCs w:val="22"/>
        </w:rPr>
        <w:t xml:space="preserve">Sections 4.4, 5.4 and 6.5 below detail the case study for each of the three v3.0 revisions, citing the relevant paper by name and explaining how the empirical finding motivated the methodological decision. The case study format is unusual in a methodological document but appropriate for a framework that is being actively used in research and that aspires to formal publication via JOSS — the venue requires evidence of community use and principled evolution, both of which the trilogy demonstrates.</w:t>
      </w:r>
    </w:p>
    <w:p>
      <w:r>
        <w:br w:type="page"/>
      </w:r>
    </w:p>
    <w:p>
      <w:pPr>
        <w:pStyle w:val="Heading1"/>
        <w:spacing w:after="200" w:before="360"/>
      </w:pPr>
      <w:r>
        <w:rPr>
          <w:rFonts w:ascii="Calibri" w:cs="Calibri" w:eastAsia="Calibri" w:hAnsi="Calibri"/>
          <w:b/>
          <w:bCs/>
          <w:color w:val="1B4F72"/>
          <w:sz w:val="28"/>
          <w:szCs w:val="28"/>
        </w:rPr>
        <w:t xml:space="preserve">3. The ITEA Framework — Conceptual Foundations Preserved from v2.0</w:t>
      </w:r>
    </w:p>
    <w:p>
      <w:pPr>
        <w:spacing w:after="120" w:line="300"/>
        <w:jc w:val="both"/>
      </w:pPr>
      <w:r>
        <w:rPr>
          <w:rFonts w:ascii="Calibri" w:cs="Calibri" w:eastAsia="Calibri" w:hAnsi="Calibri"/>
          <w:b w:val="false"/>
          <w:bCs w:val="false"/>
          <w:i w:val="false"/>
          <w:iCs w:val="false"/>
          <w:sz w:val="22"/>
          <w:szCs w:val="22"/>
        </w:rPr>
        <w:t xml:space="preserve">This section presents the conceptual foundations of the ITEA Framework as established in v2.0 (April 2026) and preserved through v2.1 and v3.0 with no substantive modification. Readers of the v2.0 Methodology document may skim this section; it is included here for the sake of self-containment as the consolidated edition aims to be a single reference.</w:t>
      </w:r>
    </w:p>
    <w:p>
      <w:pPr>
        <w:pStyle w:val="Heading2"/>
        <w:spacing w:after="140" w:before="280"/>
      </w:pPr>
      <w:r>
        <w:rPr>
          <w:rFonts w:ascii="Calibri" w:cs="Calibri" w:eastAsia="Calibri" w:hAnsi="Calibri"/>
          <w:b/>
          <w:bCs/>
          <w:i/>
          <w:iCs/>
          <w:color w:val="2E86C1"/>
          <w:sz w:val="24"/>
          <w:szCs w:val="24"/>
        </w:rPr>
        <w:t xml:space="preserve">3.1 The Agentic regime distinction</w:t>
      </w:r>
    </w:p>
    <w:p>
      <w:pPr>
        <w:spacing w:after="120" w:line="300"/>
        <w:jc w:val="both"/>
      </w:pPr>
      <w:r>
        <w:rPr>
          <w:rFonts w:ascii="Calibri" w:cs="Calibri" w:eastAsia="Calibri" w:hAnsi="Calibri"/>
          <w:b w:val="false"/>
          <w:bCs w:val="false"/>
          <w:i w:val="false"/>
          <w:iCs w:val="false"/>
          <w:sz w:val="22"/>
          <w:szCs w:val="22"/>
        </w:rPr>
        <w:t xml:space="preserve">The ITEA Framework rests on a conceptual distinction between two AI regimes that are theoretically and empirically separable. The generative regime — exemplified by retrieval-augmented language models, image-generation systems, and code-completion tools deployed approximately 2022–2024 — is characterised by AI systems that complete or augment human-defined tasks without persistent state across interactions. The Agentic regime — exemplified by autonomous workflow execution systems deployed approximately 2024 onward — is characterised by AI systems that maintain persistent state, take multi-step actions toward user-specified goals, and crystallise organisational knowledge into firm-level proprietary assets that persist beyond individual worker tenure.</w:t>
      </w:r>
    </w:p>
    <w:p>
      <w:pPr>
        <w:spacing w:after="120" w:line="300"/>
        <w:jc w:val="both"/>
      </w:pPr>
      <w:r>
        <w:rPr>
          <w:rFonts w:ascii="Calibri" w:cs="Calibri" w:eastAsia="Calibri" w:hAnsi="Calibri"/>
          <w:b w:val="false"/>
          <w:bCs w:val="false"/>
          <w:i w:val="false"/>
          <w:iCs w:val="false"/>
          <w:sz w:val="22"/>
          <w:szCs w:val="22"/>
        </w:rPr>
        <w:t xml:space="preserve">The distinction matters for measurement. Task-level automation indices in the Frey-Osborne (2017) tradition, and the AIOE benchmark of Felten, Raj and Seamans (2021), measure exposure under the generative regime: whether tasks are automatable using current or near-term AI tools. The ITEA Framework instead measures exposure under the Agentic regime: the rate at which the worker's intellectual capital can be externalised, combined and internalised by Agentic AI systems into firm-level assets that the worker no longer controls. The two measures are correlated but not identical — Section 7 reports the convergent validation r(OAEI v3.0+, AIOE) = 0.797 — and the residual divergence is itself informative: it identifies populations whose Agentic exposure is high but whose generative-regime exposure is low (Quantitative Financial Analysts being the canonical case).</w:t>
      </w:r>
    </w:p>
    <w:p>
      <w:pPr>
        <w:pStyle w:val="Heading2"/>
        <w:spacing w:after="140" w:before="280"/>
      </w:pPr>
      <w:r>
        <w:rPr>
          <w:rFonts w:ascii="Calibri" w:cs="Calibri" w:eastAsia="Calibri" w:hAnsi="Calibri"/>
          <w:b/>
          <w:bCs/>
          <w:i/>
          <w:iCs/>
          <w:color w:val="2E86C1"/>
          <w:sz w:val="24"/>
          <w:szCs w:val="24"/>
        </w:rPr>
        <w:t xml:space="preserve">3.2 The eight-indicator architecture (ten with v3.0 additions)</w:t>
      </w:r>
    </w:p>
    <w:p>
      <w:pPr>
        <w:spacing w:after="120" w:line="300"/>
        <w:jc w:val="both"/>
      </w:pPr>
      <w:r>
        <w:rPr>
          <w:rFonts w:ascii="Calibri" w:cs="Calibri" w:eastAsia="Calibri" w:hAnsi="Calibri"/>
          <w:b w:val="false"/>
          <w:bCs w:val="false"/>
          <w:i w:val="false"/>
          <w:iCs w:val="false"/>
          <w:sz w:val="22"/>
          <w:szCs w:val="22"/>
        </w:rPr>
        <w:t xml:space="preserve">The framework's architecture comprises eight original indicators introduced in v2.0, augmented by two indicators introduced in v3.0. The architecture follows the formative versus reflective indicator distinction (Bollen &amp; Lennox, 1991): some indicators (ITEA, ICT, IPI, GEE) are formative — they construct the latent dimension by aggregating sub-components — while others (IRA, IFS, IEF, IMO) are reflective — they reflect a latent construct measured indirectly through observable items.</w:t>
      </w:r>
    </w:p>
    <w:p>
      <w:pPr>
        <w:spacing w:after="100"/>
      </w:pPr>
      <w:r>
        <w:t xml:space="preserve"/>
      </w:r>
    </w:p>
    <w:p>
      <w:pPr>
        <w:spacing w:after="100" w:before="200"/>
        <w:jc w:val="left"/>
      </w:pPr>
      <w:r>
        <w:rPr>
          <w:rFonts w:ascii="Calibri" w:cs="Calibri" w:eastAsia="Calibri" w:hAnsi="Calibri"/>
          <w:b/>
          <w:bCs/>
          <w:i/>
          <w:iCs/>
          <w:sz w:val="22"/>
          <w:szCs w:val="22"/>
        </w:rPr>
        <w:t xml:space="preserve">Table 3.1. Indicator architecture — v3.0 specification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800"/>
        <w:gridCol w:w="1900"/>
        <w:gridCol w:w="1700"/>
      </w:tblGrid>
      <w:tr>
        <w:trPr>
          <w:tblHeader/>
        </w:trPr>
        <w:tc>
          <w:tcPr>
            <w:tcW w:type="dxa" w:w="8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Indicator</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Full name</w:t>
            </w:r>
          </w:p>
        </w:tc>
        <w:tc>
          <w:tcPr>
            <w:tcW w:type="dxa" w:w="18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Dimension</w:t>
            </w:r>
          </w:p>
        </w:tc>
        <w:tc>
          <w:tcPr>
            <w:tcW w:type="dxa" w:w="19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Type</w:t>
            </w:r>
          </w:p>
        </w:tc>
        <w:tc>
          <w:tcPr>
            <w:tcW w:type="dxa" w:w="17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Origin</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ITEA</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Triple Index of Exposure to Automation</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Exposure</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Formative</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 (revised v3.0)</w:t>
            </w:r>
          </w:p>
        </w:tc>
      </w:tr>
      <w:tr>
        <w:tc>
          <w:tcPr>
            <w:tcW w:type="dxa" w:w="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EAC</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Cognitive Automation Exposure (component of ITEA)</w:t>
            </w:r>
          </w:p>
        </w:tc>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Exposure</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Formative</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EIG</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Generative AI Exposure (component of ITEA)</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Exposure</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Formative</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EIA</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Agentic AI Exposure (component of ITEA)</w:t>
            </w:r>
          </w:p>
        </w:tc>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Exposure</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Formative</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IRA</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Adaptive Resilience Index</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Resilience</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Reflective</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 (revised v3.0)</w:t>
            </w:r>
          </w:p>
        </w:tc>
      </w:tr>
      <w:tr>
        <w:tc>
          <w:tcPr>
            <w:tcW w:type="dxa" w:w="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ICT</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Technical Complexity Index</w:t>
            </w:r>
          </w:p>
        </w:tc>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Complexity</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Formative</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IFS</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Social Friction Index</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Social interaction</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Reflective</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IPI</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Interpersonal Presence Index</w:t>
            </w:r>
          </w:p>
        </w:tc>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Presentiality</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Formative</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v1.3</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IEF</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Functional Specificity Index</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Specificity</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Reflective</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GEE</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Education-Experience Gradient</w:t>
            </w:r>
          </w:p>
        </w:tc>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Qualification</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Calibrated (OLS+ordinal)</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IMO</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Occupational Mutation Index</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Mutation</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Hurdle model</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r>
        <w:tc>
          <w:tcPr>
            <w:tcW w:type="dxa" w:w="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OAEI</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Occupational Algorithmic Expropriation Index</w:t>
            </w:r>
          </w:p>
        </w:tc>
        <w:tc>
          <w:tcPr>
            <w:tcW w:type="dxa" w:w="18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Composite operational</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Multiplicative or additive</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 (revised v3.0)</w:t>
            </w:r>
          </w:p>
        </w:tc>
      </w:tr>
      <w:tr>
        <w:tc>
          <w:tcPr>
            <w:tcW w:type="dxa" w:w="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AEI</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Algorithmic Expropriation Index (auxiliary criterion)</w:t>
            </w:r>
          </w:p>
        </w:tc>
        <w:tc>
          <w:tcPr>
            <w:tcW w:type="dxa" w:w="18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Internal benchmark</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Auxiliary</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ITEA, IRA and OAEI are the three indicators whose specification changes in v3.0; their detailed treatment occupies §4, §5 and §6 respectively. The remaining indicators (ICT, IFS, IPI, IEF, GEE, IMO) and the auxiliary AEI criterion are unchanged from v2.0 and v2.1. EAC, EIG and EIA are the three components of ITEA and their definitions are also unchanged; what changes is how they are aggregated into the composite ITEA score.</w:t>
      </w:r>
    </w:p>
    <w:p>
      <w:pPr>
        <w:pStyle w:val="Heading2"/>
        <w:spacing w:after="140" w:before="280"/>
      </w:pPr>
      <w:r>
        <w:rPr>
          <w:rFonts w:ascii="Calibri" w:cs="Calibri" w:eastAsia="Calibri" w:hAnsi="Calibri"/>
          <w:b/>
          <w:bCs/>
          <w:i/>
          <w:iCs/>
          <w:color w:val="2E86C1"/>
          <w:sz w:val="24"/>
          <w:szCs w:val="24"/>
        </w:rPr>
        <w:t xml:space="preserve">3.3 Source data — O*NET 30.2 and external benchmarks</w:t>
      </w:r>
    </w:p>
    <w:p>
      <w:pPr>
        <w:spacing w:after="120" w:line="300"/>
        <w:jc w:val="both"/>
      </w:pPr>
      <w:r>
        <w:rPr>
          <w:rFonts w:ascii="Calibri" w:cs="Calibri" w:eastAsia="Calibri" w:hAnsi="Calibri"/>
          <w:b w:val="false"/>
          <w:bCs w:val="false"/>
          <w:i w:val="false"/>
          <w:iCs w:val="false"/>
          <w:sz w:val="22"/>
          <w:szCs w:val="22"/>
        </w:rPr>
        <w:t xml:space="preserve">The framework is anchored in O*NET 30.2 (February 2026), the latest version of the O*NET database at the time of v3.0 finalisation. The base dataset comprises 1,016 SOC 6-digit occupations and 47,810 task statements, providing the empirical substrate for the EAC, EIG, EIA, ICT, IFS, IPI, IEF and IMO indicators. The GEE indicator additionally uses Education and Job Zone information from O*NET, calibrated against U.S. Census ACS educational attainment microdata via dual OLS+ordinal regression introduced in v1.45. The external convergent benchmark is the AIOE index of Felten, Raj and Seamans (2021), available for 769 of the 1,016 SOC 6-digit occupations; effective N for tests involving AIOE is 738 after restriction to occupations with non-missing data on all v3.0 indicators.</w:t>
      </w:r>
    </w:p>
    <w:p>
      <w:pPr>
        <w:spacing w:after="120" w:line="300"/>
        <w:jc w:val="both"/>
      </w:pPr>
      <w:r>
        <w:rPr>
          <w:rFonts w:ascii="Calibri" w:cs="Calibri" w:eastAsia="Calibri" w:hAnsi="Calibri"/>
          <w:b w:val="false"/>
          <w:bCs w:val="false"/>
          <w:i w:val="false"/>
          <w:iCs w:val="false"/>
          <w:sz w:val="22"/>
          <w:szCs w:val="22"/>
        </w:rPr>
        <w:t xml:space="preserve">Three secondary data sources support specific tests. BLS Occupational Employment and Wage Statistics (OEWS, May 2024) provide median annual wages used in the criterion validity test r(OAEI, Wage). Eurostat ESJS2 provides the European-equivalent occupation taxonomy used in §11 to motivate a future European replication of the framework. The U.S. Census Bureau International Database (IDB) provides the demographic projections cited in §3.1 for the regime distinction's macro-context but not in the indicator construction itself.</w:t>
      </w:r>
    </w:p>
    <w:p>
      <w:r>
        <w:br w:type="page"/>
      </w:r>
    </w:p>
    <w:p>
      <w:pPr>
        <w:pStyle w:val="Heading1"/>
        <w:spacing w:after="200" w:before="360"/>
      </w:pPr>
      <w:r>
        <w:rPr>
          <w:rFonts w:ascii="Calibri" w:cs="Calibri" w:eastAsia="Calibri" w:hAnsi="Calibri"/>
          <w:b/>
          <w:bCs/>
          <w:color w:val="1B4F72"/>
          <w:sz w:val="28"/>
          <w:szCs w:val="28"/>
        </w:rPr>
        <w:t xml:space="preserve">4. ITEA v3.0 — Reformulated Aggregation</w:t>
      </w:r>
    </w:p>
    <w:p>
      <w:pPr>
        <w:pStyle w:val="Heading2"/>
        <w:spacing w:after="140" w:before="280"/>
      </w:pPr>
      <w:r>
        <w:rPr>
          <w:rFonts w:ascii="Calibri" w:cs="Calibri" w:eastAsia="Calibri" w:hAnsi="Calibri"/>
          <w:b/>
          <w:bCs/>
          <w:i/>
          <w:iCs/>
          <w:color w:val="2E86C1"/>
          <w:sz w:val="24"/>
          <w:szCs w:val="24"/>
        </w:rPr>
        <w:t xml:space="preserve">4.1 Diagnostic of the v2.1 problem</w:t>
      </w:r>
    </w:p>
    <w:p>
      <w:pPr>
        <w:spacing w:after="120" w:line="300"/>
        <w:jc w:val="both"/>
      </w:pPr>
      <w:r>
        <w:rPr>
          <w:rFonts w:ascii="Calibri" w:cs="Calibri" w:eastAsia="Calibri" w:hAnsi="Calibri"/>
          <w:b w:val="false"/>
          <w:bCs w:val="false"/>
          <w:i w:val="false"/>
          <w:iCs w:val="false"/>
          <w:sz w:val="22"/>
          <w:szCs w:val="22"/>
        </w:rPr>
        <w:t xml:space="preserve">The ITEA in v2.1 was specified as the equal-weight arithmetic mean of three components in the [0,1] interval: ITEA_v2.1 = (1/3)·EAC + (1/3)·EIG + (1/3)·EIA. This specification rests on an implicit assumption — that the three components, having been independently normalised to the same [0,1] interval, contribute symmetrically to the composite — which the diagnostic shows fails empirically.</w:t>
      </w:r>
    </w:p>
    <w:p>
      <w:pPr>
        <w:spacing w:after="120" w:line="300"/>
        <w:jc w:val="both"/>
      </w:pPr>
      <w:r>
        <w:rPr>
          <w:rFonts w:ascii="Calibri" w:cs="Calibri" w:eastAsia="Calibri" w:hAnsi="Calibri"/>
          <w:b w:val="false"/>
          <w:bCs w:val="false"/>
          <w:i w:val="false"/>
          <w:iCs w:val="false"/>
          <w:sz w:val="22"/>
          <w:szCs w:val="22"/>
        </w:rPr>
        <w:t xml:space="preserve">The three components have radically different distributional shapes. EAC has 59.9% of occupations at exactly zero, with a range of [0.00, 0.29] and only 96 unique values across 923 observations. EIG saturates: 42.5% of occupations are at or above 0.95, the floor is 0.59, and the distribution is left-skewed with 14.3% at exactly 1.00. EIA, in contrast, is broadly distributed across [0.00, 0.32] with median 0.016 and reasonable spread. The three components are on the same nominal scale [0,1] but their effective ranges differ by a factor of three to five.</w:t>
      </w:r>
    </w:p>
    <w:p>
      <w:pPr>
        <w:spacing w:after="100"/>
      </w:pPr>
      <w:r>
        <w:t xml:space="preserve"/>
      </w:r>
    </w:p>
    <w:p>
      <w:pPr>
        <w:spacing w:after="100" w:before="200"/>
        <w:jc w:val="left"/>
      </w:pPr>
      <w:r>
        <w:rPr>
          <w:rFonts w:ascii="Calibri" w:cs="Calibri" w:eastAsia="Calibri" w:hAnsi="Calibri"/>
          <w:b/>
          <w:bCs/>
          <w:i/>
          <w:iCs/>
          <w:sz w:val="22"/>
          <w:szCs w:val="22"/>
        </w:rPr>
        <w:t xml:space="preserve">Table 4.1. Component-level validity diagnostic (v2.1)</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00"/>
        <w:gridCol w:w="1500"/>
        <w:gridCol w:w="4400"/>
      </w:tblGrid>
      <w:tr>
        <w:trPr>
          <w:tblHeader/>
        </w:trPr>
        <w:tc>
          <w:tcPr>
            <w:tcW w:type="dxa" w:w="2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w:t>
            </w:r>
          </w:p>
        </w:tc>
        <w:tc>
          <w:tcPr>
            <w:tcW w:type="dxa" w:w="20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r(component, AEI)</w:t>
            </w:r>
          </w:p>
        </w:tc>
        <w:tc>
          <w:tcPr>
            <w:tcW w:type="dxa" w:w="20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r(component, AIOE)</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Mean</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SD</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Pathology</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EAC</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+0.11</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+0.07</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0.020</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0.036</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60% zeros, 96 unique values</w:t>
            </w:r>
          </w:p>
        </w:tc>
      </w:tr>
      <w:tr>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EIG</w:t>
            </w:r>
          </w:p>
        </w:tc>
        <w:tc>
          <w:tcPr>
            <w:tcW w:type="dxa" w:w="20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+0.27</w:t>
            </w:r>
          </w:p>
        </w:tc>
        <w:tc>
          <w:tcPr>
            <w:tcW w:type="dxa" w:w="20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+0.20</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0.923</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0.069</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14% saturated at 1.00; floor 0.59</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EIA</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+0.93</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+0.38</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0.036</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0.052</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Healthy distribution</w:t>
            </w:r>
          </w:p>
        </w:tc>
      </w:tr>
      <w:tr>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ITEA v2.1 (avg)</w:t>
            </w:r>
          </w:p>
        </w:tc>
        <w:tc>
          <w:tcPr>
            <w:tcW w:type="dxa" w:w="20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+0.71</w:t>
            </w:r>
          </w:p>
        </w:tc>
        <w:tc>
          <w:tcPr>
            <w:tcW w:type="dxa" w:w="20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+0.42</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0.435</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0.029</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Compressed mean ≈ EIG/2</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composite ITEA v2.1 has lower convergent validity against AIOE (r = 0.42) than its highest-validity individual component (EIA, r = 0.38, but on a different denominator — EIA alone outperforms ITEA when the comparison is restricted to the same effective sample). Equal weighting in [0,1] space gravitates toward a narrow band that suppresses the variance contributed by EIA, the very component most aligned with the Agentic regime that the framework is designed to capture.</w:t>
      </w:r>
    </w:p>
    <w:p>
      <w:pPr>
        <w:pStyle w:val="Heading2"/>
        <w:spacing w:after="140" w:before="280"/>
      </w:pPr>
      <w:r>
        <w:rPr>
          <w:rFonts w:ascii="Calibri" w:cs="Calibri" w:eastAsia="Calibri" w:hAnsi="Calibri"/>
          <w:b/>
          <w:bCs/>
          <w:i/>
          <w:iCs/>
          <w:color w:val="2E86C1"/>
          <w:sz w:val="24"/>
          <w:szCs w:val="24"/>
        </w:rPr>
        <w:t xml:space="preserve">4.2 Mathematical formulation</w:t>
      </w:r>
    </w:p>
    <w:p>
      <w:pPr>
        <w:spacing w:after="120" w:line="300"/>
        <w:jc w:val="both"/>
      </w:pPr>
      <w:r>
        <w:rPr>
          <w:rFonts w:ascii="Calibri" w:cs="Calibri" w:eastAsia="Calibri" w:hAnsi="Calibri"/>
          <w:b w:val="false"/>
          <w:bCs w:val="false"/>
          <w:i w:val="false"/>
          <w:iCs w:val="false"/>
          <w:sz w:val="22"/>
          <w:szCs w:val="22"/>
        </w:rPr>
        <w:t xml:space="preserve">The v3.0 specification z-score-normalises each component before aggregation, then projects the result back to [0,1] via min-max for compatibility with the OAEI multiplicative form.</w:t>
      </w:r>
    </w:p>
    <w:p>
      <w:pPr>
        <w:spacing w:after="140" w:before="140"/>
        <w:jc w:val="center"/>
      </w:pPr>
      <w:r>
        <w:rPr>
          <w:rFonts w:ascii="Cambria Math" w:cs="Cambria Math" w:eastAsia="Cambria Math" w:hAnsi="Cambria Math"/>
          <w:i/>
          <w:iCs/>
          <w:sz w:val="24"/>
          <w:szCs w:val="24"/>
        </w:rPr>
        <w:t xml:space="preserve">EAC_z = (EAC − μ_EAC) / σ_EAC</w:t>
      </w:r>
    </w:p>
    <w:p>
      <w:pPr>
        <w:spacing w:after="140" w:before="140"/>
        <w:jc w:val="center"/>
      </w:pPr>
      <w:r>
        <w:rPr>
          <w:rFonts w:ascii="Cambria Math" w:cs="Cambria Math" w:eastAsia="Cambria Math" w:hAnsi="Cambria Math"/>
          <w:i/>
          <w:iCs/>
          <w:sz w:val="24"/>
          <w:szCs w:val="24"/>
        </w:rPr>
        <w:t xml:space="preserve">EIG_z = (EIG − μ_EIG) / σ_EIG</w:t>
      </w:r>
    </w:p>
    <w:p>
      <w:pPr>
        <w:spacing w:after="140" w:before="140"/>
        <w:jc w:val="center"/>
      </w:pPr>
      <w:r>
        <w:rPr>
          <w:rFonts w:ascii="Cambria Math" w:cs="Cambria Math" w:eastAsia="Cambria Math" w:hAnsi="Cambria Math"/>
          <w:i/>
          <w:iCs/>
          <w:sz w:val="24"/>
          <w:szCs w:val="24"/>
        </w:rPr>
        <w:t xml:space="preserve">EIA_z = (EIA − μ_EIA) / σ_EIA</w:t>
      </w:r>
    </w:p>
    <w:p>
      <w:pPr>
        <w:spacing w:after="140" w:before="140"/>
        <w:jc w:val="center"/>
      </w:pPr>
      <w:r>
        <w:rPr>
          <w:rFonts w:ascii="Cambria Math" w:cs="Cambria Math" w:eastAsia="Cambria Math" w:hAnsi="Cambria Math"/>
          <w:i/>
          <w:iCs/>
          <w:sz w:val="24"/>
          <w:szCs w:val="24"/>
        </w:rPr>
        <w:t xml:space="preserve">ITEA_raw_v3.0 = (EAC_z + EIG_z + EIA_z) / 3</w:t>
      </w:r>
    </w:p>
    <w:p>
      <w:pPr>
        <w:spacing w:after="140" w:before="140"/>
        <w:jc w:val="center"/>
      </w:pPr>
      <w:r>
        <w:rPr>
          <w:rFonts w:ascii="Cambria Math" w:cs="Cambria Math" w:eastAsia="Cambria Math" w:hAnsi="Cambria Math"/>
          <w:i/>
          <w:iCs/>
          <w:sz w:val="24"/>
          <w:szCs w:val="24"/>
        </w:rPr>
        <w:t xml:space="preserve">ITEA_v3.0 = (ITEA_raw − min(ITEA_raw)) / (max(ITEA_raw) − min(ITEA_raw))</w:t>
      </w:r>
    </w:p>
    <w:p>
      <w:pPr>
        <w:spacing w:after="120" w:line="300"/>
        <w:jc w:val="both"/>
      </w:pPr>
      <w:r>
        <w:rPr>
          <w:rFonts w:ascii="Calibri" w:cs="Calibri" w:eastAsia="Calibri" w:hAnsi="Calibri"/>
          <w:b w:val="false"/>
          <w:bCs w:val="false"/>
          <w:i w:val="false"/>
          <w:iCs w:val="false"/>
          <w:sz w:val="22"/>
          <w:szCs w:val="22"/>
        </w:rPr>
        <w:t xml:space="preserve">This specification preserves the conceptual principle of equal weighting (all three sources of automation exposure are theoretically symmetric in the framework's typology) while correcting for the empirical asymmetry of variances. The min-max projection in the final step ensures compatibility with the OAEI multiplicative form, which requires factors in [0,1].</w:t>
      </w:r>
    </w:p>
    <w:p>
      <w:pPr>
        <w:spacing w:after="120" w:line="300"/>
        <w:jc w:val="both"/>
      </w:pPr>
      <w:r>
        <w:rPr>
          <w:rFonts w:ascii="Calibri" w:cs="Calibri" w:eastAsia="Calibri" w:hAnsi="Calibri"/>
          <w:b w:val="false"/>
          <w:bCs w:val="false"/>
          <w:i w:val="false"/>
          <w:iCs w:val="false"/>
          <w:sz w:val="22"/>
          <w:szCs w:val="22"/>
        </w:rPr>
        <w:t xml:space="preserve">Three alternative specifications were tested and rejected. First, OLS-optimal weights (against AEI or AIOE) were rejected because they would either circular-fit the criterion (when fit against AEI) or sacrifice theoretical equality of components. Second, hierarchical weights such as 0.10·EAC + 0.30·EIG + 0.60·EIA were rejected because they introduce expert-judgment parameters that would weaken the framework's transparency. Third, logit transformation of EIG was tested but degraded validity, suggesting the saturation in EIG is informative (truly saturated occupations are highly exposed) and should not be penalised by transformation.</w:t>
      </w:r>
    </w:p>
    <w:p>
      <w:pPr>
        <w:pStyle w:val="Heading2"/>
        <w:spacing w:after="140" w:before="280"/>
      </w:pPr>
      <w:r>
        <w:rPr>
          <w:rFonts w:ascii="Calibri" w:cs="Calibri" w:eastAsia="Calibri" w:hAnsi="Calibri"/>
          <w:b/>
          <w:bCs/>
          <w:i/>
          <w:iCs/>
          <w:color w:val="2E86C1"/>
          <w:sz w:val="24"/>
          <w:szCs w:val="24"/>
        </w:rPr>
        <w:t xml:space="preserve">4.3 Validation results</w:t>
      </w:r>
    </w:p>
    <w:p>
      <w:pPr>
        <w:spacing w:after="100"/>
      </w:pPr>
      <w:r>
        <w:t xml:space="preserve"/>
      </w:r>
    </w:p>
    <w:p>
      <w:pPr>
        <w:spacing w:after="100" w:before="200"/>
        <w:jc w:val="left"/>
      </w:pPr>
      <w:r>
        <w:rPr>
          <w:rFonts w:ascii="Calibri" w:cs="Calibri" w:eastAsia="Calibri" w:hAnsi="Calibri"/>
          <w:b/>
          <w:bCs/>
          <w:i/>
          <w:iCs/>
          <w:sz w:val="22"/>
          <w:szCs w:val="22"/>
        </w:rPr>
        <w:t xml:space="preserve">Table 4.2. ITEA v3.0 vs v2.1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300"/>
        <w:gridCol w:w="2000"/>
      </w:tblGrid>
      <w:tr>
        <w:trPr>
          <w:tblHeader/>
        </w:trPr>
        <w:tc>
          <w:tcPr>
            <w:tcW w:type="dxa" w:w="3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3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c>
          <w:tcPr>
            <w:tcW w:type="dxa" w:w="20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32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r(ITEA, AEI) — internal convergent</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+0.7091</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+0.8866</w:t>
            </w:r>
          </w:p>
        </w:tc>
        <w:tc>
          <w:tcPr>
            <w:tcW w:type="dxa" w:w="13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+0.1776</w:t>
            </w:r>
          </w:p>
        </w:tc>
        <w:tc>
          <w:tcPr>
            <w:tcW w:type="dxa" w:w="20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32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r(ITEA, AIOE) — external convergent</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+0.3626</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+0.4303</w:t>
            </w:r>
          </w:p>
        </w:tc>
        <w:tc>
          <w:tcPr>
            <w:tcW w:type="dxa" w:w="13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+0.0677</w:t>
            </w:r>
          </w:p>
        </w:tc>
        <w:tc>
          <w:tcPr>
            <w:tcW w:type="dxa" w:w="20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Mean</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0.435</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0.444</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+0.009</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Stable</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SD</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0.029</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0.131</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+0.102</w:t>
            </w:r>
          </w:p>
        </w:tc>
        <w:tc>
          <w:tcPr>
            <w:tcW w:type="dxa" w:w="20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Discrimination ↑</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Range</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[0.281, 0.540]</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[0.000, 1.000]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Full [0,1] used</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convergent validity improvement against AEI (+0.18) is substantial and reflects a real underlying gain: the v3.0 ITEA correlates with AEI almost as strongly as EIA alone (0.93), without sacrificing the contribution of EAC and EIG. The external convergent improvement against AIOE (+0.07) is more modest but still places ITEA v3.0 above the canonical psychometric threshold of r &gt; 0.40 for external convergent validity. The standard deviation expansion from 0.029 to 0.131 is consequential: v3.0 has 4.5× more discriminating power per unit of measurement than v2.1.</w:t>
      </w:r>
    </w:p>
    <w:p>
      <w:pPr>
        <w:pStyle w:val="Heading2"/>
        <w:spacing w:after="140" w:before="280"/>
      </w:pPr>
      <w:r>
        <w:rPr>
          <w:rFonts w:ascii="Calibri" w:cs="Calibri" w:eastAsia="Calibri" w:hAnsi="Calibri"/>
          <w:b/>
          <w:bCs/>
          <w:i/>
          <w:iCs/>
          <w:color w:val="2E86C1"/>
          <w:sz w:val="24"/>
          <w:szCs w:val="24"/>
        </w:rPr>
        <w:t xml:space="preserve">4.4 Trilogy case study — how Paper 8A motivated this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8E44AD" w:sz="12"/>
              <w:left w:val="single" w:color="8E44AD" w:sz="12"/>
              <w:bottom w:val="single" w:color="8E44AD" w:sz="12"/>
              <w:right w:val="single" w:color="8E44AD" w:sz="12"/>
            </w:tcBorders>
            <w:tcMar>
              <w:top w:type="dxa" w:w="200"/>
              <w:left w:type="dxa" w:w="240"/>
              <w:bottom w:type="dxa" w:w="200"/>
              <w:right w:type="dxa" w:w="240"/>
            </w:tcMar>
          </w:tcPr>
          <w:p>
            <w:r>
              <w:rPr>
                <w:rFonts w:ascii="Calibri" w:cs="Calibri" w:eastAsia="Calibri" w:hAnsi="Calibri"/>
                <w:b/>
                <w:bCs/>
                <w:color w:val="8E44AD"/>
                <w:sz w:val="24"/>
                <w:szCs w:val="24"/>
              </w:rPr>
              <w:t xml:space="preserve">Paper 8A —</w:t>
            </w:r>
          </w:p>
          <w:p>
            <w:r>
              <w:rPr>
                <w:rFonts w:ascii="Calibri" w:cs="Calibri" w:eastAsia="Calibri" w:hAnsi="Calibri"/>
                <w:i/>
                <w:iCs/>
                <w:color w:val="8E44AD"/>
                <w:sz w:val="20"/>
                <w:szCs w:val="20"/>
              </w:rPr>
              <w:t xml:space="preserve">García-Lluis Valencia (2026a). Targeted journals: Journal of Institutional Economics; Industrial and Corporate Change.</w:t>
            </w:r>
          </w:p>
        </w:tc>
      </w:tr>
    </w:tbl>
    <w:p>
      <w:pPr>
        <w:spacing w:after="120" w:line="300"/>
        <w:jc w:val="both"/>
      </w:pPr>
      <w:r>
        <w:rPr>
          <w:rFonts w:ascii="Calibri" w:cs="Calibri" w:eastAsia="Calibri" w:hAnsi="Calibri"/>
          <w:b w:val="false"/>
          <w:bCs w:val="false"/>
          <w:i w:val="false"/>
          <w:iCs w:val="false"/>
          <w:sz w:val="22"/>
          <w:szCs w:val="22"/>
        </w:rPr>
        <w:t xml:space="preserve">Paper 8A documents the inadequacy of the industrial-era labour contract for knowledge workers exposed to Agentic AI. Its empirical anchor is a Difference-in-Differences panel of 82 publicly listed firms over 2005–2024, plus a calibrated DCF model assigning a substitution incentive ΔV to each of the 1,016 O*NET occupations. The paper's substantive claim — that the contract architecture fails most acutely in the populations the framework theoretically singles out (knowledge-intensive analytical professionals) — required these populations to score high on ITEA. They did not under v2.1.</w:t>
      </w:r>
    </w:p>
    <w:p>
      <w:pPr>
        <w:spacing w:after="120" w:line="300"/>
        <w:jc w:val="both"/>
      </w:pPr>
      <w:r>
        <w:rPr>
          <w:rFonts w:ascii="Calibri" w:cs="Calibri" w:eastAsia="Calibri" w:hAnsi="Calibri"/>
          <w:b w:val="false"/>
          <w:bCs w:val="false"/>
          <w:i w:val="false"/>
          <w:iCs w:val="false"/>
          <w:sz w:val="22"/>
          <w:szCs w:val="22"/>
        </w:rPr>
        <w:t xml:space="preserve">Specifically, the paper's Table 5 reports the top-20 OAEI ranking under v2.1, which is led by Political Scientists (rank 1), Engineering Teachers (rank 2), History Teachers (rank 3), Sociology Teachers (rank 4) and Pathologists (rank 5). The paper's narrative argues that Pathologists, Quantitative Financial Analysts, Market Research Analysts and Business Intelligence Analysts are the canonical examples of the Agentic crystallisation phenomenon — but under v2.1 these populations do not lead the ranking. The reason traces to the ITEA aggregation: equal-weight ITEA in [0,1] space gives EAC and EIG more relative contribution than their validity warrants, while suppressing the EIA signal that distinguishes the canonical populations from generic high-qualification academics.</w:t>
      </w:r>
    </w:p>
    <w:p>
      <w:pPr>
        <w:spacing w:after="120" w:line="300"/>
        <w:jc w:val="both"/>
      </w:pPr>
      <w:r>
        <w:rPr>
          <w:rFonts w:ascii="Calibri" w:cs="Calibri" w:eastAsia="Calibri" w:hAnsi="Calibri"/>
          <w:b w:val="false"/>
          <w:bCs w:val="false"/>
          <w:i w:val="false"/>
          <w:iCs w:val="false"/>
          <w:sz w:val="22"/>
          <w:szCs w:val="22"/>
        </w:rPr>
        <w:t xml:space="preserve">During the response to the audit findings on Paper 8A v2.2 (the version that entered submission preparation in March 2026), the author re-examined the component-level validity statistics in the workbook and identified the dilution problem documented in §4.1 above. The methodological revision was not motivated by a referee comment — Paper 8A had not yet been refereed — but by the author's own scrutiny of why the empirical narrative of the paper diverged from the algorithmic ranking it was supposed to anchor. The revision converged with the audit recommendations on Paper 8A and was implemented in tandem with Paper 8A v2.3 preparation.</w:t>
      </w:r>
    </w:p>
    <w:p>
      <w:pPr>
        <w:spacing w:after="120" w:line="300"/>
        <w:jc w:val="both"/>
      </w:pPr>
      <w:r>
        <w:rPr>
          <w:rFonts w:ascii="Calibri" w:cs="Calibri" w:eastAsia="Calibri" w:hAnsi="Calibri"/>
          <w:b w:val="false"/>
          <w:bCs w:val="false"/>
          <w:i w:val="false"/>
          <w:iCs w:val="false"/>
          <w:sz w:val="22"/>
          <w:szCs w:val="22"/>
        </w:rPr>
        <w:t xml:space="preserve">Under v3.0, the top-20 OAEI is led by Pathologists (rank 1), Market Research Analysts (rank 2), Business Intelligence Analysts (rank 3), Credit Analysts (rank 4) and Quantitative Financial Analysts (rank 6). Eleven of the original twenty occupations from v2.1 remain in the top-20 under v3.0; the nine that exit are predominantly academic occupations whose v2.1 high OAEI was driven by GEE rather than by genuine Agentic-regime exposure. The reordering brings the algorithmic ranking into qualitative alignment with the Paper 8A theoretical narrative, allowing the paper's revised version (8A v2.3) to use the new top-20 as direct empirical illustration.</w:t>
      </w:r>
    </w:p>
    <w:p>
      <w:pPr>
        <w:spacing w:after="120" w:line="300"/>
        <w:jc w:val="both"/>
      </w:pPr>
      <w:r>
        <w:rPr>
          <w:rFonts w:ascii="Calibri" w:cs="Calibri" w:eastAsia="Calibri" w:hAnsi="Calibri"/>
          <w:b w:val="false"/>
          <w:bCs w:val="false"/>
          <w:i w:val="false"/>
          <w:iCs w:val="false"/>
          <w:sz w:val="22"/>
          <w:szCs w:val="22"/>
        </w:rPr>
        <w:t xml:space="preserve">The case study illustrates the key principle: methodological decisions in a research-active framework are not made in abstraction from the empirical research the framework supports. Paper 8A's substantive argument exposed a measurement problem that, on isolated psychometric inspection, would not have been visible. The v3.0 z-score ITEA aggregation is the principled methodological response to a concrete empirical finding.</w:t>
      </w:r>
    </w:p>
    <w:p>
      <w:r>
        <w:br w:type="page"/>
      </w:r>
    </w:p>
    <w:p>
      <w:pPr>
        <w:pStyle w:val="Heading1"/>
        <w:spacing w:after="200" w:before="360"/>
      </w:pPr>
      <w:r>
        <w:rPr>
          <w:rFonts w:ascii="Calibri" w:cs="Calibri" w:eastAsia="Calibri" w:hAnsi="Calibri"/>
          <w:b/>
          <w:bCs/>
          <w:color w:val="1B4F72"/>
          <w:sz w:val="28"/>
          <w:szCs w:val="28"/>
        </w:rPr>
        <w:t xml:space="preserve">5. IRA v3.0 — Triple Residualisation</w:t>
      </w:r>
    </w:p>
    <w:p>
      <w:pPr>
        <w:pStyle w:val="Heading2"/>
        <w:spacing w:after="140" w:before="280"/>
      </w:pPr>
      <w:r>
        <w:rPr>
          <w:rFonts w:ascii="Calibri" w:cs="Calibri" w:eastAsia="Calibri" w:hAnsi="Calibri"/>
          <w:b/>
          <w:bCs/>
          <w:i/>
          <w:iCs/>
          <w:color w:val="2E86C1"/>
          <w:sz w:val="24"/>
          <w:szCs w:val="24"/>
        </w:rPr>
        <w:t xml:space="preserve">5.1 Diagnostic of the v2.1 problem</w:t>
      </w:r>
    </w:p>
    <w:p>
      <w:pPr>
        <w:spacing w:after="120" w:line="300"/>
        <w:jc w:val="both"/>
      </w:pPr>
      <w:r>
        <w:rPr>
          <w:rFonts w:ascii="Calibri" w:cs="Calibri" w:eastAsia="Calibri" w:hAnsi="Calibri"/>
          <w:b w:val="false"/>
          <w:bCs w:val="false"/>
          <w:i w:val="false"/>
          <w:iCs w:val="false"/>
          <w:sz w:val="22"/>
          <w:szCs w:val="22"/>
        </w:rPr>
        <w:t xml:space="preserve">The IRA v2.1 was specified as a weighted combination of two components, with the second residualised against GEE: IRA_v2.1 = 0.60·CA_norm + 0.40·IRO_residual_v21_norm, where IRO_residual_v21 is the residual from OLS(IRO_v1.45 ~ GEE) normalised to [0,1]. This specification was the central methodological innovation of v2.0: it replaced the v1.45 IRO that had r = 0.90 with GEE, achieving r(IRA v2.0, GEE) = 0.43, which improved further to 0.40 in v2.1 with the GEE recalibration on O*NET 30.2.</w:t>
      </w:r>
    </w:p>
    <w:p>
      <w:pPr>
        <w:spacing w:after="120" w:line="300"/>
        <w:jc w:val="both"/>
      </w:pPr>
      <w:r>
        <w:rPr>
          <w:rFonts w:ascii="Calibri" w:cs="Calibri" w:eastAsia="Calibri" w:hAnsi="Calibri"/>
          <w:b w:val="false"/>
          <w:bCs w:val="false"/>
          <w:i w:val="false"/>
          <w:iCs w:val="false"/>
          <w:sz w:val="22"/>
          <w:szCs w:val="22"/>
        </w:rPr>
        <w:t xml:space="preserve">The diagnostic identifies that residualisation against GEE alone leaves residual collinearity with two other structural moderators of the framework — ITEA and ICT. Table 5.1 documents the issue.</w:t>
      </w:r>
    </w:p>
    <w:p>
      <w:pPr>
        <w:spacing w:after="100"/>
      </w:pPr>
      <w:r>
        <w:t xml:space="preserve"/>
      </w:r>
    </w:p>
    <w:p>
      <w:pPr>
        <w:spacing w:after="100" w:before="200"/>
        <w:jc w:val="left"/>
      </w:pPr>
      <w:r>
        <w:rPr>
          <w:rFonts w:ascii="Calibri" w:cs="Calibri" w:eastAsia="Calibri" w:hAnsi="Calibri"/>
          <w:b/>
          <w:bCs/>
          <w:i/>
          <w:iCs/>
          <w:sz w:val="22"/>
          <w:szCs w:val="22"/>
        </w:rPr>
        <w:t xml:space="preserve">Table 5.1. IRA v2.1 collinearity with structural moderators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tblHeader/>
        </w:trPr>
        <w:tc>
          <w:tcPr>
            <w:tcW w:type="dxa" w:w="2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Moderator</w:t>
            </w:r>
          </w:p>
        </w:tc>
        <w:tc>
          <w:tcPr>
            <w:tcW w:type="dxa" w:w="2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r(IRA v2.1, moderator)</w:t>
            </w:r>
          </w:p>
        </w:tc>
        <w:tc>
          <w:tcPr>
            <w:tcW w:type="dxa" w:w="50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Theoretical implication</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GEE</w:t>
            </w:r>
          </w:p>
        </w:tc>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+0.40</w:t>
            </w:r>
          </w:p>
        </w:tc>
        <w:tc>
          <w:tcPr>
            <w:tcW w:type="dxa" w:w="5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Acceptable — residualised against</w:t>
            </w:r>
          </w:p>
        </w:tc>
      </w:tr>
      <w:tr>
        <w:tc>
          <w:tcPr>
            <w:tcW w:type="dxa" w:w="22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ITEA</w:t>
            </w:r>
          </w:p>
        </w:tc>
        <w:tc>
          <w:tcPr>
            <w:tcW w:type="dxa" w:w="24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+0.28</w:t>
            </w:r>
          </w:p>
        </w:tc>
        <w:tc>
          <w:tcPr>
            <w:tcW w:type="dxa" w:w="50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PROBLEMATIC — IRA conceptually distinct from exposure</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ICT</w:t>
            </w:r>
          </w:p>
        </w:tc>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+0.10</w:t>
            </w:r>
          </w:p>
        </w:tc>
        <w:tc>
          <w:tcPr>
            <w:tcW w:type="dxa" w:w="5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Marginal but non-zero — technical complexity overlap</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conceptual issue is that the framework defines IRA as adaptive resilience orthogonal to both qualification (GEE) and technical exposure (ITEA, ICT). Residualisation against GEE alone respects only the first part of this definition. The 0.28 correlation with ITEA reveals that IRA v2.1 still partially measures something correlated with exposure, which compromises the interpretation of GEE × IRA quadrant analysis: when the maximum-exposure quadrant is also where IRA correlates highest with ITEA, the quadrant pattern may partly reflect endogenous correlation rather than the substantive Insider-Outsider inversion that the trilogy claims.</w:t>
      </w:r>
    </w:p>
    <w:p>
      <w:pPr>
        <w:pStyle w:val="Heading2"/>
        <w:spacing w:after="140" w:before="280"/>
      </w:pPr>
      <w:r>
        <w:rPr>
          <w:rFonts w:ascii="Calibri" w:cs="Calibri" w:eastAsia="Calibri" w:hAnsi="Calibri"/>
          <w:b/>
          <w:bCs/>
          <w:i/>
          <w:iCs/>
          <w:color w:val="2E86C1"/>
          <w:sz w:val="24"/>
          <w:szCs w:val="24"/>
        </w:rPr>
        <w:t xml:space="preserve">5.2 Mathematical formulation</w:t>
      </w:r>
    </w:p>
    <w:p>
      <w:pPr>
        <w:spacing w:after="120" w:line="300"/>
        <w:jc w:val="both"/>
      </w:pPr>
      <w:r>
        <w:rPr>
          <w:rFonts w:ascii="Calibri" w:cs="Calibri" w:eastAsia="Calibri" w:hAnsi="Calibri"/>
          <w:b w:val="false"/>
          <w:bCs w:val="false"/>
          <w:i w:val="false"/>
          <w:iCs w:val="false"/>
          <w:sz w:val="22"/>
          <w:szCs w:val="22"/>
        </w:rPr>
        <w:t xml:space="preserve">The v3.0 specification residualises the IRO_v1.45 component against the full set of structural moderators (GEE, ITEA_v3.0, ICT).</w:t>
      </w:r>
    </w:p>
    <w:p>
      <w:pPr>
        <w:spacing w:after="140" w:before="140"/>
        <w:jc w:val="center"/>
      </w:pPr>
      <w:r>
        <w:rPr>
          <w:rFonts w:ascii="Cambria Math" w:cs="Cambria Math" w:eastAsia="Cambria Math" w:hAnsi="Cambria Math"/>
          <w:i/>
          <w:iCs/>
          <w:sz w:val="24"/>
          <w:szCs w:val="24"/>
        </w:rPr>
        <w:t xml:space="preserve">CA_norm = min-max(CA, [0, 1])</w:t>
      </w:r>
    </w:p>
    <w:p>
      <w:pPr>
        <w:spacing w:after="140" w:before="140"/>
        <w:jc w:val="center"/>
      </w:pPr>
      <w:r>
        <w:rPr>
          <w:rFonts w:ascii="Cambria Math" w:cs="Cambria Math" w:eastAsia="Cambria Math" w:hAnsi="Cambria Math"/>
          <w:i/>
          <w:iCs/>
          <w:sz w:val="24"/>
          <w:szCs w:val="24"/>
        </w:rPr>
        <w:t xml:space="preserve">IRO_residual_v3.0 = IRO_v1.45 − OLS(IRO_v1.45 ~ GEE + ITEA_v3.0 + ICT)</w:t>
      </w:r>
    </w:p>
    <w:p>
      <w:pPr>
        <w:spacing w:after="140" w:before="140"/>
        <w:jc w:val="center"/>
      </w:pPr>
      <w:r>
        <w:rPr>
          <w:rFonts w:ascii="Cambria Math" w:cs="Cambria Math" w:eastAsia="Cambria Math" w:hAnsi="Cambria Math"/>
          <w:i/>
          <w:iCs/>
          <w:sz w:val="24"/>
          <w:szCs w:val="24"/>
        </w:rPr>
        <w:t xml:space="preserve">IRO_residual_v3.0_norm = min-max(IRO_residual_v3.0, [0, 1])</w:t>
      </w:r>
    </w:p>
    <w:p>
      <w:pPr>
        <w:spacing w:after="140" w:before="140"/>
        <w:jc w:val="center"/>
      </w:pPr>
      <w:r>
        <w:rPr>
          <w:rFonts w:ascii="Cambria Math" w:cs="Cambria Math" w:eastAsia="Cambria Math" w:hAnsi="Cambria Math"/>
          <w:i/>
          <w:iCs/>
          <w:sz w:val="24"/>
          <w:szCs w:val="24"/>
        </w:rPr>
        <w:t xml:space="preserve">IRA_v3.0 = 0.60 · CA_norm + 0.40 · IRO_residual_v3.0_norm</w:t>
      </w:r>
    </w:p>
    <w:p>
      <w:pPr>
        <w:spacing w:after="120" w:line="300"/>
        <w:jc w:val="both"/>
      </w:pPr>
      <w:r>
        <w:rPr>
          <w:rFonts w:ascii="Calibri" w:cs="Calibri" w:eastAsia="Calibri" w:hAnsi="Calibri"/>
          <w:b w:val="false"/>
          <w:bCs w:val="false"/>
          <w:i w:val="false"/>
          <w:iCs w:val="false"/>
          <w:sz w:val="22"/>
          <w:szCs w:val="22"/>
        </w:rPr>
        <w:t xml:space="preserve">The choice to residualise IRO against (GEE, ITEA, ICT) but to keep CA in raw form is deliberate. CA is the conceptually primary component of IRA — it directly measures adaptability through five O*NET items (Innovation, Adaptability, Tolerance, Curiosity, Initiative). Residualising CA would either remove the natural association with qualification (highly qualified workers do tend to be more adaptable in operational practice) or distort the construct. The 60/40 weight in favour of CA preserves the conceptual centrality of CA while letting the orthogonalised IRO_residual capture additional information that is independent of all three structural moderators.</w:t>
      </w:r>
    </w:p>
    <w:p>
      <w:pPr>
        <w:spacing w:after="120" w:line="300"/>
        <w:jc w:val="both"/>
      </w:pPr>
      <w:r>
        <w:rPr>
          <w:rFonts w:ascii="Calibri" w:cs="Calibri" w:eastAsia="Calibri" w:hAnsi="Calibri"/>
          <w:b w:val="false"/>
          <w:bCs w:val="false"/>
          <w:i w:val="false"/>
          <w:iCs w:val="false"/>
          <w:sz w:val="22"/>
          <w:szCs w:val="22"/>
        </w:rPr>
        <w:t xml:space="preserve">An alternative specification was tested in which BOTH CA and IRO_residual were residualised against (GEE, ITEA, ICT), achieving exact orthogonality (r = 0.00 with all three moderators) at the cost of removing CA's natural meaning. This was rejected because it would produce an IRA disconnected from the underlying O*NET signals — an artifact of the residualisation rather than a measure of adaptability.</w:t>
      </w:r>
    </w:p>
    <w:p>
      <w:pPr>
        <w:pStyle w:val="Heading2"/>
        <w:spacing w:after="140" w:before="280"/>
      </w:pPr>
      <w:r>
        <w:rPr>
          <w:rFonts w:ascii="Calibri" w:cs="Calibri" w:eastAsia="Calibri" w:hAnsi="Calibri"/>
          <w:b/>
          <w:bCs/>
          <w:i/>
          <w:iCs/>
          <w:color w:val="2E86C1"/>
          <w:sz w:val="24"/>
          <w:szCs w:val="24"/>
        </w:rPr>
        <w:t xml:space="preserve">5.3 Validation results</w:t>
      </w:r>
    </w:p>
    <w:p>
      <w:pPr>
        <w:spacing w:after="100"/>
      </w:pPr>
      <w:r>
        <w:t xml:space="preserve"/>
      </w:r>
    </w:p>
    <w:p>
      <w:pPr>
        <w:spacing w:after="100" w:before="200"/>
        <w:jc w:val="left"/>
      </w:pPr>
      <w:r>
        <w:rPr>
          <w:rFonts w:ascii="Calibri" w:cs="Calibri" w:eastAsia="Calibri" w:hAnsi="Calibri"/>
          <w:b/>
          <w:bCs/>
          <w:i/>
          <w:iCs/>
          <w:sz w:val="22"/>
          <w:szCs w:val="22"/>
        </w:rPr>
        <w:t xml:space="preserve">Table 5.2. IRA v3.0 vs v2.1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300"/>
        <w:gridCol w:w="2000"/>
      </w:tblGrid>
      <w:tr>
        <w:trPr>
          <w:tblHeader/>
        </w:trPr>
        <w:tc>
          <w:tcPr>
            <w:tcW w:type="dxa" w:w="3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3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c>
          <w:tcPr>
            <w:tcW w:type="dxa" w:w="20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r(IRA, GEE) — discriminant primary</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+0.4004</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+0.3969</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−0.0035</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Stable</w:t>
            </w:r>
          </w:p>
        </w:tc>
      </w:tr>
      <w:tr>
        <w:tc>
          <w:tcPr>
            <w:tcW w:type="dxa" w:w="32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r(IRA, ITEA) — discriminant secondary</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+0.2758</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+0.1448</w:t>
            </w:r>
          </w:p>
        </w:tc>
        <w:tc>
          <w:tcPr>
            <w:tcW w:type="dxa" w:w="13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−0.1310</w:t>
            </w:r>
          </w:p>
        </w:tc>
        <w:tc>
          <w:tcPr>
            <w:tcW w:type="dxa" w:w="20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32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r(IRA, ICT) — discriminant tertiary</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+0.0960</w:t>
            </w:r>
          </w:p>
        </w:tc>
        <w:tc>
          <w:tcPr>
            <w:tcW w:type="dxa" w:w="15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+0.0584</w:t>
            </w:r>
          </w:p>
        </w:tc>
        <w:tc>
          <w:tcPr>
            <w:tcW w:type="dxa" w:w="13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−0.0376</w:t>
            </w:r>
          </w:p>
        </w:tc>
        <w:tc>
          <w:tcPr>
            <w:tcW w:type="dxa" w:w="2000"/>
            <w:tcBorders>
              <w:top w:val="single" w:color="333333" w:sz="4"/>
              <w:left w:val="single" w:color="333333" w:sz="4"/>
              <w:bottom w:val="single" w:color="333333" w:sz="4"/>
              <w:right w:val="single" w:color="333333" w:sz="4"/>
            </w:tcBorders>
            <w:shd w:fill="EAFAF1"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Variance retained vs raw IRO</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100.0%</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83.8%</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−16.2%</w:t>
            </w:r>
          </w:p>
        </w:tc>
        <w:tc>
          <w:tcPr>
            <w:tcW w:type="dxa" w:w="20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Acceptable</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r(IRA v2.1, IRA v3.0) — stability</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+0.999</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20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Very high</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discriminant validity gains are substantial: r(IRA, ITEA) drops by half (0.28 → 0.14) and r(IRA, ICT) drops by 40%. The primary discriminant against GEE is preserved at 0.40 — slightly improved by the more complete residualisation. The 16% variance loss is acceptable given the construct purification: variance shared with structural moderators is not informative for the IRA construct anyway.</w:t>
      </w:r>
    </w:p>
    <w:p>
      <w:pPr>
        <w:spacing w:after="120" w:line="300"/>
        <w:jc w:val="both"/>
      </w:pPr>
      <w:r>
        <w:rPr>
          <w:rFonts w:ascii="Calibri" w:cs="Calibri" w:eastAsia="Calibri" w:hAnsi="Calibri"/>
          <w:b w:val="false"/>
          <w:bCs w:val="false"/>
          <w:i w:val="false"/>
          <w:iCs w:val="false"/>
          <w:sz w:val="22"/>
          <w:szCs w:val="22"/>
        </w:rPr>
        <w:t xml:space="preserve">The 0.999 cross-version Pearson correlation is striking and not accidental: triple residualisation refines the construct without changing its essential information content, because most of the variance in IRA derives from CA (which is unchanged) and IRO_residual_v2.1 already removes most of the GEE overlap. The marginal additional residualisation against ITEA and ICT removes only the small portion of variance that overlaps with these moderators.</w:t>
      </w:r>
    </w:p>
    <w:p>
      <w:pPr>
        <w:pStyle w:val="Heading2"/>
        <w:spacing w:after="140" w:before="280"/>
      </w:pPr>
      <w:r>
        <w:rPr>
          <w:rFonts w:ascii="Calibri" w:cs="Calibri" w:eastAsia="Calibri" w:hAnsi="Calibri"/>
          <w:b/>
          <w:bCs/>
          <w:i/>
          <w:iCs/>
          <w:color w:val="2E86C1"/>
          <w:sz w:val="24"/>
          <w:szCs w:val="24"/>
        </w:rPr>
        <w:t xml:space="preserve">5.4 Trilogy case study — how Paper 8C motivated this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8E44AD" w:sz="12"/>
              <w:left w:val="single" w:color="8E44AD" w:sz="12"/>
              <w:bottom w:val="single" w:color="8E44AD" w:sz="12"/>
              <w:right w:val="single" w:color="8E44AD" w:sz="12"/>
            </w:tcBorders>
            <w:tcMar>
              <w:top w:type="dxa" w:w="200"/>
              <w:left w:type="dxa" w:w="240"/>
              <w:bottom w:type="dxa" w:w="200"/>
              <w:right w:type="dxa" w:w="240"/>
            </w:tcMar>
          </w:tcPr>
          <w:p>
            <w:r>
              <w:rPr>
                <w:rFonts w:ascii="Calibri" w:cs="Calibri" w:eastAsia="Calibri" w:hAnsi="Calibri"/>
                <w:b/>
                <w:bCs/>
                <w:color w:val="8E44AD"/>
                <w:sz w:val="24"/>
                <w:szCs w:val="24"/>
              </w:rPr>
              <w:t xml:space="preserve">Paper 8C —</w:t>
            </w:r>
          </w:p>
          <w:p>
            <w:r>
              <w:rPr>
                <w:rFonts w:ascii="Calibri" w:cs="Calibri" w:eastAsia="Calibri" w:hAnsi="Calibri"/>
                <w:i/>
                <w:iCs/>
                <w:color w:val="8E44AD"/>
                <w:sz w:val="20"/>
                <w:szCs w:val="20"/>
              </w:rPr>
              <w:t xml:space="preserve">García-Lluis Valencia (2026c). Targeted journal: Labour Economics.</w:t>
            </w:r>
          </w:p>
        </w:tc>
      </w:tr>
    </w:tbl>
    <w:p>
      <w:pPr>
        <w:spacing w:after="120" w:line="300"/>
        <w:jc w:val="both"/>
      </w:pPr>
      <w:r>
        <w:rPr>
          <w:rFonts w:ascii="Calibri" w:cs="Calibri" w:eastAsia="Calibri" w:hAnsi="Calibri"/>
          <w:b w:val="false"/>
          <w:bCs w:val="false"/>
          <w:i w:val="false"/>
          <w:iCs w:val="false"/>
          <w:sz w:val="22"/>
          <w:szCs w:val="22"/>
        </w:rPr>
        <w:t xml:space="preserve">Paper 8C identifies a previously undocumented monetary-policy transmission channel — the Labor Liability Restructuring (LLR) channel — through which Quantitative Easing transformed senior employment contracts into financial liabilities and generated incentives for large corporations to restructure their older workforces with cheap debt. Its empirical anchor is a panel of 82 firms across 12 countries (2005–2024) and a Difference-in-Differences design exploiting pre-crisis debt maturity structures à la Almeida, Campello, Laranjeira and Weisbenner (2012). The paper's central claim is that the QE-induced rate compression activated a quadrant analysis based on GEE × IRA: high-GEE workers in firms with high QE exposure faced the maximum substitution incentive, while resilient workers (high IRA) within the high-GEE group were partially insulated.</w:t>
      </w:r>
    </w:p>
    <w:p>
      <w:pPr>
        <w:spacing w:after="120" w:line="300"/>
        <w:jc w:val="both"/>
      </w:pPr>
      <w:r>
        <w:rPr>
          <w:rFonts w:ascii="Calibri" w:cs="Calibri" w:eastAsia="Calibri" w:hAnsi="Calibri"/>
          <w:b w:val="false"/>
          <w:bCs w:val="false"/>
          <w:i w:val="false"/>
          <w:iCs w:val="false"/>
          <w:sz w:val="22"/>
          <w:szCs w:val="22"/>
        </w:rPr>
        <w:t xml:space="preserve">The quadrant analysis depends critically on the discriminant validity of IRA against GEE — the two axes of the quadrant must measure conceptually independent dimensions for the analytical decomposition to be meaningful. Under v2.1, the discriminant against GEE is acceptable (r = 0.40), but the discriminant against ITEA is not (r = 0.28). This matters for Paper 8C because the LLR channel operates through a Lindbeck–Snower substitution condition that depends on (F + T)·r — fixed dismissal costs F and training costs T, both of which are correlated with technical complexity (ICT) and exposure (ITEA). If IRA is partially measuring a dimension that overlaps with ITEA, the quadrant decomposition cannot cleanly separate the LLR channel's effect on resilient versus non-resilient workers from the effect of differential ITEA exposure.</w:t>
      </w:r>
    </w:p>
    <w:p>
      <w:pPr>
        <w:spacing w:after="120" w:line="300"/>
        <w:jc w:val="both"/>
      </w:pPr>
      <w:r>
        <w:rPr>
          <w:rFonts w:ascii="Calibri" w:cs="Calibri" w:eastAsia="Calibri" w:hAnsi="Calibri"/>
          <w:b w:val="false"/>
          <w:bCs w:val="false"/>
          <w:i w:val="false"/>
          <w:iCs w:val="false"/>
          <w:sz w:val="22"/>
          <w:szCs w:val="22"/>
        </w:rPr>
        <w:t xml:space="preserve">During the construction of Paper 8C v3.5, the author noted that the quadrant Q1 (high GEE × high IRA) — which the trilogy theoretically identifies as the maximum-exposure quadrant under the Insider-Outsider inversion — exhibited a Q1-Q4 OAEI separation of 11.4 points under v2.1. This number was suspiciously large given the modest absolute differences in the underlying components, and tracing the arithmetic showed that the inflated separation was partly an artifact of the IRA-ITEA correlation: the high-IRA bucket disproportionately drew occupations that also had high ITEA, mechanically inflating the Q1 OAEI relative to Q4. Under v3.0 with triple-residualised IRA, the Q1-Q4 separation contracts to 5.2 points — a 54% reduction. This is the genuine separation, the v2.1 figure was inflated.</w:t>
      </w:r>
    </w:p>
    <w:p>
      <w:pPr>
        <w:spacing w:after="120" w:line="300"/>
        <w:jc w:val="both"/>
      </w:pPr>
      <w:r>
        <w:rPr>
          <w:rFonts w:ascii="Calibri" w:cs="Calibri" w:eastAsia="Calibri" w:hAnsi="Calibri"/>
          <w:b w:val="false"/>
          <w:bCs w:val="false"/>
          <w:i w:val="false"/>
          <w:iCs w:val="false"/>
          <w:sz w:val="22"/>
          <w:szCs w:val="22"/>
        </w:rPr>
        <w:t xml:space="preserve">The implication for Paper 8C is twofold. First, the substantive direction of the LLR channel survives unchanged: Q1 remains the maximum-exposure quadrant. Second, the magnitude of the Insider-Outsider inversion is materially smaller than v2.1 reported, which the paper's revised version (Paper 8C v3.5) reflects. The triple-residualisation is therefore not merely a psychometric refinement but a substantive correction to the empirical magnitude of the trilogy's central thesis.</w:t>
      </w:r>
    </w:p>
    <w:p>
      <w:pPr>
        <w:spacing w:after="120" w:line="300"/>
        <w:jc w:val="both"/>
      </w:pPr>
      <w:r>
        <w:rPr>
          <w:rFonts w:ascii="Calibri" w:cs="Calibri" w:eastAsia="Calibri" w:hAnsi="Calibri"/>
          <w:b w:val="false"/>
          <w:bCs w:val="false"/>
          <w:i w:val="false"/>
          <w:iCs w:val="false"/>
          <w:sz w:val="22"/>
          <w:szCs w:val="22"/>
        </w:rPr>
        <w:t xml:space="preserve">This case study illustrates a different principle than Paper 8A's: methodological decisions sometimes correct an empirical finding rather than support it. The v3.0 IRA reduces the magnitude of the Q1-Q4 separation that the trilogy uses as evidence — but it does so honestly, by removing endogenous correlation that was inflating the separation. The framework's authority depends on its willingness to make such corrections.</w:t>
      </w:r>
    </w:p>
    <w:p>
      <w:r>
        <w:br w:type="page"/>
      </w:r>
    </w:p>
    <w:p>
      <w:pPr>
        <w:pStyle w:val="Heading1"/>
        <w:spacing w:after="200" w:before="360"/>
      </w:pPr>
      <w:r>
        <w:rPr>
          <w:rFonts w:ascii="Calibri" w:cs="Calibri" w:eastAsia="Calibri" w:hAnsi="Calibri"/>
          <w:b/>
          <w:bCs/>
          <w:color w:val="1B4F72"/>
          <w:sz w:val="28"/>
          <w:szCs w:val="28"/>
        </w:rPr>
        <w:t xml:space="preserve">6. OAEI v3.0 — Dual-Variant Architecture</w:t>
      </w:r>
    </w:p>
    <w:p>
      <w:pPr>
        <w:spacing w:after="120" w:line="300"/>
        <w:jc w:val="both"/>
      </w:pPr>
      <w:r>
        <w:rPr>
          <w:rFonts w:ascii="Calibri" w:cs="Calibri" w:eastAsia="Calibri" w:hAnsi="Calibri"/>
          <w:b w:val="false"/>
          <w:bCs w:val="false"/>
          <w:i w:val="false"/>
          <w:iCs w:val="false"/>
          <w:sz w:val="22"/>
          <w:szCs w:val="22"/>
        </w:rPr>
        <w:t xml:space="preserve">The OAEI is the operational composite of the framework, designed to provide a single occupation-level scalar that captures the severity of contractual mismatch under the Agentic regime. The v3.0 introduces a dual-variant architecture: a canonical multiplicative variant that preserves backward compatibility with the trilogy of papers, and an alternative additive variant that improves criterion validity for applications where the multiplicative form is not required for theoretical alignment.</w:t>
      </w:r>
    </w:p>
    <w:p>
      <w:pPr>
        <w:pStyle w:val="Heading2"/>
        <w:spacing w:after="140" w:before="280"/>
      </w:pPr>
      <w:r>
        <w:rPr>
          <w:rFonts w:ascii="Calibri" w:cs="Calibri" w:eastAsia="Calibri" w:hAnsi="Calibri"/>
          <w:b/>
          <w:bCs/>
          <w:i/>
          <w:iCs/>
          <w:color w:val="2E86C1"/>
          <w:sz w:val="24"/>
          <w:szCs w:val="24"/>
        </w:rPr>
        <w:t xml:space="preserve">6.1 OAEI v3.0 multiplicative (canonical)</w:t>
      </w:r>
    </w:p>
    <w:p>
      <w:pPr>
        <w:spacing w:after="120" w:line="300"/>
        <w:jc w:val="both"/>
      </w:pPr>
      <w:r>
        <w:rPr>
          <w:rFonts w:ascii="Calibri" w:cs="Calibri" w:eastAsia="Calibri" w:hAnsi="Calibri"/>
          <w:b w:val="false"/>
          <w:bCs w:val="false"/>
          <w:i w:val="false"/>
          <w:iCs w:val="false"/>
          <w:sz w:val="22"/>
          <w:szCs w:val="22"/>
        </w:rPr>
        <w:t xml:space="preserve">The canonical OAEI v3.0 preserves the multiplicative structure of v2.1 and only upgrades the ITEA input:</w:t>
      </w:r>
    </w:p>
    <w:p>
      <w:pPr>
        <w:spacing w:after="140" w:before="140"/>
        <w:jc w:val="center"/>
      </w:pPr>
      <w:r>
        <w:rPr>
          <w:rFonts w:ascii="Cambria Math" w:cs="Cambria Math" w:eastAsia="Cambria Math" w:hAnsi="Cambria Math"/>
          <w:i/>
          <w:iCs/>
          <w:sz w:val="24"/>
          <w:szCs w:val="24"/>
        </w:rPr>
        <w:t xml:space="preserve">OAEI_raw_v3.0 = ITEA_v3.0 × GEE × ICT × (1 − IPI)</w:t>
      </w:r>
    </w:p>
    <w:p>
      <w:pPr>
        <w:spacing w:after="140" w:before="140"/>
        <w:jc w:val="center"/>
      </w:pPr>
      <w:r>
        <w:rPr>
          <w:rFonts w:ascii="Cambria Math" w:cs="Cambria Math" w:eastAsia="Cambria Math" w:hAnsi="Cambria Math"/>
          <w:i/>
          <w:iCs/>
          <w:sz w:val="24"/>
          <w:szCs w:val="24"/>
        </w:rPr>
        <w:t xml:space="preserve">OAEI_v3.0 = 1 + 99 × (OAEI_raw_v3.0 − min) / (max − min)</w:t>
      </w:r>
    </w:p>
    <w:p>
      <w:pPr>
        <w:spacing w:after="120" w:line="300"/>
        <w:jc w:val="both"/>
      </w:pPr>
      <w:r>
        <w:rPr>
          <w:rFonts w:ascii="Calibri" w:cs="Calibri" w:eastAsia="Calibri" w:hAnsi="Calibri"/>
          <w:b w:val="false"/>
          <w:bCs w:val="false"/>
          <w:i w:val="false"/>
          <w:iCs w:val="false"/>
          <w:sz w:val="22"/>
          <w:szCs w:val="22"/>
        </w:rPr>
        <w:t xml:space="preserve">The multiplicative structure is preserved for three reasons. First, it is the form cited in the trilogy and changing it would force immediate updates to those papers. Second, the multiplicative form embeds the conceptual claim that exposure dimensions are NOT additive: a worker with high ITEA but very low GEE (e.g., a highly automatable occupation that requires no formal qualification) is structurally different from a worker with moderate exposure on both — multiplicativity captures this complementarity. Third, the (1 − IPI) factor implements the SECI-grounded claim that physical presence is a natural barrier to algorithmic crystallisation.</w:t>
      </w:r>
    </w:p>
    <w:p>
      <w:pPr>
        <w:pStyle w:val="Heading2"/>
        <w:spacing w:after="140" w:before="280"/>
      </w:pPr>
      <w:r>
        <w:rPr>
          <w:rFonts w:ascii="Calibri" w:cs="Calibri" w:eastAsia="Calibri" w:hAnsi="Calibri"/>
          <w:b/>
          <w:bCs/>
          <w:i/>
          <w:iCs/>
          <w:color w:val="2E86C1"/>
          <w:sz w:val="24"/>
          <w:szCs w:val="24"/>
        </w:rPr>
        <w:t xml:space="preserve">6.2 OAEI v3.0+ additive (alternative)</w:t>
      </w:r>
    </w:p>
    <w:p>
      <w:pPr>
        <w:spacing w:after="120" w:line="300"/>
        <w:jc w:val="both"/>
      </w:pPr>
      <w:r>
        <w:rPr>
          <w:rFonts w:ascii="Calibri" w:cs="Calibri" w:eastAsia="Calibri" w:hAnsi="Calibri"/>
          <w:b w:val="false"/>
          <w:bCs w:val="false"/>
          <w:i w:val="false"/>
          <w:iCs w:val="false"/>
          <w:sz w:val="22"/>
          <w:szCs w:val="22"/>
        </w:rPr>
        <w:t xml:space="preserve">An alternative additive variant is provided for applications where criterion validity (against wage, employment outcomes, etc.) is the primary concern and the multiplicative form is not theoretically required.</w:t>
      </w:r>
    </w:p>
    <w:p>
      <w:pPr>
        <w:spacing w:after="140" w:before="140"/>
        <w:jc w:val="center"/>
      </w:pPr>
      <w:r>
        <w:rPr>
          <w:rFonts w:ascii="Cambria Math" w:cs="Cambria Math" w:eastAsia="Cambria Math" w:hAnsi="Cambria Math"/>
          <w:i/>
          <w:iCs/>
          <w:sz w:val="24"/>
          <w:szCs w:val="24"/>
        </w:rPr>
        <w:t xml:space="preserve">OAEI_raw_v3.0+ = 0.5 · GEE + 0.3 · ITEA_v3.0 + 0.2 · ICT · (1 − IPI)</w:t>
      </w:r>
    </w:p>
    <w:p>
      <w:pPr>
        <w:spacing w:after="140" w:before="140"/>
        <w:jc w:val="center"/>
      </w:pPr>
      <w:r>
        <w:rPr>
          <w:rFonts w:ascii="Cambria Math" w:cs="Cambria Math" w:eastAsia="Cambria Math" w:hAnsi="Cambria Math"/>
          <w:i/>
          <w:iCs/>
          <w:sz w:val="24"/>
          <w:szCs w:val="24"/>
        </w:rPr>
        <w:t xml:space="preserve">OAEI_v3.0+ = 1 + 99 × (OAEI_raw_v3.0+ − min) / (max − min)</w:t>
      </w:r>
    </w:p>
    <w:p>
      <w:pPr>
        <w:spacing w:after="120" w:line="300"/>
        <w:jc w:val="both"/>
      </w:pPr>
      <w:r>
        <w:rPr>
          <w:rFonts w:ascii="Calibri" w:cs="Calibri" w:eastAsia="Calibri" w:hAnsi="Calibri"/>
          <w:b w:val="false"/>
          <w:bCs w:val="false"/>
          <w:i w:val="false"/>
          <w:iCs w:val="false"/>
          <w:sz w:val="22"/>
          <w:szCs w:val="22"/>
        </w:rPr>
        <w:t xml:space="preserve">The weights 0.5, 0.3, 0.2 reflect the empirical convergent validity hierarchy of the components against AIOE: GEE leads at r = 0.745, ITEA follows at r = 0.430, and ICT × (1 − IPI) provides the remainder. The variant retains a multiplicative interaction between ICT and (1 − IPI) because the SECI-grounded claim about physical presence interacting with technical complexity is supported.</w:t>
      </w:r>
    </w:p>
    <w:p>
      <w:pPr>
        <w:pStyle w:val="Heading2"/>
        <w:spacing w:after="140" w:before="280"/>
      </w:pPr>
      <w:r>
        <w:rPr>
          <w:rFonts w:ascii="Calibri" w:cs="Calibri" w:eastAsia="Calibri" w:hAnsi="Calibri"/>
          <w:b/>
          <w:bCs/>
          <w:i/>
          <w:iCs/>
          <w:color w:val="2E86C1"/>
          <w:sz w:val="24"/>
          <w:szCs w:val="24"/>
        </w:rPr>
        <w:t xml:space="preserve">6.3 Comparative validation</w:t>
      </w:r>
    </w:p>
    <w:p>
      <w:pPr>
        <w:spacing w:after="100"/>
      </w:pPr>
      <w:r>
        <w:t xml:space="preserve"/>
      </w:r>
    </w:p>
    <w:p>
      <w:pPr>
        <w:spacing w:after="100" w:before="200"/>
        <w:jc w:val="left"/>
      </w:pPr>
      <w:r>
        <w:rPr>
          <w:rFonts w:ascii="Calibri" w:cs="Calibri" w:eastAsia="Calibri" w:hAnsi="Calibri"/>
          <w:b/>
          <w:bCs/>
          <w:i/>
          <w:iCs/>
          <w:sz w:val="22"/>
          <w:szCs w:val="22"/>
        </w:rPr>
        <w:t xml:space="preserve">Table 6.1. OAEI variant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900"/>
        <w:gridCol w:w="1700"/>
        <w:gridCol w:w="1500"/>
      </w:tblGrid>
      <w:tr>
        <w:trPr>
          <w:tblHeader/>
        </w:trPr>
        <w:tc>
          <w:tcPr>
            <w:tcW w:type="dxa" w:w="3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Criterion</w:t>
            </w:r>
          </w:p>
        </w:tc>
        <w:tc>
          <w:tcPr>
            <w:tcW w:type="dxa" w:w="17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 baseline</w:t>
            </w:r>
          </w:p>
        </w:tc>
        <w:tc>
          <w:tcPr>
            <w:tcW w:type="dxa" w:w="19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 multiplicative</w:t>
            </w:r>
          </w:p>
        </w:tc>
        <w:tc>
          <w:tcPr>
            <w:tcW w:type="dxa" w:w="17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 additive</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Best variant</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r(OAEI, AIOE) — external</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+0.8062</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+0.7654</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+0.7968</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v2.1 ≈ v3.0+</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r(OAEI, Wage) — criterion</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+0.5781</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+0.5614</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+0.6632</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v3.0+</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r(OAEI, AEI) — internal</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+0.5320</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+0.7747</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+0.6702</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v3.0</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Spearman ρ vs AIOE</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+0.821</w:t>
            </w:r>
          </w:p>
        </w:tc>
        <w:tc>
          <w:tcPr>
            <w:tcW w:type="dxa" w:w="19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+0.787</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+0.802</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v2.1 ≈ v3.0+</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Cross-version r with v2.1</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19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+0.927</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+0.880</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v3.0</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multiplicative v3.0 trades external AIOE convergence (−0.04) for internal AEI convergence (+0.24), reflecting that the upgraded ITEA is more aligned with AEI's task-based construction than with AIOE's ability-based construction. The additive v3.0+ recovers most of the external AIOE convergence (+0.03 vs v3.0 multiplicative) and, critically, improves criterion validity against wage by +0.09 — reaching 0.66, well above the v2.1 level.</w:t>
      </w:r>
    </w:p>
    <w:p>
      <w:pPr>
        <w:pStyle w:val="Heading2"/>
        <w:spacing w:after="140" w:before="280"/>
      </w:pPr>
      <w:r>
        <w:rPr>
          <w:rFonts w:ascii="Calibri" w:cs="Calibri" w:eastAsia="Calibri" w:hAnsi="Calibri"/>
          <w:b/>
          <w:bCs/>
          <w:i/>
          <w:iCs/>
          <w:color w:val="2E86C1"/>
          <w:sz w:val="24"/>
          <w:szCs w:val="24"/>
        </w:rPr>
        <w:t xml:space="preserve">6.4 Use case selection guide</w:t>
      </w:r>
    </w:p>
    <w:p>
      <w:pPr>
        <w:spacing w:after="100"/>
      </w:pPr>
      <w:r>
        <w:t xml:space="preserve"/>
      </w:r>
    </w:p>
    <w:p>
      <w:pPr>
        <w:spacing w:after="100" w:before="200"/>
        <w:jc w:val="left"/>
      </w:pPr>
      <w:r>
        <w:rPr>
          <w:rFonts w:ascii="Calibri" w:cs="Calibri" w:eastAsia="Calibri" w:hAnsi="Calibri"/>
          <w:b/>
          <w:bCs/>
          <w:i/>
          <w:iCs/>
          <w:sz w:val="22"/>
          <w:szCs w:val="22"/>
        </w:rPr>
        <w:t xml:space="preserve">Table 6.2. Variant selection criteria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4200"/>
      </w:tblGrid>
      <w:tr>
        <w:trPr>
          <w:tblHeader/>
        </w:trPr>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Use case</w:t>
            </w:r>
          </w:p>
        </w:tc>
        <w:tc>
          <w:tcPr>
            <w:tcW w:type="dxa" w:w="3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Recommended variant</w:t>
            </w:r>
          </w:p>
        </w:tc>
        <w:tc>
          <w:tcPr>
            <w:tcW w:type="dxa" w:w="4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Replication of trilogy results (Papers 8A, 8B, 8C)</w:t>
            </w:r>
          </w:p>
        </w:tc>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OAEI v3.0 multiplicative</w:t>
            </w:r>
          </w:p>
        </w:tc>
        <w:tc>
          <w:tcPr>
            <w:tcW w:type="dxa" w:w="4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Backward compatibility with cited formula</w:t>
            </w:r>
          </w:p>
        </w:tc>
      </w:tr>
      <w:tr>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Cross-paper meta-analysis with AIOE-based studies</w:t>
            </w:r>
          </w:p>
        </w:tc>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OAEI v3.0+ additive</w:t>
            </w:r>
          </w:p>
        </w:tc>
        <w:tc>
          <w:tcPr>
            <w:tcW w:type="dxa" w:w="4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Maximum AIOE convergence</w:t>
            </w:r>
          </w:p>
        </w:tc>
      </w:tr>
      <w:tr>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Wage prediction / labour outcome modelling</w:t>
            </w:r>
          </w:p>
        </w:tc>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OAEI v3.0+ additive</w:t>
            </w:r>
          </w:p>
        </w:tc>
        <w:tc>
          <w:tcPr>
            <w:tcW w:type="dxa" w:w="4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Criterion validity = 0.66</w:t>
            </w:r>
          </w:p>
        </w:tc>
      </w:tr>
      <w:tr>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Sectoral aggregation and policy targeting</w:t>
            </w:r>
          </w:p>
        </w:tc>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Either variant</w:t>
            </w:r>
          </w:p>
        </w:tc>
        <w:tc>
          <w:tcPr>
            <w:tcW w:type="dxa" w:w="4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Both produce similar SOC Major rankings</w:t>
            </w:r>
          </w:p>
        </w:tc>
      </w:tr>
      <w:tr>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Theoretical exposition of Agentic regime</w:t>
            </w:r>
          </w:p>
        </w:tc>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OAEI v3.0 multiplicative</w:t>
            </w:r>
          </w:p>
        </w:tc>
        <w:tc>
          <w:tcPr>
            <w:tcW w:type="dxa" w:w="4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Conceptual alignment with SECI complementarity</w:t>
            </w:r>
          </w:p>
        </w:tc>
      </w:tr>
      <w:tr>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New empirical research (April 2026 onward)</w:t>
            </w:r>
          </w:p>
        </w:tc>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OAEI v3.0+ as primary, multiplicative as robustness check</w:t>
            </w:r>
          </w:p>
        </w:tc>
        <w:tc>
          <w:tcPr>
            <w:tcW w:type="dxa" w:w="4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Best of both with documented robustness</w:t>
            </w:r>
          </w:p>
        </w:tc>
      </w:tr>
    </w:tbl>
    <w:p>
      <w:pPr>
        <w:spacing w:after="100"/>
      </w:pPr>
      <w:r>
        <w:t xml:space="preserve"/>
      </w:r>
    </w:p>
    <w:p>
      <w:pPr>
        <w:pStyle w:val="Heading2"/>
        <w:spacing w:after="140" w:before="280"/>
      </w:pPr>
      <w:r>
        <w:rPr>
          <w:rFonts w:ascii="Calibri" w:cs="Calibri" w:eastAsia="Calibri" w:hAnsi="Calibri"/>
          <w:b/>
          <w:bCs/>
          <w:i/>
          <w:iCs/>
          <w:color w:val="2E86C1"/>
          <w:sz w:val="24"/>
          <w:szCs w:val="24"/>
        </w:rPr>
        <w:t xml:space="preserve">6.5 Trilogy case study — how Paper 8B motivated the dual-variant approach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8E44AD" w:sz="12"/>
              <w:left w:val="single" w:color="8E44AD" w:sz="12"/>
              <w:bottom w:val="single" w:color="8E44AD" w:sz="12"/>
              <w:right w:val="single" w:color="8E44AD" w:sz="12"/>
            </w:tcBorders>
            <w:tcMar>
              <w:top w:type="dxa" w:w="200"/>
              <w:left w:type="dxa" w:w="240"/>
              <w:bottom w:type="dxa" w:w="200"/>
              <w:right w:type="dxa" w:w="240"/>
            </w:tcMar>
          </w:tcPr>
          <w:p>
            <w:r>
              <w:rPr>
                <w:rFonts w:ascii="Calibri" w:cs="Calibri" w:eastAsia="Calibri" w:hAnsi="Calibri"/>
                <w:b/>
                <w:bCs/>
                <w:color w:val="8E44AD"/>
                <w:sz w:val="24"/>
                <w:szCs w:val="24"/>
              </w:rPr>
              <w:t xml:space="preserve">Paper 8B —</w:t>
            </w:r>
          </w:p>
          <w:p>
            <w:r>
              <w:rPr>
                <w:rFonts w:ascii="Calibri" w:cs="Calibri" w:eastAsia="Calibri" w:hAnsi="Calibri"/>
                <w:i/>
                <w:iCs/>
                <w:color w:val="8E44AD"/>
                <w:sz w:val="20"/>
                <w:szCs w:val="20"/>
              </w:rPr>
              <w:t xml:space="preserve">García-Lluis Valencia (2026b). Theoretical paper formalising the Lindbeck–Snower protective condition dissolution and its restoration via tokenisation.</w:t>
            </w:r>
          </w:p>
        </w:tc>
      </w:tr>
    </w:tbl>
    <w:p>
      <w:pPr>
        <w:spacing w:after="120" w:line="300"/>
        <w:jc w:val="both"/>
      </w:pPr>
      <w:r>
        <w:rPr>
          <w:rFonts w:ascii="Calibri" w:cs="Calibri" w:eastAsia="Calibri" w:hAnsi="Calibri"/>
          <w:b w:val="false"/>
          <w:bCs w:val="false"/>
          <w:i w:val="false"/>
          <w:iCs w:val="false"/>
          <w:sz w:val="22"/>
          <w:szCs w:val="22"/>
        </w:rPr>
        <w:t xml:space="preserve">Paper 8B is the theoretical anchor of the trilogy. It formalises the dissolution of the Lindbeck–Snower protective condition (wᴵ &lt; (F + K)·r) under Agentic AI, where K incorporates the value of crystallised intellectual capital, and proposes a tokenised contract that restores the condition through a θ·V term that compensates the worker for the IC contribution to firm value. The mechanism is mathematically derived from the modified retention condition with the Falk–Tsoukalas η parameter integration.</w:t>
      </w:r>
    </w:p>
    <w:p>
      <w:pPr>
        <w:spacing w:after="120" w:line="300"/>
        <w:jc w:val="both"/>
      </w:pPr>
      <w:r>
        <w:rPr>
          <w:rFonts w:ascii="Calibri" w:cs="Calibri" w:eastAsia="Calibri" w:hAnsi="Calibri"/>
          <w:b w:val="false"/>
          <w:bCs w:val="false"/>
          <w:i w:val="false"/>
          <w:iCs w:val="false"/>
          <w:sz w:val="22"/>
          <w:szCs w:val="22"/>
        </w:rPr>
        <w:t xml:space="preserve">Paper 8B's mechanism requires the OAEI to operate in two distinct epistemic modes simultaneously. In the theoretical-derivation sections (§2 and §3), OAEI must align with the Lindbeck–Snower formulation in which the substitution incentive is multiplicative in the contributing factors — exposure interacts with qualification interacts with complexity. In the empirical-calibration sections (§4 and §5), OAEI must additionally support a criterion-validity defence: the paper calibrates the tokenisation rate θ against observed wage data, and the calibration's plausibility depends on r(OAEI, Wage) being meaningfully positive. Under v2.1, the multiplicative OAEI satisfies the first requirement at r(OAEI, AIOE) = 0.81 but the second only at r(OAEI, Wage) = 0.58 — sufficient for the conceptual argument but weak for the calibration defence.</w:t>
      </w:r>
    </w:p>
    <w:p>
      <w:pPr>
        <w:spacing w:after="120" w:line="300"/>
        <w:jc w:val="both"/>
      </w:pPr>
      <w:r>
        <w:rPr>
          <w:rFonts w:ascii="Calibri" w:cs="Calibri" w:eastAsia="Calibri" w:hAnsi="Calibri"/>
          <w:b w:val="false"/>
          <w:bCs w:val="false"/>
          <w:i w:val="false"/>
          <w:iCs w:val="false"/>
          <w:sz w:val="22"/>
          <w:szCs w:val="22"/>
        </w:rPr>
        <w:t xml:space="preserve">During the construction of Paper 8B v1.4, the author tested several alternative OAEI specifications against the wage criterion to find one that would strengthen the calibration defence without sacrificing the theoretical multiplicativity. The additive variant 0.5·GEE + 0.3·ITEA + 0.2·ICT·(1−IPI) achieved r(OAEI, Wage) = 0.66 — a substantial improvement — while preserving r(OAEI, AIOE) at 0.80. But adopting the additive form as the canonical OAEI would have forced rewriting the §2 derivation in Paper 8A and the corresponding sections in Paper 8C, neither of which was practical given the trilogy's submission timeline.</w:t>
      </w:r>
    </w:p>
    <w:p>
      <w:pPr>
        <w:spacing w:after="120" w:line="300"/>
        <w:jc w:val="both"/>
      </w:pPr>
      <w:r>
        <w:rPr>
          <w:rFonts w:ascii="Calibri" w:cs="Calibri" w:eastAsia="Calibri" w:hAnsi="Calibri"/>
          <w:b w:val="false"/>
          <w:bCs w:val="false"/>
          <w:i w:val="false"/>
          <w:iCs w:val="false"/>
          <w:sz w:val="22"/>
          <w:szCs w:val="22"/>
        </w:rPr>
        <w:t xml:space="preserve">The dual-variant architecture is the resolution of this tension. The multiplicative variant is the canonical form for theoretical exposition (Paper 8B §2–§3, Paper 8A throughout, Paper 8C §3.4 cross-validation). The additive variant is the recommended form for empirical calibration (Paper 8B §4–§5, future papers prioritising wage-criterion validity). The variant-selection table (§6.4) guides users explicitly.</w:t>
      </w:r>
    </w:p>
    <w:p>
      <w:pPr>
        <w:spacing w:after="120" w:line="300"/>
        <w:jc w:val="both"/>
      </w:pPr>
      <w:r>
        <w:rPr>
          <w:rFonts w:ascii="Calibri" w:cs="Calibri" w:eastAsia="Calibri" w:hAnsi="Calibri"/>
          <w:b w:val="false"/>
          <w:bCs w:val="false"/>
          <w:i w:val="false"/>
          <w:iCs w:val="false"/>
          <w:sz w:val="22"/>
          <w:szCs w:val="22"/>
        </w:rPr>
        <w:t xml:space="preserve">This case study illustrates a third principle: methodological decisions in a research-active framework sometimes need to support multiple incompatible epistemic uses. The dual-variant approach is unusual — most psychometric instruments commit to a single canonical specification — but it is justified here by the documented trade-off between theoretical alignment and criterion validity. Future versions (v4.0) may eventually unify the two variants; for v3.0, the dual approach is the honest response to the constraint that no single form optimises both dimensions.</w:t>
      </w:r>
    </w:p>
    <w:p>
      <w:r>
        <w:br w:type="page"/>
      </w:r>
    </w:p>
    <w:p>
      <w:pPr>
        <w:pStyle w:val="Heading1"/>
        <w:spacing w:after="200" w:before="360"/>
      </w:pPr>
      <w:r>
        <w:rPr>
          <w:rFonts w:ascii="Calibri" w:cs="Calibri" w:eastAsia="Calibri" w:hAnsi="Calibri"/>
          <w:b/>
          <w:bCs/>
          <w:color w:val="1B4F72"/>
          <w:sz w:val="28"/>
          <w:szCs w:val="28"/>
        </w:rPr>
        <w:t xml:space="preserve">7. Integrated Psychometric Validation — Eight Criteria</w:t>
      </w:r>
    </w:p>
    <w:p>
      <w:pPr>
        <w:spacing w:after="120" w:line="300"/>
        <w:jc w:val="both"/>
      </w:pPr>
      <w:r>
        <w:rPr>
          <w:rFonts w:ascii="Calibri" w:cs="Calibri" w:eastAsia="Calibri" w:hAnsi="Calibri"/>
          <w:b w:val="false"/>
          <w:bCs w:val="false"/>
          <w:i w:val="false"/>
          <w:iCs w:val="false"/>
          <w:sz w:val="22"/>
          <w:szCs w:val="22"/>
        </w:rPr>
        <w:t xml:space="preserve">This section presents the integrated psychometric validation of the v3.0 framework against eight criteria, with side-by-side comparison against v2.1. The validation uses the complete-data subset (N = 846 occupations across all required indicators; N = 738 for criteria involving the AIOE benchmark).</w:t>
      </w:r>
    </w:p>
    <w:p>
      <w:pPr>
        <w:spacing w:after="100"/>
      </w:pPr>
      <w:r>
        <w:t xml:space="preserve"/>
      </w:r>
    </w:p>
    <w:p>
      <w:pPr>
        <w:spacing w:after="100" w:before="200"/>
        <w:jc w:val="left"/>
      </w:pPr>
      <w:r>
        <w:rPr>
          <w:rFonts w:ascii="Calibri" w:cs="Calibri" w:eastAsia="Calibri" w:hAnsi="Calibri"/>
          <w:b/>
          <w:bCs/>
          <w:i/>
          <w:iCs/>
          <w:sz w:val="22"/>
          <w:szCs w:val="22"/>
        </w:rPr>
        <w:t xml:space="preserve">Table 7.1. Eight psychometric criteria, v3.0 vs v2.1</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300"/>
        <w:gridCol w:w="1300"/>
        <w:gridCol w:w="1300"/>
        <w:gridCol w:w="1100"/>
        <w:gridCol w:w="1500"/>
      </w:tblGrid>
      <w:tr>
        <w:trPr>
          <w:tblHeader/>
        </w:trPr>
        <w:tc>
          <w:tcPr>
            <w:tcW w:type="dxa" w:w="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Criterion</w:t>
            </w:r>
          </w:p>
        </w:tc>
        <w:tc>
          <w:tcPr>
            <w:tcW w:type="dxa" w:w="13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Threshold</w:t>
            </w:r>
          </w:p>
        </w:tc>
        <w:tc>
          <w:tcPr>
            <w:tcW w:type="dxa" w:w="13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3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1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r(ITEA, AEI) — internal convergent</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&gt; 0.50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+0.7091</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+0.8866</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+0.18</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(ii)</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r(ITEA, AIOE) — external convergent</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&gt; 0.50</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+0.3626</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+0.4303</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+0.07</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(iii)</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r(OAEI, Wage) — criterion (multiplicative)</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&gt; 0.40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+0.5781</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+0.5614</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−0.02</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Stable</w:t>
            </w:r>
          </w:p>
        </w:tc>
      </w:tr>
      <w:tr>
        <w:tc>
          <w:tcPr>
            <w:tcW w:type="dxa" w:w="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(iii+)</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r(OAEI v3.0+, Wage) — criterion (additive)</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&gt; 0.40</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+0.5781</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+0.6632</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+0.09</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(iv)</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r(IRA, GEE) — discriminant primary</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&lt; 0.50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+0.4004</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+0.3969</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−0.00</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Stable</w:t>
            </w:r>
          </w:p>
        </w:tc>
      </w:tr>
      <w:tr>
        <w:tc>
          <w:tcPr>
            <w:tcW w:type="dxa" w:w="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r(IRA, ITEA) — discriminant secondary</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&lt; 0.50</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+0.2758</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+0.1448</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−0.13</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(vi)</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r(IRA, ICT) — discriminant tertiary</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&lt; 0.50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+0.0960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+0.0584</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−0.04</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IMPROVED</w:t>
            </w:r>
          </w:p>
        </w:tc>
      </w:tr>
      <w:tr>
        <w:tc>
          <w:tcPr>
            <w:tcW w:type="dxa" w:w="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(vii)</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r(OAEI, AIOE) — external (multiplicative)</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&gt; 0.50</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+0.8062</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+0.7654</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−0.04</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Decrease</w:t>
            </w:r>
          </w:p>
        </w:tc>
      </w:tr>
      <w:tr>
        <w:tc>
          <w:tcPr>
            <w:tcW w:type="dxa" w:w="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(vii+)</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r(OAEI v3.0+, AIOE) — external (additive)</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&gt; 0.50</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+0.8062</w:t>
            </w:r>
          </w:p>
        </w:tc>
        <w:tc>
          <w:tcPr>
            <w:tcW w:type="dxa" w:w="13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+0.7968</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−0.01</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Stable</w:t>
            </w:r>
          </w:p>
        </w:tc>
      </w:tr>
      <w:tr>
        <w:tc>
          <w:tcPr>
            <w:tcW w:type="dxa" w:w="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(viii)</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VIF max — multicollinearity</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&lt; 5.0</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1.21</w:t>
            </w:r>
          </w:p>
        </w:tc>
        <w:tc>
          <w:tcPr>
            <w:tcW w:type="dxa" w:w="13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1.21</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0.00</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Stable</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Six of the eight criteria show net improvement under v3.0 (criteria i, ii, iii+, v, vi, vii+). Two show small decreases (criteria iii and vii under the multiplicative variant), both reflecting the trade-off between internal coherence with AEI and external convergence with AIOE that is intrinsic to the multiplicative variant. Two are stable (criteria iv and viii). The dual-variant architecture allows users to choose between the multiplicative form (best on internal coherence) and the additive form (best on external convergence and criterion validity) according to use case.</w:t>
      </w:r>
    </w:p>
    <w:p>
      <w:r>
        <w:br w:type="page"/>
      </w:r>
    </w:p>
    <w:p>
      <w:pPr>
        <w:pStyle w:val="Heading1"/>
        <w:spacing w:after="200" w:before="360"/>
      </w:pPr>
      <w:r>
        <w:rPr>
          <w:rFonts w:ascii="Calibri" w:cs="Calibri" w:eastAsia="Calibri" w:hAnsi="Calibri"/>
          <w:b/>
          <w:bCs/>
          <w:color w:val="1B4F72"/>
          <w:sz w:val="28"/>
          <w:szCs w:val="28"/>
        </w:rPr>
        <w:t xml:space="preserve">8. Empirical Implications for the Trilogy</w:t>
      </w:r>
    </w:p>
    <w:p>
      <w:pPr>
        <w:pStyle w:val="Heading2"/>
        <w:spacing w:after="140" w:before="280"/>
      </w:pPr>
      <w:r>
        <w:rPr>
          <w:rFonts w:ascii="Calibri" w:cs="Calibri" w:eastAsia="Calibri" w:hAnsi="Calibri"/>
          <w:b/>
          <w:bCs/>
          <w:i/>
          <w:iCs/>
          <w:color w:val="2E86C1"/>
          <w:sz w:val="24"/>
          <w:szCs w:val="24"/>
        </w:rPr>
        <w:t xml:space="preserve">8.1 Q1 quadrant preservation</w:t>
      </w:r>
    </w:p>
    <w:p>
      <w:pPr>
        <w:spacing w:after="120" w:line="300"/>
        <w:jc w:val="both"/>
      </w:pPr>
      <w:r>
        <w:rPr>
          <w:rFonts w:ascii="Calibri" w:cs="Calibri" w:eastAsia="Calibri" w:hAnsi="Calibri"/>
          <w:b w:val="false"/>
          <w:bCs w:val="false"/>
          <w:i w:val="false"/>
          <w:iCs w:val="false"/>
          <w:sz w:val="22"/>
          <w:szCs w:val="22"/>
        </w:rPr>
        <w:t xml:space="preserve">The central empirical claim of the trilogy is that the Q1 quadrant (high GEE × high IRA, defined by median splits on both dimensions) concentrates the maximum OAEI under the Insider-Outsider inversion characteristic of the Agentic regime. The v3.0 specification preserves this hierarchy.</w:t>
      </w:r>
    </w:p>
    <w:p>
      <w:pPr>
        <w:spacing w:after="100"/>
      </w:pPr>
      <w:r>
        <w:t xml:space="preserve"/>
      </w:r>
    </w:p>
    <w:p>
      <w:pPr>
        <w:spacing w:after="100" w:before="200"/>
        <w:jc w:val="left"/>
      </w:pPr>
      <w:r>
        <w:rPr>
          <w:rFonts w:ascii="Calibri" w:cs="Calibri" w:eastAsia="Calibri" w:hAnsi="Calibri"/>
          <w:b/>
          <w:bCs/>
          <w:i/>
          <w:iCs/>
          <w:sz w:val="22"/>
          <w:szCs w:val="22"/>
        </w:rPr>
        <w:t xml:space="preserve">Table 8.1. Quadrant analysis v3.0 vs v2.1</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500"/>
        <w:gridCol w:w="1100"/>
        <w:gridCol w:w="1500"/>
        <w:gridCol w:w="2200"/>
      </w:tblGrid>
      <w:tr>
        <w:trPr>
          <w:tblHeader/>
        </w:trPr>
        <w:tc>
          <w:tcPr>
            <w:tcW w:type="dxa" w:w="3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Quadrant</w:t>
            </w:r>
          </w:p>
        </w:tc>
        <w:tc>
          <w:tcPr>
            <w:tcW w:type="dxa" w:w="11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 v2.1</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v2.1</w:t>
            </w:r>
          </w:p>
        </w:tc>
        <w:tc>
          <w:tcPr>
            <w:tcW w:type="dxa" w:w="11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 v3.0</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v3.0</w:t>
            </w:r>
          </w:p>
        </w:tc>
        <w:tc>
          <w:tcPr>
            <w:tcW w:type="dxa" w:w="2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Hierarchy</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Q1: high GEE × high IRA</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295</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61.80</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294</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40.06</w:t>
            </w:r>
          </w:p>
        </w:tc>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PRESERVED max</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Q4: high GEE × low IRA</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128</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50.42</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129</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34.84</w:t>
            </w:r>
          </w:p>
        </w:tc>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PRESERVED 2nd</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Q3: low GEE × low IRA</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295</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28.11</w:t>
            </w:r>
          </w:p>
        </w:tc>
        <w:tc>
          <w:tcPr>
            <w:tcW w:type="dxa" w:w="11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294</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16.97</w:t>
            </w:r>
          </w:p>
        </w:tc>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PRESERVED 3rd</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Q2: low GEE × high IRA</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128</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21.73</w:t>
            </w:r>
          </w:p>
        </w:tc>
        <w:tc>
          <w:tcPr>
            <w:tcW w:type="dxa" w:w="11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129</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12.10</w:t>
            </w:r>
          </w:p>
        </w:tc>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PRESERVED 4th</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hierarchy Q1 &gt; Q4 &gt; Q3 ≈ Q2 is preserved exactly. The absolute magnitude of OAEI values contracts (Q1 mean drops from 61.80 to 40.06) because v3.0 disentangles ITEA from GEE, removing the artificial inflation that GEE-domination produced in v2.1. The Q1-Q4 separation contracts from 11.4 to 5.2 OAEI points, which is a substantive reduction documented in §5.4 above as a consequence of the IRA triple-residualisation.</w:t>
      </w:r>
    </w:p>
    <w:p>
      <w:pPr>
        <w:pStyle w:val="Heading2"/>
        <w:spacing w:after="140" w:before="280"/>
      </w:pPr>
      <w:r>
        <w:rPr>
          <w:rFonts w:ascii="Calibri" w:cs="Calibri" w:eastAsia="Calibri" w:hAnsi="Calibri"/>
          <w:b/>
          <w:bCs/>
          <w:i/>
          <w:iCs/>
          <w:color w:val="2E86C1"/>
          <w:sz w:val="24"/>
          <w:szCs w:val="24"/>
        </w:rPr>
        <w:t xml:space="preserve">8.2 Top-20 ranking transition</w:t>
      </w:r>
    </w:p>
    <w:p>
      <w:pPr>
        <w:spacing w:after="120" w:line="300"/>
        <w:jc w:val="both"/>
      </w:pPr>
      <w:r>
        <w:rPr>
          <w:rFonts w:ascii="Calibri" w:cs="Calibri" w:eastAsia="Calibri" w:hAnsi="Calibri"/>
          <w:b w:val="false"/>
          <w:bCs w:val="false"/>
          <w:i w:val="false"/>
          <w:iCs w:val="false"/>
          <w:sz w:val="22"/>
          <w:szCs w:val="22"/>
        </w:rPr>
        <w:t xml:space="preserve">The new top-20 OAEI ranking under v3.0 retains 11 of the 20 occupations from v2.1 but with substantial reordering. Pathologists rises to rank 1 (from rank 5 in v2.1); Market Research Analysts rises to rank 2 (from rank 12); Business Intelligence Analysts and Credit Analysts enter the top 5 (both were outside top 20 in v2.1). Conversely, several heavily academically-coded occupations exit: Political Scientists (rank 1 in v2.1, rank 75 in v3.0), Engineering Teachers (rank 2 → outside top 20), Sociology Teachers, History Teachers, Social Work Teachers.</w:t>
      </w:r>
    </w:p>
    <w:p>
      <w:pPr>
        <w:spacing w:after="120" w:line="300"/>
        <w:jc w:val="both"/>
      </w:pPr>
      <w:r>
        <w:rPr>
          <w:rFonts w:ascii="Calibri" w:cs="Calibri" w:eastAsia="Calibri" w:hAnsi="Calibri"/>
          <w:b w:val="false"/>
          <w:bCs w:val="false"/>
          <w:i w:val="false"/>
          <w:iCs w:val="false"/>
          <w:sz w:val="22"/>
          <w:szCs w:val="22"/>
        </w:rPr>
        <w:t xml:space="preserve">The transition is qualitatively favourable for the trilogy's theoretical claim. The v2.1 top 20 was dominated by academic occupations whose high OAEI was driven primarily by GEE — they have high formal qualification but their exposure to Agentic AI specifically is more diffuse than the OAEI v2.1 multiplicative form suggested. The v3.0 top 20 is led by exactly the populations that the trilogy theoretically singles out: quantitative analysts (Financial Quant Analysts, Biostatisticians, Mathematicians, Operations Research Analysts), diagnostic medical specialists (Pathologists, Neuropsychologists, Emergency Medicine Physicians), and intelligence-analysis profiles (BI Analysts, Credit Analysts, Budget Analysts, Market Research Analysts). These are the chemically pure populations of the Agentic crystallisation phenomenon.</w:t>
      </w:r>
    </w:p>
    <w:p>
      <w:pPr>
        <w:pStyle w:val="Heading2"/>
        <w:spacing w:after="140" w:before="280"/>
      </w:pPr>
      <w:r>
        <w:rPr>
          <w:rFonts w:ascii="Calibri" w:cs="Calibri" w:eastAsia="Calibri" w:hAnsi="Calibri"/>
          <w:b/>
          <w:bCs/>
          <w:i/>
          <w:iCs/>
          <w:color w:val="2E86C1"/>
          <w:sz w:val="24"/>
          <w:szCs w:val="24"/>
        </w:rPr>
        <w:t xml:space="preserve">8.3 Sectoral concentration changes</w:t>
      </w:r>
    </w:p>
    <w:p>
      <w:pPr>
        <w:spacing w:after="100"/>
      </w:pPr>
      <w:r>
        <w:t xml:space="preserve"/>
      </w:r>
    </w:p>
    <w:p>
      <w:pPr>
        <w:spacing w:after="100" w:before="200"/>
        <w:jc w:val="left"/>
      </w:pPr>
      <w:r>
        <w:rPr>
          <w:rFonts w:ascii="Calibri" w:cs="Calibri" w:eastAsia="Calibri" w:hAnsi="Calibri"/>
          <w:b/>
          <w:bCs/>
          <w:i/>
          <w:iCs/>
          <w:sz w:val="22"/>
          <w:szCs w:val="22"/>
        </w:rPr>
        <w:t xml:space="preserve">Table 8.2. Sectoral concentration v3.0 (top 8 sectors)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600"/>
        <w:gridCol w:w="1500"/>
        <w:gridCol w:w="1500"/>
        <w:gridCol w:w="1500"/>
      </w:tblGrid>
      <w:tr>
        <w:trPr>
          <w:tblHeader/>
        </w:trPr>
        <w:tc>
          <w:tcPr>
            <w:tcW w:type="dxa" w:w="6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SOC</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Sector</w:t>
            </w:r>
          </w:p>
        </w:tc>
        <w:tc>
          <w:tcPr>
            <w:tcW w:type="dxa" w:w="6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v2.1</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v3.0</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r>
      <w:tr>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15</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Computer and Mathematical</w:t>
            </w:r>
          </w:p>
        </w:tc>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30</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68.66</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50.38</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−18.27</w:t>
            </w:r>
          </w:p>
        </w:tc>
      </w:tr>
      <w:tr>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19</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Life, Physical, Social Science</w:t>
            </w:r>
          </w:p>
        </w:tc>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53</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66.56</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47.80</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−18.76</w:t>
            </w:r>
          </w:p>
        </w:tc>
      </w:tr>
      <w:tr>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23</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Legal</w:t>
            </w:r>
          </w:p>
        </w:tc>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7</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72.40</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46.36</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−26.04</w:t>
            </w:r>
          </w:p>
        </w:tc>
      </w:tr>
      <w:tr>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13</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Business and Financial Operations</w:t>
            </w:r>
          </w:p>
        </w:tc>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40</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59.82</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44.62</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−15.19</w:t>
            </w:r>
          </w:p>
        </w:tc>
      </w:tr>
      <w:tr>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17</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Architecture and Engineering</w:t>
            </w:r>
          </w:p>
        </w:tc>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48</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59.16</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38.08</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−21.08</w:t>
            </w:r>
          </w:p>
        </w:tc>
      </w:tr>
      <w:tr>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11</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Management</w:t>
            </w:r>
          </w:p>
        </w:tc>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41</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55.75</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36.54</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−19.21</w:t>
            </w:r>
          </w:p>
        </w:tc>
      </w:tr>
      <w:tr>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25</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Education</w:t>
            </w:r>
          </w:p>
        </w:tc>
        <w:tc>
          <w:tcPr>
            <w:tcW w:type="dxa" w:w="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61</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61.54</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34.72</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−26.83</w:t>
            </w:r>
          </w:p>
        </w:tc>
      </w:tr>
      <w:tr>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29</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Healthcare Practitioners</w:t>
            </w:r>
          </w:p>
        </w:tc>
        <w:tc>
          <w:tcPr>
            <w:tcW w:type="dxa" w:w="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82</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49.87</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34.49</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−15.38</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sectoral hierarchy under v3.0 places SOC 15 (Computer and Mathematical) in the lead, followed by SOC 19 (Life, Physical, Social Science), SOC 23 (Legal), and SOC 13 (Business and Financial Operations). This ordering is more theoretically aligned with the trilogy's claim that the Agentic regime affects primarily knowledge-quantitative and analytical occupations. SOC 25 (Education), which led some v2.1 sub-rankings, drops sharply (−26.83) — a substantive correction reflecting that educators have high formal qualification but lower direct exposure to proprietary Agentic systems than the trilogy's primary populations.</w:t>
      </w:r>
    </w:p>
    <w:p>
      <w:pPr>
        <w:pStyle w:val="Heading2"/>
        <w:spacing w:after="140" w:before="280"/>
      </w:pPr>
      <w:r>
        <w:rPr>
          <w:rFonts w:ascii="Calibri" w:cs="Calibri" w:eastAsia="Calibri" w:hAnsi="Calibri"/>
          <w:b/>
          <w:bCs/>
          <w:i/>
          <w:iCs/>
          <w:color w:val="2E86C1"/>
          <w:sz w:val="24"/>
          <w:szCs w:val="24"/>
        </w:rPr>
        <w:t xml:space="preserve">8.4 Reconciliation with policy population figures</w:t>
      </w:r>
    </w:p>
    <w:p>
      <w:pPr>
        <w:spacing w:after="120" w:line="300"/>
        <w:jc w:val="both"/>
      </w:pPr>
      <w:r>
        <w:rPr>
          <w:rFonts w:ascii="Calibri" w:cs="Calibri" w:eastAsia="Calibri" w:hAnsi="Calibri"/>
          <w:b w:val="false"/>
          <w:bCs w:val="false"/>
          <w:i w:val="false"/>
          <w:iCs w:val="false"/>
          <w:sz w:val="22"/>
          <w:szCs w:val="22"/>
        </w:rPr>
        <w:t xml:space="preserve">The trilogy v2.1 cited 2.97 million U.S. workers (1.8% of the workforce) as the policy population of the top 20. The corrected figure under v3.0 is 1.22 million workers (0.74% of the workforce), based on BLS OEWS 2024 employment data disaggregated to the SOC 6-digit level. The discrepancy traces to four occupations in the v2.1 top 20 (Industrial Ecologists, Astronomers, Animal Scientists, Investment Fund Managers) that are not separately disaggregated in OEWS and were assigned implausibly high employment counts in the v2.1 calculation. Additionally, the v2.1 narrative attributed 85% of the policy-population concentration to Software Developers and Market Research Analysts — but Software Developers were not in the v2.1 top 20. The granular OEWS data show that Market Research Analysts alone concentrate approximately 71% of the v3.0 top-20 employment. This reconciliation is incorporated in Paper 8A v2.3 and Paper 8C v3.5.</w:t>
      </w:r>
    </w:p>
    <w:p>
      <w:r>
        <w:br w:type="page"/>
      </w:r>
    </w:p>
    <w:p>
      <w:pPr>
        <w:pStyle w:val="Heading1"/>
        <w:spacing w:after="200" w:before="360"/>
      </w:pPr>
      <w:r>
        <w:rPr>
          <w:rFonts w:ascii="Calibri" w:cs="Calibri" w:eastAsia="Calibri" w:hAnsi="Calibri"/>
          <w:b/>
          <w:bCs/>
          <w:color w:val="1B4F72"/>
          <w:sz w:val="28"/>
          <w:szCs w:val="28"/>
        </w:rPr>
        <w:t xml:space="preserve">9. Cross-Version Stability and Migration Guide</w:t>
      </w:r>
    </w:p>
    <w:p>
      <w:pPr>
        <w:spacing w:after="100"/>
      </w:pPr>
      <w:r>
        <w:t xml:space="preserve"/>
      </w:r>
    </w:p>
    <w:p>
      <w:pPr>
        <w:spacing w:after="100" w:before="200"/>
        <w:jc w:val="left"/>
      </w:pPr>
      <w:r>
        <w:rPr>
          <w:rFonts w:ascii="Calibri" w:cs="Calibri" w:eastAsia="Calibri" w:hAnsi="Calibri"/>
          <w:b/>
          <w:bCs/>
          <w:i/>
          <w:iCs/>
          <w:sz w:val="22"/>
          <w:szCs w:val="22"/>
        </w:rPr>
        <w:t xml:space="preserve">Table 9.1. Cross-version stability v2.1 → v3.0</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4400"/>
      </w:tblGrid>
      <w:tr>
        <w:trPr>
          <w:tblHeader/>
        </w:trPr>
        <w:tc>
          <w:tcPr>
            <w:tcW w:type="dxa" w:w="3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Indicator</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Pearson r</w:t>
            </w:r>
          </w:p>
        </w:tc>
        <w:tc>
          <w:tcPr>
            <w:tcW w:type="dxa" w:w="15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Spearman ρ</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Stability assessment</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ITEA Global</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+0.83</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+0.80</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MODERATE — major revision</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IRA</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+0.999</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+0.995</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VERY HIGH — refinement</w:t>
            </w:r>
          </w:p>
        </w:tc>
      </w:tr>
      <w:tr>
        <w:tc>
          <w:tcPr>
            <w:tcW w:type="dxa" w:w="3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OAEI multiplicative</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+0.93</w:t>
            </w:r>
          </w:p>
        </w:tc>
        <w:tc>
          <w:tcPr>
            <w:tcW w:type="dxa" w:w="15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+0.95</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HIGH — ranking stable</w:t>
            </w:r>
          </w:p>
        </w:tc>
      </w:tr>
      <w:tr>
        <w:tc>
          <w:tcPr>
            <w:tcW w:type="dxa" w:w="3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AEI</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1.00</w:t>
            </w:r>
          </w:p>
        </w:tc>
        <w:tc>
          <w:tcPr>
            <w:tcW w:type="dxa" w:w="15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1.00</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UNCHANGED</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Operational migration from v2.1 to v3.0 requires the following sequential steps:</w:t>
      </w:r>
    </w:p>
    <w:p>
      <w:pPr>
        <w:spacing w:after="120" w:line="300"/>
        <w:jc w:val="both"/>
      </w:pPr>
      <w:r>
        <w:rPr>
          <w:rFonts w:ascii="Calibri" w:cs="Calibri" w:eastAsia="Calibri" w:hAnsi="Calibri"/>
          <w:b w:val="false"/>
          <w:bCs w:val="false"/>
          <w:i w:val="false"/>
          <w:iCs w:val="false"/>
          <w:sz w:val="22"/>
          <w:szCs w:val="22"/>
        </w:rPr>
        <w:t xml:space="preserve">1. Update ITEA computation. Replace the equal-weight average in [0,1] space with z-score normalisation followed by averaging and final min-max. Code change: approximately 5 lines in R or Python.</w:t>
      </w:r>
    </w:p>
    <w:p>
      <w:pPr>
        <w:spacing w:after="120" w:line="300"/>
        <w:jc w:val="both"/>
      </w:pPr>
      <w:r>
        <w:rPr>
          <w:rFonts w:ascii="Calibri" w:cs="Calibri" w:eastAsia="Calibri" w:hAnsi="Calibri"/>
          <w:b w:val="false"/>
          <w:bCs w:val="false"/>
          <w:i w:val="false"/>
          <w:iCs w:val="false"/>
          <w:sz w:val="22"/>
          <w:szCs w:val="22"/>
        </w:rPr>
        <w:t xml:space="preserve">2. Update IRA computation. Replace the univariate residualisation against GEE with multivariate residualisation against (GEE, ITEA_v3.0, ICT). Code change: approximately 10 lines. Note the ITEA → IRA dependency: ITEA must be computed first.</w:t>
      </w:r>
    </w:p>
    <w:p>
      <w:pPr>
        <w:spacing w:after="120" w:line="300"/>
        <w:jc w:val="both"/>
      </w:pPr>
      <w:r>
        <w:rPr>
          <w:rFonts w:ascii="Calibri" w:cs="Calibri" w:eastAsia="Calibri" w:hAnsi="Calibri"/>
          <w:b w:val="false"/>
          <w:bCs w:val="false"/>
          <w:i w:val="false"/>
          <w:iCs w:val="false"/>
          <w:sz w:val="22"/>
          <w:szCs w:val="22"/>
        </w:rPr>
        <w:t xml:space="preserve">3. Recompute OAEI. The multiplicative formula is unchanged but the ITEA input is upgraded. Decision required: choose multiplicative (canonical) or additive (v3.0+) variant based on Table 6.2.</w:t>
      </w:r>
    </w:p>
    <w:p>
      <w:pPr>
        <w:spacing w:after="120" w:line="300"/>
        <w:jc w:val="both"/>
      </w:pPr>
      <w:r>
        <w:rPr>
          <w:rFonts w:ascii="Calibri" w:cs="Calibri" w:eastAsia="Calibri" w:hAnsi="Calibri"/>
          <w:b w:val="false"/>
          <w:bCs w:val="false"/>
          <w:i w:val="false"/>
          <w:iCs w:val="false"/>
          <w:sz w:val="22"/>
          <w:szCs w:val="22"/>
        </w:rPr>
        <w:t xml:space="preserve">4. Update top-20 references in research code. The v3.0 ranking has 9 new entries vs v2.1; tables and policy quantifications referencing the top 20 must be regenerated.</w:t>
      </w:r>
    </w:p>
    <w:p>
      <w:pPr>
        <w:spacing w:after="120" w:line="300"/>
        <w:jc w:val="both"/>
      </w:pPr>
      <w:r>
        <w:rPr>
          <w:rFonts w:ascii="Calibri" w:cs="Calibri" w:eastAsia="Calibri" w:hAnsi="Calibri"/>
          <w:b w:val="false"/>
          <w:bCs w:val="false"/>
          <w:i w:val="false"/>
          <w:iCs w:val="false"/>
          <w:sz w:val="22"/>
          <w:szCs w:val="22"/>
        </w:rPr>
        <w:t xml:space="preserve">5. Reconcile policy population text. Replace v2.1's 2.97 million workers figure with 1.22 million workers (0.74% of U.S. workforce) per §8.4 above.</w:t>
      </w:r>
    </w:p>
    <w:p>
      <w:pPr>
        <w:spacing w:after="120" w:line="300"/>
        <w:jc w:val="both"/>
      </w:pPr>
      <w:r>
        <w:rPr>
          <w:rFonts w:ascii="Calibri" w:cs="Calibri" w:eastAsia="Calibri" w:hAnsi="Calibri"/>
          <w:b w:val="false"/>
          <w:bCs w:val="false"/>
          <w:i w:val="false"/>
          <w:iCs w:val="false"/>
          <w:sz w:val="22"/>
          <w:szCs w:val="22"/>
        </w:rPr>
        <w:t xml:space="preserve">6. Update validation reporting. The new criteria (v) and (vi) discriminant validity should be reported in any methodological appendix using v3.0 data.</w:t>
      </w:r>
    </w:p>
    <w:p>
      <w:pPr>
        <w:spacing w:after="120" w:line="300"/>
        <w:jc w:val="both"/>
      </w:pPr>
      <w:r>
        <w:rPr>
          <w:rFonts w:ascii="Calibri" w:cs="Calibri" w:eastAsia="Calibri" w:hAnsi="Calibri"/>
          <w:b w:val="false"/>
          <w:bCs w:val="false"/>
          <w:i w:val="false"/>
          <w:iCs w:val="false"/>
          <w:sz w:val="22"/>
          <w:szCs w:val="22"/>
        </w:rPr>
        <w:t xml:space="preserve">Reference R implementation:</w:t>
      </w:r>
    </w:p>
    <w:p>
      <w:pPr>
        <w:spacing w:after="80" w:before="80"/>
        <w:ind w:left="540"/>
        <w:jc w:val="left"/>
      </w:pPr>
      <w:r>
        <w:rPr>
          <w:rFonts w:ascii="Consolas" w:cs="Consolas" w:eastAsia="Consolas" w:hAnsi="Consolas"/>
          <w:sz w:val="20"/>
          <w:szCs w:val="20"/>
        </w:rPr>
        <w:t xml:space="preserve"># ITEA v3.0 — z-score equal-weight aggregation</w:t>
      </w:r>
    </w:p>
    <w:p>
      <w:pPr>
        <w:spacing w:after="80" w:before="80"/>
        <w:ind w:left="540"/>
        <w:jc w:val="left"/>
      </w:pPr>
      <w:r>
        <w:rPr>
          <w:rFonts w:ascii="Consolas" w:cs="Consolas" w:eastAsia="Consolas" w:hAnsi="Consolas"/>
          <w:sz w:val="20"/>
          <w:szCs w:val="20"/>
        </w:rPr>
        <w:t xml:space="preserve">itea_v3 &lt;- function(eac, eig, eia) {</w:t>
      </w:r>
    </w:p>
    <w:p>
      <w:pPr>
        <w:spacing w:after="80" w:before="80"/>
        <w:ind w:left="540"/>
        <w:jc w:val="left"/>
      </w:pPr>
      <w:r>
        <w:rPr>
          <w:rFonts w:ascii="Consolas" w:cs="Consolas" w:eastAsia="Consolas" w:hAnsi="Consolas"/>
          <w:sz w:val="20"/>
          <w:szCs w:val="20"/>
        </w:rPr>
        <w:t xml:space="preserve">  z &lt;- function(x) (x - mean(x, na.rm=TRUE)) / sd(x, na.rm=TRUE)</w:t>
      </w:r>
    </w:p>
    <w:p>
      <w:pPr>
        <w:spacing w:after="80" w:before="80"/>
        <w:ind w:left="540"/>
        <w:jc w:val="left"/>
      </w:pPr>
      <w:r>
        <w:rPr>
          <w:rFonts w:ascii="Consolas" w:cs="Consolas" w:eastAsia="Consolas" w:hAnsi="Consolas"/>
          <w:sz w:val="20"/>
          <w:szCs w:val="20"/>
        </w:rPr>
        <w:t xml:space="preserve">  raw &lt;- (z(eac) + z(eig) + z(eia)) / 3</w:t>
      </w:r>
    </w:p>
    <w:p>
      <w:pPr>
        <w:spacing w:after="80" w:before="80"/>
        <w:ind w:left="540"/>
        <w:jc w:val="left"/>
      </w:pPr>
      <w:r>
        <w:rPr>
          <w:rFonts w:ascii="Consolas" w:cs="Consolas" w:eastAsia="Consolas" w:hAnsi="Consolas"/>
          <w:sz w:val="20"/>
          <w:szCs w:val="20"/>
        </w:rPr>
        <w:t xml:space="preserve">  (raw - min(raw, na.rm=TRUE)) / (max(raw, na.rm=TRUE) - min(raw, na.rm=TRUE))</w:t>
      </w:r>
    </w:p>
    <w:p>
      <w:pPr>
        <w:spacing w:after="80" w:before="80"/>
        <w:ind w:left="540"/>
        <w:jc w:val="left"/>
      </w:pPr>
      <w:r>
        <w:rPr>
          <w:rFonts w:ascii="Consolas" w:cs="Consolas" w:eastAsia="Consolas" w:hAnsi="Consolas"/>
          <w:sz w:val="20"/>
          <w:szCs w:val="20"/>
        </w:rPr>
        <w:t xml:space="preserve">}</w:t>
      </w:r>
    </w:p>
    <w:p>
      <w:pPr>
        <w:spacing w:after="100"/>
      </w:pPr>
      <w:r>
        <w:t xml:space="preserve"/>
      </w:r>
    </w:p>
    <w:p>
      <w:pPr>
        <w:spacing w:after="80" w:before="80"/>
        <w:ind w:left="540"/>
        <w:jc w:val="left"/>
      </w:pPr>
      <w:r>
        <w:rPr>
          <w:rFonts w:ascii="Consolas" w:cs="Consolas" w:eastAsia="Consolas" w:hAnsi="Consolas"/>
          <w:sz w:val="20"/>
          <w:szCs w:val="20"/>
        </w:rPr>
        <w:t xml:space="preserve"># IRA v3.0 — triple residualisation</w:t>
      </w:r>
    </w:p>
    <w:p>
      <w:pPr>
        <w:spacing w:after="80" w:before="80"/>
        <w:ind w:left="540"/>
        <w:jc w:val="left"/>
      </w:pPr>
      <w:r>
        <w:rPr>
          <w:rFonts w:ascii="Consolas" w:cs="Consolas" w:eastAsia="Consolas" w:hAnsi="Consolas"/>
          <w:sz w:val="20"/>
          <w:szCs w:val="20"/>
        </w:rPr>
        <w:t xml:space="preserve">ira_v3 &lt;- function(ca, iro_v145, gee, itea_v3, ict) {</w:t>
      </w:r>
    </w:p>
    <w:p>
      <w:pPr>
        <w:spacing w:after="80" w:before="80"/>
        <w:ind w:left="540"/>
        <w:jc w:val="left"/>
      </w:pPr>
      <w:r>
        <w:rPr>
          <w:rFonts w:ascii="Consolas" w:cs="Consolas" w:eastAsia="Consolas" w:hAnsi="Consolas"/>
          <w:sz w:val="20"/>
          <w:szCs w:val="20"/>
        </w:rPr>
        <w:t xml:space="preserve">  m &lt;- lm(iro_v145 ~ gee + itea_v3 + ict)</w:t>
      </w:r>
    </w:p>
    <w:p>
      <w:pPr>
        <w:spacing w:after="80" w:before="80"/>
        <w:ind w:left="540"/>
        <w:jc w:val="left"/>
      </w:pPr>
      <w:r>
        <w:rPr>
          <w:rFonts w:ascii="Consolas" w:cs="Consolas" w:eastAsia="Consolas" w:hAnsi="Consolas"/>
          <w:sz w:val="20"/>
          <w:szCs w:val="20"/>
        </w:rPr>
        <w:t xml:space="preserve">  iro_res &lt;- residuals(m)</w:t>
      </w:r>
    </w:p>
    <w:p>
      <w:pPr>
        <w:spacing w:after="80" w:before="80"/>
        <w:ind w:left="540"/>
        <w:jc w:val="left"/>
      </w:pPr>
      <w:r>
        <w:rPr>
          <w:rFonts w:ascii="Consolas" w:cs="Consolas" w:eastAsia="Consolas" w:hAnsi="Consolas"/>
          <w:sz w:val="20"/>
          <w:szCs w:val="20"/>
        </w:rPr>
        <w:t xml:space="preserve">  iro_res_n &lt;- (iro_res - min(iro_res)) / (max(iro_res) - min(iro_res))</w:t>
      </w:r>
    </w:p>
    <w:p>
      <w:pPr>
        <w:spacing w:after="80" w:before="80"/>
        <w:ind w:left="540"/>
        <w:jc w:val="left"/>
      </w:pPr>
      <w:r>
        <w:rPr>
          <w:rFonts w:ascii="Consolas" w:cs="Consolas" w:eastAsia="Consolas" w:hAnsi="Consolas"/>
          <w:sz w:val="20"/>
          <w:szCs w:val="20"/>
        </w:rPr>
        <w:t xml:space="preserve">  ca_n &lt;- (ca - min(ca)) / (max(ca) - min(ca))</w:t>
      </w:r>
    </w:p>
    <w:p>
      <w:pPr>
        <w:spacing w:after="80" w:before="80"/>
        <w:ind w:left="540"/>
        <w:jc w:val="left"/>
      </w:pPr>
      <w:r>
        <w:rPr>
          <w:rFonts w:ascii="Consolas" w:cs="Consolas" w:eastAsia="Consolas" w:hAnsi="Consolas"/>
          <w:sz w:val="20"/>
          <w:szCs w:val="20"/>
        </w:rPr>
        <w:t xml:space="preserve">  0.60 * ca_n + 0.40 * iro_res_n</w:t>
      </w:r>
    </w:p>
    <w:p>
      <w:pPr>
        <w:spacing w:after="80" w:before="80"/>
        <w:ind w:left="540"/>
        <w:jc w:val="left"/>
      </w:pPr>
      <w:r>
        <w:rPr>
          <w:rFonts w:ascii="Consolas" w:cs="Consolas" w:eastAsia="Consolas" w:hAnsi="Consolas"/>
          <w:sz w:val="20"/>
          <w:szCs w:val="20"/>
        </w:rPr>
        <w:t xml:space="preserve">}</w:t>
      </w:r>
    </w:p>
    <w:p>
      <w:r>
        <w:br w:type="page"/>
      </w:r>
    </w:p>
    <w:p>
      <w:pPr>
        <w:pStyle w:val="Heading1"/>
        <w:spacing w:after="200" w:before="360"/>
      </w:pPr>
      <w:r>
        <w:rPr>
          <w:rFonts w:ascii="Calibri" w:cs="Calibri" w:eastAsia="Calibri" w:hAnsi="Calibri"/>
          <w:b/>
          <w:bCs/>
          <w:color w:val="1B4F72"/>
          <w:sz w:val="28"/>
          <w:szCs w:val="28"/>
        </w:rPr>
        <w:t xml:space="preserve">10. Acknowledged Limitations of v3.0</w:t>
      </w:r>
    </w:p>
    <w:p>
      <w:pPr>
        <w:spacing w:after="120" w:line="300"/>
        <w:jc w:val="both"/>
      </w:pPr>
      <w:r>
        <w:rPr>
          <w:rFonts w:ascii="Calibri" w:cs="Calibri" w:eastAsia="Calibri" w:hAnsi="Calibri"/>
          <w:b w:val="false"/>
          <w:bCs w:val="false"/>
          <w:i w:val="false"/>
          <w:iCs w:val="false"/>
          <w:sz w:val="22"/>
          <w:szCs w:val="22"/>
        </w:rPr>
        <w:t xml:space="preserve">The v3.0 specification resolves four critical issues identified in v2.1 but introduces or fails to address nine new or persistent limitations, documented below in order of severity.</w:t>
      </w:r>
    </w:p>
    <w:p>
      <w:pPr>
        <w:spacing w:after="120" w:line="300"/>
        <w:jc w:val="both"/>
      </w:pPr>
      <w:r>
        <w:rPr>
          <w:rFonts w:ascii="Calibri" w:cs="Calibri" w:eastAsia="Calibri" w:hAnsi="Calibri"/>
          <w:b w:val="false"/>
          <w:bCs w:val="false"/>
          <w:i w:val="false"/>
          <w:iCs w:val="false"/>
          <w:sz w:val="22"/>
          <w:szCs w:val="22"/>
        </w:rPr>
        <w:t xml:space="preserve">L1. EAC remains structurally degenerate. Z-score normalisation redistributes EAC's contribution to the ITEA composite but does not solve the underlying variable design issue: 60% of occupations have EAC = 0 and only 96 unique values populate the entire range. Future work should redesign EAC using O*NET Work Activities + Tasks + Tools, or formally treat as a binary indicator integrated through a different aggregation rule.</w:t>
      </w:r>
    </w:p>
    <w:p>
      <w:pPr>
        <w:spacing w:after="120" w:line="300"/>
        <w:jc w:val="both"/>
      </w:pPr>
      <w:r>
        <w:rPr>
          <w:rFonts w:ascii="Calibri" w:cs="Calibri" w:eastAsia="Calibri" w:hAnsi="Calibri"/>
          <w:b w:val="false"/>
          <w:bCs w:val="false"/>
          <w:i w:val="false"/>
          <w:iCs w:val="false"/>
          <w:sz w:val="22"/>
          <w:szCs w:val="22"/>
        </w:rPr>
        <w:t xml:space="preserve">L2. EIG saturation persists. The v3.0 z-scoring partially addresses but does not eliminate the EIG ceiling effect: 42.5% of occupations remain at or above 0.95 in raw values. Logit transformation was tested and rejected (it degraded validity); an alternative path is to introduce an EIG2 component capturing intensity (interactions per worker, prompts per week) within the saturated band, but this requires data sources beyond O*NET.</w:t>
      </w:r>
    </w:p>
    <w:p>
      <w:pPr>
        <w:spacing w:after="120" w:line="300"/>
        <w:jc w:val="both"/>
      </w:pPr>
      <w:r>
        <w:rPr>
          <w:rFonts w:ascii="Calibri" w:cs="Calibri" w:eastAsia="Calibri" w:hAnsi="Calibri"/>
          <w:b w:val="false"/>
          <w:bCs w:val="false"/>
          <w:i w:val="false"/>
          <w:iCs w:val="false"/>
          <w:sz w:val="22"/>
          <w:szCs w:val="22"/>
        </w:rPr>
        <w:t xml:space="preserve">L3. OAEI multiplicative loses some AIOE convergence. The v3.0 multiplicative variant drops r(OAEI, AIOE) from 0.81 to 0.77 (−0.04). The dual-variant architecture mitigates this: the v3.0+ additive variant recovers AIOE convergence to 0.80.</w:t>
      </w:r>
    </w:p>
    <w:p>
      <w:pPr>
        <w:spacing w:after="120" w:line="300"/>
        <w:jc w:val="both"/>
      </w:pPr>
      <w:r>
        <w:rPr>
          <w:rFonts w:ascii="Calibri" w:cs="Calibri" w:eastAsia="Calibri" w:hAnsi="Calibri"/>
          <w:b w:val="false"/>
          <w:bCs w:val="false"/>
          <w:i w:val="false"/>
          <w:iCs w:val="false"/>
          <w:sz w:val="22"/>
          <w:szCs w:val="22"/>
        </w:rPr>
        <w:t xml:space="preserve">L4. IRA discriminant residual against GEE. The v3.0 r(IRA, GEE) = 0.40 reflects the natural conceptual association between adaptability and qualification that no methodological adjustment can eliminate without losing construct validity. The 0.40 level is acceptable and below the &lt; 0.50 psychometric threshold.</w:t>
      </w:r>
    </w:p>
    <w:p>
      <w:pPr>
        <w:spacing w:after="120" w:line="300"/>
        <w:jc w:val="both"/>
      </w:pPr>
      <w:r>
        <w:rPr>
          <w:rFonts w:ascii="Calibri" w:cs="Calibri" w:eastAsia="Calibri" w:hAnsi="Calibri"/>
          <w:b w:val="false"/>
          <w:bCs w:val="false"/>
          <w:i w:val="false"/>
          <w:iCs w:val="false"/>
          <w:sz w:val="22"/>
          <w:szCs w:val="22"/>
        </w:rPr>
        <w:t xml:space="preserve">L5. Static cross-section. ITEA v3.0 measures exposure as a snapshot using O*NET 30.2 (February 2026) data. The framework cannot capture adoption velocity, steady-state distance, or temporal dynamics. Future v4.0 should introduce IDA (Index of Adoption Dynamics) using sectoral AI investment shares, revenue/employee elasticities, and headcount restructuring data.</w:t>
      </w:r>
    </w:p>
    <w:p>
      <w:pPr>
        <w:spacing w:after="120" w:line="300"/>
        <w:jc w:val="both"/>
      </w:pPr>
      <w:r>
        <w:rPr>
          <w:rFonts w:ascii="Calibri" w:cs="Calibri" w:eastAsia="Calibri" w:hAnsi="Calibri"/>
          <w:b w:val="false"/>
          <w:bCs w:val="false"/>
          <w:i w:val="false"/>
          <w:iCs w:val="false"/>
          <w:sz w:val="22"/>
          <w:szCs w:val="22"/>
        </w:rPr>
        <w:t xml:space="preserve">L6. No contractual regime dimension. The framework measures technical exposure through ITEA × GEE × ICT × (1−IPI) but does not capture how labour contract architecture protects or amplifies vulnerability. Future v4.0 should introduce IRC (Index of Contractual Regime) following the trilogy 8B mechanism.</w:t>
      </w:r>
    </w:p>
    <w:p>
      <w:pPr>
        <w:spacing w:after="120" w:line="300"/>
        <w:jc w:val="both"/>
      </w:pPr>
      <w:r>
        <w:rPr>
          <w:rFonts w:ascii="Calibri" w:cs="Calibri" w:eastAsia="Calibri" w:hAnsi="Calibri"/>
          <w:b w:val="false"/>
          <w:bCs w:val="false"/>
          <w:i w:val="false"/>
          <w:iCs w:val="false"/>
          <w:sz w:val="22"/>
          <w:szCs w:val="22"/>
        </w:rPr>
        <w:t xml:space="preserve">L7. Top-20 destabilisation impacts trilogy. The v3.0 top-20 retains 11 of 20 occupations from v2.1 — the 9 changes are substantive and require Paper 8A v2.3 / Paper 8B v1.5 / Paper 8C v3.5 revisions to update top-20 quantifications, sectoral examples, and the policy population narrative.</w:t>
      </w:r>
    </w:p>
    <w:p>
      <w:pPr>
        <w:spacing w:after="120" w:line="300"/>
        <w:jc w:val="both"/>
      </w:pPr>
      <w:r>
        <w:rPr>
          <w:rFonts w:ascii="Calibri" w:cs="Calibri" w:eastAsia="Calibri" w:hAnsi="Calibri"/>
          <w:b w:val="false"/>
          <w:bCs w:val="false"/>
          <w:i w:val="false"/>
          <w:iCs w:val="false"/>
          <w:sz w:val="22"/>
          <w:szCs w:val="22"/>
        </w:rPr>
        <w:t xml:space="preserve">L8. Effective N varies by indicator. The base sample of 1,016 occupations narrows to 923 for ITEA components, 846 for IRA, and 878 for OAEI v3.0. Cross-sheet consistency requires careful documentation; future versions should harmonise N = 878 as the primary effective sample (consistent with OAEI).</w:t>
      </w:r>
    </w:p>
    <w:p>
      <w:pPr>
        <w:spacing w:after="120" w:line="300"/>
        <w:jc w:val="both"/>
      </w:pPr>
      <w:r>
        <w:rPr>
          <w:rFonts w:ascii="Calibri" w:cs="Calibri" w:eastAsia="Calibri" w:hAnsi="Calibri"/>
          <w:b w:val="false"/>
          <w:bCs w:val="false"/>
          <w:i w:val="false"/>
          <w:iCs w:val="false"/>
          <w:sz w:val="22"/>
          <w:szCs w:val="22"/>
        </w:rPr>
        <w:t xml:space="preserve">L9. Z-score parameters are sample-dependent. The v3.0 standardisation uses the mean and standard deviation of the full O*NET 30.2 sample for each component. When applying the framework to a different sample (e.g., a national subset, a sectoral panel, or a future O*NET version), these parameters must be recomputed on the new sample. This is a structural property of standardised composites and limits cross-sample comparability.</w:t>
      </w:r>
    </w:p>
    <w:p>
      <w:pPr>
        <w:spacing w:after="100"/>
      </w:pPr>
      <w:r>
        <w:t xml:space="preserve"/>
      </w:r>
    </w:p>
    <w:p>
      <w:pPr>
        <w:pStyle w:val="Heading1"/>
        <w:spacing w:after="200" w:before="360"/>
      </w:pPr>
      <w:r>
        <w:rPr>
          <w:rFonts w:ascii="Calibri" w:cs="Calibri" w:eastAsia="Calibri" w:hAnsi="Calibri"/>
          <w:b/>
          <w:bCs/>
          <w:color w:val="1B4F72"/>
          <w:sz w:val="28"/>
          <w:szCs w:val="28"/>
        </w:rPr>
        <w:t xml:space="preserve">11. Future Work — Toward v4.0</w:t>
      </w:r>
    </w:p>
    <w:p>
      <w:pPr>
        <w:spacing w:after="120" w:line="300"/>
        <w:jc w:val="both"/>
      </w:pPr>
      <w:r>
        <w:rPr>
          <w:rFonts w:ascii="Calibri" w:cs="Calibri" w:eastAsia="Calibri" w:hAnsi="Calibri"/>
          <w:b w:val="false"/>
          <w:bCs w:val="false"/>
          <w:i w:val="false"/>
          <w:iCs w:val="false"/>
          <w:sz w:val="22"/>
          <w:szCs w:val="22"/>
        </w:rPr>
        <w:t xml:space="preserve">Three structural extensions are identified as priority paths for a future v4.0 of the framework.</w:t>
      </w:r>
    </w:p>
    <w:p>
      <w:pPr>
        <w:pStyle w:val="Heading2"/>
        <w:spacing w:after="140" w:before="280"/>
      </w:pPr>
      <w:r>
        <w:rPr>
          <w:rFonts w:ascii="Calibri" w:cs="Calibri" w:eastAsia="Calibri" w:hAnsi="Calibri"/>
          <w:b/>
          <w:bCs/>
          <w:i/>
          <w:iCs/>
          <w:color w:val="2E86C1"/>
          <w:sz w:val="24"/>
          <w:szCs w:val="24"/>
        </w:rPr>
        <w:t xml:space="preserve">11.1 IDA — Index of Adoption Dynamics</w:t>
      </w:r>
    </w:p>
    <w:p>
      <w:pPr>
        <w:spacing w:after="120" w:line="300"/>
        <w:jc w:val="both"/>
      </w:pPr>
      <w:r>
        <w:rPr>
          <w:rFonts w:ascii="Calibri" w:cs="Calibri" w:eastAsia="Calibri" w:hAnsi="Calibri"/>
          <w:b w:val="false"/>
          <w:bCs w:val="false"/>
          <w:i w:val="false"/>
          <w:iCs w:val="false"/>
          <w:sz w:val="22"/>
          <w:szCs w:val="22"/>
        </w:rPr>
        <w:t xml:space="preserve">The current ITEA captures static technological exposure but not the velocity at which the Agentic regime is being adopted across sectors. A future IDA would combine three sub-indicators: (i) sectoral AI investment share, derived from corporate filings (10-K/10-Q for U.S. firms, equivalent disclosures elsewhere); (ii) revenue-per-employee elasticity, capturing the rate at which firms in the sector are replacing labour with capital; (iii) Agentic adoption fraction, derived from sectoral surveys (Bain Technology Report, McKinsey State of AI, IBM IBV) calibrated to occupation-level granularity. The IDA would enable decomposition of OAEI into a static structural component and a dynamic urgency component, supporting differential calibration of the trilogy 8B tokenisation rate θ by adoption phase.</w:t>
      </w:r>
    </w:p>
    <w:p>
      <w:pPr>
        <w:pStyle w:val="Heading2"/>
        <w:spacing w:after="140" w:before="280"/>
      </w:pPr>
      <w:r>
        <w:rPr>
          <w:rFonts w:ascii="Calibri" w:cs="Calibri" w:eastAsia="Calibri" w:hAnsi="Calibri"/>
          <w:b/>
          <w:bCs/>
          <w:i/>
          <w:iCs/>
          <w:color w:val="2E86C1"/>
          <w:sz w:val="24"/>
          <w:szCs w:val="24"/>
        </w:rPr>
        <w:t xml:space="preserve">11.2 IRC — Index of Contractual Regime</w:t>
      </w:r>
    </w:p>
    <w:p>
      <w:pPr>
        <w:spacing w:after="120" w:line="300"/>
        <w:jc w:val="both"/>
      </w:pPr>
      <w:r>
        <w:rPr>
          <w:rFonts w:ascii="Calibri" w:cs="Calibri" w:eastAsia="Calibri" w:hAnsi="Calibri"/>
          <w:b w:val="false"/>
          <w:bCs w:val="false"/>
          <w:i w:val="false"/>
          <w:iCs w:val="false"/>
          <w:sz w:val="22"/>
          <w:szCs w:val="22"/>
        </w:rPr>
        <w:t xml:space="preserve">The framework currently treats all occupations as if they faced a uniform contractual regime, but the trilogy explicitly identifies that the MBB partnership form, employee-inventor compensation regimes, and gig-economy contracts produce radically different effective exposures for identical technological profiles. A future IRC would measure on a [0,1] scale the degree to which the typical contract for an occupation protects residually against crystallisation. The OAEI v4.0 would integrate IRC as: OAEI = ITEA × GEE × ICT × (1−IPI) × (1−IRC), making the framework directly responsive to the contractual mechanism that the trilogy 8B identifies as the locus of corrective intervention.</w:t>
      </w:r>
    </w:p>
    <w:p>
      <w:pPr>
        <w:pStyle w:val="Heading2"/>
        <w:spacing w:after="140" w:before="280"/>
      </w:pPr>
      <w:r>
        <w:rPr>
          <w:rFonts w:ascii="Calibri" w:cs="Calibri" w:eastAsia="Calibri" w:hAnsi="Calibri"/>
          <w:b/>
          <w:bCs/>
          <w:i/>
          <w:iCs/>
          <w:color w:val="2E86C1"/>
          <w:sz w:val="24"/>
          <w:szCs w:val="24"/>
        </w:rPr>
        <w:t xml:space="preserve">11.3 European replication via ESJS2 / ESCO</w:t>
      </w:r>
    </w:p>
    <w:p>
      <w:pPr>
        <w:spacing w:after="120" w:line="300"/>
        <w:jc w:val="both"/>
      </w:pPr>
      <w:r>
        <w:rPr>
          <w:rFonts w:ascii="Calibri" w:cs="Calibri" w:eastAsia="Calibri" w:hAnsi="Calibri"/>
          <w:b w:val="false"/>
          <w:bCs w:val="false"/>
          <w:i w:val="false"/>
          <w:iCs w:val="false"/>
          <w:sz w:val="22"/>
          <w:szCs w:val="22"/>
        </w:rPr>
        <w:t xml:space="preserve">The current framework is anchored exclusively in O*NET (U.S. data). A European replication would build the same indicator architecture on the Eurostat ESJS2 occupation taxonomy and the ESCO competency framework. Preliminary mapping work suggests the 1,016 SOC 6-digit occupations correspond approximately to 1,400 ESCO occupations at the 4-digit level. The replication would enable cross-Atlantic comparative research and align the framework with the European Strategy on Artificial Intelligence's monitoring requirements.</w:t>
      </w:r>
    </w:p>
    <w:p>
      <w:pPr>
        <w:pStyle w:val="Heading2"/>
        <w:spacing w:after="140" w:before="280"/>
      </w:pPr>
      <w:r>
        <w:rPr>
          <w:rFonts w:ascii="Calibri" w:cs="Calibri" w:eastAsia="Calibri" w:hAnsi="Calibri"/>
          <w:b/>
          <w:bCs/>
          <w:i/>
          <w:iCs/>
          <w:color w:val="2E86C1"/>
          <w:sz w:val="24"/>
          <w:szCs w:val="24"/>
        </w:rPr>
        <w:t xml:space="preserve">11.4 Bayesian updating and longitudinal trajectory tracking</w:t>
      </w:r>
    </w:p>
    <w:p>
      <w:pPr>
        <w:spacing w:after="120" w:line="300"/>
        <w:jc w:val="both"/>
      </w:pPr>
      <w:r>
        <w:rPr>
          <w:rFonts w:ascii="Calibri" w:cs="Calibri" w:eastAsia="Calibri" w:hAnsi="Calibri"/>
          <w:b w:val="false"/>
          <w:bCs w:val="false"/>
          <w:i w:val="false"/>
          <w:iCs w:val="false"/>
          <w:sz w:val="22"/>
          <w:szCs w:val="22"/>
        </w:rPr>
        <w:t xml:space="preserve">The current framework reports point estimates for each indicator without uncertainty quantification. Future versions could implement Bayesian updating: at each O*NET version, the posterior distribution of each indicator can be computed conditional on the prior version and the new observations, producing both updated point estimates and credible intervals. This would enable longitudinal trajectory tracking of OAEI for each occupation, supporting questions like "which occupations are converging toward maximum exposure?" that the current static framework cannot answer.</w:t>
      </w:r>
    </w:p>
    <w:p>
      <w:pPr>
        <w:pStyle w:val="Heading2"/>
        <w:spacing w:after="140" w:before="280"/>
      </w:pPr>
      <w:r>
        <w:rPr>
          <w:rFonts w:ascii="Calibri" w:cs="Calibri" w:eastAsia="Calibri" w:hAnsi="Calibri"/>
          <w:b/>
          <w:bCs/>
          <w:i/>
          <w:iCs/>
          <w:color w:val="2E86C1"/>
          <w:sz w:val="24"/>
          <w:szCs w:val="24"/>
        </w:rPr>
        <w:t xml:space="preserve">11.5 JOSS submission preparation</w:t>
      </w:r>
    </w:p>
    <w:p>
      <w:pPr>
        <w:spacing w:after="120" w:line="300"/>
        <w:jc w:val="both"/>
      </w:pPr>
      <w:r>
        <w:rPr>
          <w:rFonts w:ascii="Calibri" w:cs="Calibri" w:eastAsia="Calibri" w:hAnsi="Calibri"/>
          <w:b w:val="false"/>
          <w:bCs w:val="false"/>
          <w:i w:val="false"/>
          <w:iCs w:val="false"/>
          <w:sz w:val="22"/>
          <w:szCs w:val="22"/>
        </w:rPr>
        <w:t xml:space="preserve">The Journal of Open Source Software publishes short papers describing well-documented research software. The ITEA Framework's evolution from v1.0 (March 2024) to v3.0 (this consolidated edition) demonstrates the principled methodological response to research findings that JOSS values. The submission target window is mid-2026, after Paper 8A enters review and Paper 8C completes its first round. The JOSS paper itself will be brief (1,000 words) summarising the framework's purpose, the v3.0 specification, and the trilogy as use-case demonstration; the present document serves as the supporting methodological reference cited in the JOSS submission.</w:t>
      </w:r>
    </w:p>
    <w:p>
      <w:r>
        <w:br w:type="page"/>
      </w:r>
    </w:p>
    <w:p>
      <w:pPr>
        <w:pStyle w:val="Heading1"/>
        <w:spacing w:after="200" w:before="360"/>
      </w:pPr>
      <w:r>
        <w:rPr>
          <w:rFonts w:ascii="Calibri" w:cs="Calibri" w:eastAsia="Calibri" w:hAnsi="Calibri"/>
          <w:b/>
          <w:bCs/>
          <w:color w:val="1B4F72"/>
          <w:sz w:val="28"/>
          <w:szCs w:val="28"/>
        </w:rPr>
        <w:t xml:space="preserve">12. References</w:t>
      </w:r>
    </w:p>
    <w:p>
      <w:pPr>
        <w:spacing w:after="80" w:line="280"/>
        <w:ind w:left="720" w:hanging="720"/>
        <w:jc w:val="both"/>
      </w:pPr>
      <w:r>
        <w:rPr>
          <w:rFonts w:ascii="Calibri" w:cs="Calibri" w:eastAsia="Calibri" w:hAnsi="Calibri"/>
          <w:sz w:val="22"/>
          <w:szCs w:val="22"/>
        </w:rPr>
        <w:t xml:space="preserve">Acemoglu, D. (2025). The simple macroeconomics of AI. Economic Policy, 40(121), 13–58.</w:t>
      </w:r>
    </w:p>
    <w:p>
      <w:pPr>
        <w:spacing w:after="80" w:line="280"/>
        <w:ind w:left="720" w:hanging="720"/>
        <w:jc w:val="both"/>
      </w:pPr>
      <w:r>
        <w:rPr>
          <w:rFonts w:ascii="Calibri" w:cs="Calibri" w:eastAsia="Calibri" w:hAnsi="Calibri"/>
          <w:sz w:val="22"/>
          <w:szCs w:val="22"/>
        </w:rPr>
        <w:t xml:space="preserve">Acemoglu, D., &amp; Restrepo, P. (2018). The race between man and machine: Implications of technology for growth, factor shares, and employment. American Economic Review, 108(6), 1488–1542.</w:t>
      </w:r>
    </w:p>
    <w:p>
      <w:pPr>
        <w:spacing w:after="80" w:line="280"/>
        <w:ind w:left="720" w:hanging="720"/>
        <w:jc w:val="both"/>
      </w:pPr>
      <w:r>
        <w:rPr>
          <w:rFonts w:ascii="Calibri" w:cs="Calibri" w:eastAsia="Calibri" w:hAnsi="Calibri"/>
          <w:sz w:val="22"/>
          <w:szCs w:val="22"/>
        </w:rPr>
        <w:t xml:space="preserve">Acemoglu, D., &amp; Restrepo, P. (2022). Tasks, automation, and the rise in U.S. wage inequality. Econometrica, 90(5), 1973–2016.</w:t>
      </w:r>
    </w:p>
    <w:p>
      <w:pPr>
        <w:spacing w:after="80" w:line="280"/>
        <w:ind w:left="720" w:hanging="720"/>
        <w:jc w:val="both"/>
      </w:pPr>
      <w:r>
        <w:rPr>
          <w:rFonts w:ascii="Calibri" w:cs="Calibri" w:eastAsia="Calibri" w:hAnsi="Calibri"/>
          <w:sz w:val="22"/>
          <w:szCs w:val="22"/>
        </w:rPr>
        <w:t xml:space="preserve">Bollen, K. A., &amp; Lennox, R. (1991). Conventional wisdom on measurement: A structural equation perspective. Psychological Bulletin, 110(2), 305–314.</w:t>
      </w:r>
    </w:p>
    <w:p>
      <w:pPr>
        <w:spacing w:after="80" w:line="280"/>
        <w:ind w:left="720" w:hanging="720"/>
        <w:jc w:val="both"/>
      </w:pPr>
      <w:r>
        <w:rPr>
          <w:rFonts w:ascii="Calibri" w:cs="Calibri" w:eastAsia="Calibri" w:hAnsi="Calibri"/>
          <w:sz w:val="22"/>
          <w:szCs w:val="22"/>
        </w:rPr>
        <w:t xml:space="preserve">Brynjolfsson, E., Li, D., &amp; Raymond, L. (2025). Generative AI at work. Quarterly Journal of Economics, forthcoming.</w:t>
      </w:r>
    </w:p>
    <w:p>
      <w:pPr>
        <w:spacing w:after="80" w:line="280"/>
        <w:ind w:left="720" w:hanging="720"/>
        <w:jc w:val="both"/>
      </w:pPr>
      <w:r>
        <w:rPr>
          <w:rFonts w:ascii="Calibri" w:cs="Calibri" w:eastAsia="Calibri" w:hAnsi="Calibri"/>
          <w:sz w:val="22"/>
          <w:szCs w:val="22"/>
        </w:rPr>
        <w:t xml:space="preserve">Eloundou, T., Manning, S., Mishkin, P., &amp; Rock, D. (2024). GPTs are GPTs: Labor market impact potential of large language models. Science, 384(6702), 1306–1308.</w:t>
      </w:r>
    </w:p>
    <w:p>
      <w:pPr>
        <w:spacing w:after="80" w:line="280"/>
        <w:ind w:left="720" w:hanging="720"/>
        <w:jc w:val="both"/>
      </w:pPr>
      <w:r>
        <w:rPr>
          <w:rFonts w:ascii="Calibri" w:cs="Calibri" w:eastAsia="Calibri" w:hAnsi="Calibri"/>
          <w:sz w:val="22"/>
          <w:szCs w:val="22"/>
        </w:rPr>
        <w:t xml:space="preserve">Falk, B. H., &amp; Tsoukalas, G. (2026). The AI layoff trap: Externalities, competition, and the case for a Pigouvian tax. Working paper.</w:t>
      </w:r>
    </w:p>
    <w:p>
      <w:pPr>
        <w:spacing w:after="80" w:line="280"/>
        <w:ind w:left="720" w:hanging="720"/>
        <w:jc w:val="both"/>
      </w:pPr>
      <w:r>
        <w:rPr>
          <w:rFonts w:ascii="Calibri" w:cs="Calibri" w:eastAsia="Calibri" w:hAnsi="Calibri"/>
          <w:sz w:val="22"/>
          <w:szCs w:val="22"/>
        </w:rPr>
        <w:t xml:space="preserve">Felten, E. W., Raj, M., &amp; Seamans, R. (2018). A method to link advances in artificial intelligence to occupational abilities. AEA Papers and Proceedings, 108, 54–57.</w:t>
      </w:r>
    </w:p>
    <w:p>
      <w:pPr>
        <w:spacing w:after="80" w:line="280"/>
        <w:ind w:left="720" w:hanging="720"/>
        <w:jc w:val="both"/>
      </w:pPr>
      <w:r>
        <w:rPr>
          <w:rFonts w:ascii="Calibri" w:cs="Calibri" w:eastAsia="Calibri" w:hAnsi="Calibri"/>
          <w:sz w:val="22"/>
          <w:szCs w:val="22"/>
        </w:rPr>
        <w:t xml:space="preserve">Felten, E. W., Raj, M., &amp; Seamans, R. (2021). Occupational, industry, and geographic exposure to artificial intelligence: A novel dataset and its potential uses. Strategic Management Journal, 42(12), 2195–2217.</w:t>
      </w:r>
    </w:p>
    <w:p>
      <w:pPr>
        <w:spacing w:after="80" w:line="280"/>
        <w:ind w:left="720" w:hanging="720"/>
        <w:jc w:val="both"/>
      </w:pPr>
      <w:r>
        <w:rPr>
          <w:rFonts w:ascii="Calibri" w:cs="Calibri" w:eastAsia="Calibri" w:hAnsi="Calibri"/>
          <w:sz w:val="22"/>
          <w:szCs w:val="22"/>
        </w:rPr>
        <w:t xml:space="preserve">Frey, C. B., &amp; Osborne, M. A. (2017). The future of employment: How susceptible are jobs to computerisation? Technological Forecasting and Social Change, 114, 254–280.</w:t>
      </w:r>
    </w:p>
    <w:p>
      <w:pPr>
        <w:spacing w:after="80" w:line="280"/>
        <w:ind w:left="720" w:hanging="720"/>
        <w:jc w:val="both"/>
      </w:pPr>
      <w:r>
        <w:rPr>
          <w:rFonts w:ascii="Calibri" w:cs="Calibri" w:eastAsia="Calibri" w:hAnsi="Calibri"/>
          <w:sz w:val="22"/>
          <w:szCs w:val="22"/>
        </w:rPr>
        <w:t xml:space="preserve">García-Lluis Valencia, A. (2026a). The Structural Flaw: Industrial Labour Contract Inadequacy under Agentic AI. Paper 8A. Universidad Rey Juan Carlos. Zenodo DOI: 10.5281/zenodo.19592542.</w:t>
      </w:r>
    </w:p>
    <w:p>
      <w:pPr>
        <w:spacing w:after="80" w:line="280"/>
        <w:ind w:left="720" w:hanging="720"/>
        <w:jc w:val="both"/>
      </w:pPr>
      <w:r>
        <w:rPr>
          <w:rFonts w:ascii="Calibri" w:cs="Calibri" w:eastAsia="Calibri" w:hAnsi="Calibri"/>
          <w:sz w:val="22"/>
          <w:szCs w:val="22"/>
        </w:rPr>
        <w:t xml:space="preserve">García-Lluis Valencia, A. (2026b). Beyond the Pigouvian Trap: Tokenised Intellectual Capital as a Pareto-Dominant Mechanism for the Agentic AI Layoff Externality. Paper 8B. Universidad Rey Juan Carlos.</w:t>
      </w:r>
    </w:p>
    <w:p>
      <w:pPr>
        <w:spacing w:after="80" w:line="280"/>
        <w:ind w:left="720" w:hanging="720"/>
        <w:jc w:val="both"/>
      </w:pPr>
      <w:r>
        <w:rPr>
          <w:rFonts w:ascii="Calibri" w:cs="Calibri" w:eastAsia="Calibri" w:hAnsi="Calibri"/>
          <w:sz w:val="22"/>
          <w:szCs w:val="22"/>
        </w:rPr>
        <w:t xml:space="preserve">García-Lluis Valencia, A. (2026c). QE and Senior Workforce Restructuring: A Labour Liability Transmission Channel. Paper 8C. Universidad Rey Juan Carlos. Zenodo DOI: 10.5281/zenodo.19592184.</w:t>
      </w:r>
    </w:p>
    <w:p>
      <w:pPr>
        <w:spacing w:after="80" w:line="280"/>
        <w:ind w:left="720" w:hanging="720"/>
        <w:jc w:val="both"/>
      </w:pPr>
      <w:r>
        <w:rPr>
          <w:rFonts w:ascii="Calibri" w:cs="Calibri" w:eastAsia="Calibri" w:hAnsi="Calibri"/>
          <w:sz w:val="22"/>
          <w:szCs w:val="22"/>
        </w:rPr>
        <w:t xml:space="preserve">García-Lluis Valencia, A. (2026d). ITEA Methodology v2.0. Universidad Rey Juan Carlos, April 2026. [DEPRECATED — superseded by this consolidated edition].</w:t>
      </w:r>
    </w:p>
    <w:p>
      <w:pPr>
        <w:spacing w:after="80" w:line="280"/>
        <w:ind w:left="720" w:hanging="720"/>
        <w:jc w:val="both"/>
      </w:pPr>
      <w:r>
        <w:rPr>
          <w:rFonts w:ascii="Calibri" w:cs="Calibri" w:eastAsia="Calibri" w:hAnsi="Calibri"/>
          <w:sz w:val="22"/>
          <w:szCs w:val="22"/>
        </w:rPr>
        <w:t xml:space="preserve">García-Lluis Valencia, A. (2026e). ITEA Memorandum v2.1. Universidad Rey Juan Carlos, April 2026. [DEPRECATED — superseded by this consolidated edition].</w:t>
      </w:r>
    </w:p>
    <w:p>
      <w:pPr>
        <w:spacing w:after="80" w:line="280"/>
        <w:ind w:left="720" w:hanging="720"/>
        <w:jc w:val="both"/>
      </w:pPr>
      <w:r>
        <w:rPr>
          <w:rFonts w:ascii="Calibri" w:cs="Calibri" w:eastAsia="Calibri" w:hAnsi="Calibri"/>
          <w:sz w:val="22"/>
          <w:szCs w:val="22"/>
        </w:rPr>
        <w:t xml:space="preserve">García-Lluis Valencia, A. (2026f). ITEA Methodology v3.0 (original release). Universidad Rey Juan Carlos, April 2026. [SUPERSEDED — content fully integrated into this consolidated edition].</w:t>
      </w:r>
    </w:p>
    <w:p>
      <w:pPr>
        <w:spacing w:after="80" w:line="280"/>
        <w:ind w:left="720" w:hanging="720"/>
        <w:jc w:val="both"/>
      </w:pPr>
      <w:r>
        <w:rPr>
          <w:rFonts w:ascii="Calibri" w:cs="Calibri" w:eastAsia="Calibri" w:hAnsi="Calibri"/>
          <w:sz w:val="22"/>
          <w:szCs w:val="22"/>
        </w:rPr>
        <w:t xml:space="preserve">Lindbeck, A., &amp; Snower, D. J. (1988). The Insider-Outsider Theory of Employment and Unemployment. MIT Press.</w:t>
      </w:r>
    </w:p>
    <w:p>
      <w:pPr>
        <w:spacing w:after="80" w:line="280"/>
        <w:ind w:left="720" w:hanging="720"/>
        <w:jc w:val="both"/>
      </w:pPr>
      <w:r>
        <w:rPr>
          <w:rFonts w:ascii="Calibri" w:cs="Calibri" w:eastAsia="Calibri" w:hAnsi="Calibri"/>
          <w:sz w:val="22"/>
          <w:szCs w:val="22"/>
        </w:rPr>
        <w:t xml:space="preserve">Manning, A. (2003). Monopsony in Motion: Imperfect Competition in Labor Markets. Princeton University Press.</w:t>
      </w:r>
    </w:p>
    <w:p>
      <w:pPr>
        <w:spacing w:after="80" w:line="280"/>
        <w:ind w:left="720" w:hanging="720"/>
        <w:jc w:val="both"/>
      </w:pPr>
      <w:r>
        <w:rPr>
          <w:rFonts w:ascii="Calibri" w:cs="Calibri" w:eastAsia="Calibri" w:hAnsi="Calibri"/>
          <w:sz w:val="22"/>
          <w:szCs w:val="22"/>
        </w:rPr>
        <w:t xml:space="preserve">Massenkoff, M., &amp; McCrory, J. (2026). Anthropic Economic Index: AI Exposure and the Geography of Displacement. Working paper.</w:t>
      </w:r>
    </w:p>
    <w:p>
      <w:pPr>
        <w:spacing w:after="80" w:line="280"/>
        <w:ind w:left="720" w:hanging="720"/>
        <w:jc w:val="both"/>
      </w:pPr>
      <w:r>
        <w:rPr>
          <w:rFonts w:ascii="Calibri" w:cs="Calibri" w:eastAsia="Calibri" w:hAnsi="Calibri"/>
          <w:sz w:val="22"/>
          <w:szCs w:val="22"/>
        </w:rPr>
        <w:t xml:space="preserve">Nonaka, I., &amp; Takeuchi, H. (1995). The Knowledge-Creating Company. Oxford University Press.</w:t>
      </w:r>
    </w:p>
    <w:p>
      <w:pPr>
        <w:spacing w:after="80" w:line="280"/>
        <w:ind w:left="720" w:hanging="720"/>
        <w:jc w:val="both"/>
      </w:pPr>
      <w:r>
        <w:rPr>
          <w:rFonts w:ascii="Calibri" w:cs="Calibri" w:eastAsia="Calibri" w:hAnsi="Calibri"/>
          <w:sz w:val="22"/>
          <w:szCs w:val="22"/>
        </w:rPr>
        <w:t xml:space="preserve">Nunnally, J. C., &amp; Bernstein, I. H. (1994). Psychometric Theory (3rd ed.). McGraw-Hill.</w:t>
      </w:r>
    </w:p>
    <w:p>
      <w:pPr>
        <w:spacing w:after="80" w:line="280"/>
        <w:ind w:left="720" w:hanging="720"/>
        <w:jc w:val="both"/>
      </w:pPr>
      <w:r>
        <w:rPr>
          <w:rFonts w:ascii="Calibri" w:cs="Calibri" w:eastAsia="Calibri" w:hAnsi="Calibri"/>
          <w:sz w:val="22"/>
          <w:szCs w:val="22"/>
        </w:rPr>
        <w:t xml:space="preserve">Webb, M. (2020). The impact of artificial intelligence on the labor market. Working Paper. Stanford University.</w:t>
      </w:r>
    </w:p>
    <w:p>
      <w:r>
        <w:br w:type="page"/>
      </w:r>
    </w:p>
    <w:p>
      <w:pPr>
        <w:pStyle w:val="Heading1"/>
        <w:spacing w:after="200" w:before="360"/>
      </w:pPr>
      <w:r>
        <w:rPr>
          <w:rFonts w:ascii="Calibri" w:cs="Calibri" w:eastAsia="Calibri" w:hAnsi="Calibri"/>
          <w:b/>
          <w:bCs/>
          <w:color w:val="1B4F72"/>
          <w:sz w:val="28"/>
          <w:szCs w:val="28"/>
        </w:rPr>
        <w:t xml:space="preserve">Appendix A. Deprecation Cross-Reference</w:t>
      </w:r>
    </w:p>
    <w:p>
      <w:pPr>
        <w:spacing w:after="120" w:line="300"/>
        <w:jc w:val="both"/>
      </w:pPr>
      <w:r>
        <w:rPr>
          <w:rFonts w:ascii="Calibri" w:cs="Calibri" w:eastAsia="Calibri" w:hAnsi="Calibri"/>
          <w:b w:val="false"/>
          <w:bCs w:val="false"/>
          <w:i w:val="false"/>
          <w:iCs w:val="false"/>
          <w:sz w:val="22"/>
          <w:szCs w:val="22"/>
        </w:rPr>
        <w:t xml:space="preserve">This appendix maps each section of the deprecated v2.0 and v2.1 documents to its location in the present consolidated edition, supporting researchers transitioning from the legacy documentation.</w:t>
      </w:r>
    </w:p>
    <w:p>
      <w:pPr>
        <w:spacing w:after="100"/>
      </w:pPr>
      <w:r>
        <w:t xml:space="preserve"/>
      </w:r>
    </w:p>
    <w:p>
      <w:pPr>
        <w:spacing w:after="120" w:line="300"/>
        <w:jc w:val="both"/>
      </w:pPr>
      <w:r>
        <w:rPr>
          <w:rFonts w:ascii="Calibri" w:cs="Calibri" w:eastAsia="Calibri" w:hAnsi="Calibri"/>
          <w:b/>
          <w:bCs/>
          <w:i w:val="false"/>
          <w:iCs w:val="false"/>
          <w:sz w:val="22"/>
          <w:szCs w:val="22"/>
        </w:rPr>
        <w:t xml:space="preserve">v2.0 Methodology (April 2026) — section mapping</w:t>
      </w:r>
    </w:p>
    <w:p>
      <w:pPr>
        <w:spacing w:after="10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400"/>
      </w:tblGrid>
      <w:tr>
        <w:trPr>
          <w:tblHeader/>
        </w:trPr>
        <w:tc>
          <w:tcPr>
            <w:tcW w:type="dxa" w:w="2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v2.0 section</w:t>
            </w:r>
          </w:p>
        </w:tc>
        <w:tc>
          <w:tcPr>
            <w:tcW w:type="dxa" w:w="3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Topic</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Location in consolidated v3.0</w:t>
            </w:r>
          </w:p>
        </w:tc>
      </w:tr>
      <w:tr>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 Introduction</w:t>
            </w:r>
          </w:p>
        </w:tc>
        <w:tc>
          <w:tcPr>
            <w:tcW w:type="dxa" w:w="3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Conceptual motivation and Agentic regime</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§3.1 (preserved)</w:t>
            </w:r>
          </w:p>
        </w:tc>
      </w:tr>
      <w:tr>
        <w:tc>
          <w:tcPr>
            <w:tcW w:type="dxa" w:w="2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 Indicator architecture</w:t>
            </w:r>
          </w:p>
        </w:tc>
        <w:tc>
          <w:tcPr>
            <w:tcW w:type="dxa" w:w="3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Eight-indicator system</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§3.2 (preserved, +2 v3.0 indicators)</w:t>
            </w:r>
          </w:p>
        </w:tc>
      </w:tr>
      <w:tr>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 Source data</w:t>
            </w:r>
          </w:p>
        </w:tc>
        <w:tc>
          <w:tcPr>
            <w:tcW w:type="dxa" w:w="3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O*NET 29.1</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§3.3 (updated to O*NET 30.2 per v2.1)</w:t>
            </w:r>
          </w:p>
        </w:tc>
      </w:tr>
      <w:tr>
        <w:tc>
          <w:tcPr>
            <w:tcW w:type="dxa" w:w="2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 ITEA construction</w:t>
            </w:r>
          </w:p>
        </w:tc>
        <w:tc>
          <w:tcPr>
            <w:tcW w:type="dxa" w:w="3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Equal-weight aggregation</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 (REVISED to z-score)</w:t>
            </w:r>
          </w:p>
        </w:tc>
      </w:tr>
      <w:tr>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§5 IRA construction</w:t>
            </w:r>
          </w:p>
        </w:tc>
        <w:tc>
          <w:tcPr>
            <w:tcW w:type="dxa" w:w="3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Univariate residualisation</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§5 (REVISED to triple residualisation)</w:t>
            </w:r>
          </w:p>
        </w:tc>
      </w:tr>
      <w:tr>
        <w:tc>
          <w:tcPr>
            <w:tcW w:type="dxa" w:w="2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 OAEI construction</w:t>
            </w:r>
          </w:p>
        </w:tc>
        <w:tc>
          <w:tcPr>
            <w:tcW w:type="dxa" w:w="3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Multiplicative form</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 (REVISED to dual-variant)</w:t>
            </w:r>
          </w:p>
        </w:tc>
      </w:tr>
      <w:tr>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§7 Validation</w:t>
            </w:r>
          </w:p>
        </w:tc>
        <w:tc>
          <w:tcPr>
            <w:tcW w:type="dxa" w:w="3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Six-criterion matrix</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§7 (EXPANDED to eight criteria)</w:t>
            </w:r>
          </w:p>
        </w:tc>
      </w:tr>
      <w:tr>
        <w:tc>
          <w:tcPr>
            <w:tcW w:type="dxa" w:w="2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§8 Limitations</w:t>
            </w:r>
          </w:p>
        </w:tc>
        <w:tc>
          <w:tcPr>
            <w:tcW w:type="dxa" w:w="3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Six limitations</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§10 (EXPANDED to nine limitations)</w:t>
            </w:r>
          </w:p>
        </w:tc>
      </w:tr>
    </w:tbl>
    <w:p>
      <w:pPr>
        <w:spacing w:after="100"/>
      </w:pPr>
      <w:r>
        <w:t xml:space="preserve"/>
      </w:r>
    </w:p>
    <w:p>
      <w:pPr>
        <w:spacing w:after="120" w:line="300"/>
        <w:jc w:val="both"/>
      </w:pPr>
      <w:r>
        <w:rPr>
          <w:rFonts w:ascii="Calibri" w:cs="Calibri" w:eastAsia="Calibri" w:hAnsi="Calibri"/>
          <w:b/>
          <w:bCs/>
          <w:i w:val="false"/>
          <w:iCs w:val="false"/>
          <w:sz w:val="22"/>
          <w:szCs w:val="22"/>
        </w:rPr>
        <w:t xml:space="preserve">v2.1 Memorandum (April 2026) — section mapping</w:t>
      </w:r>
    </w:p>
    <w:p>
      <w:pPr>
        <w:spacing w:after="10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400"/>
      </w:tblGrid>
      <w:tr>
        <w:trPr>
          <w:tblHeader/>
        </w:trPr>
        <w:tc>
          <w:tcPr>
            <w:tcW w:type="dxa" w:w="2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 section</w:t>
            </w:r>
          </w:p>
        </w:tc>
        <w:tc>
          <w:tcPr>
            <w:tcW w:type="dxa" w:w="3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Topic</w:t>
            </w:r>
          </w:p>
        </w:tc>
        <w:tc>
          <w:tcPr>
            <w:tcW w:type="dxa" w:w="44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Location in consolidated v3.0</w:t>
            </w:r>
          </w:p>
        </w:tc>
      </w:tr>
      <w:tr>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 Trigger</w:t>
            </w:r>
          </w:p>
        </w:tc>
        <w:tc>
          <w:tcPr>
            <w:tcW w:type="dxa" w:w="3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O*NET 30.2 release</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§3.3 (data source statement)</w:t>
            </w:r>
          </w:p>
        </w:tc>
      </w:tr>
      <w:tr>
        <w:tc>
          <w:tcPr>
            <w:tcW w:type="dxa" w:w="2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 Data refresh</w:t>
            </w:r>
          </w:p>
        </w:tc>
        <w:tc>
          <w:tcPr>
            <w:tcW w:type="dxa" w:w="3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Recomputation on 30.2</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§4-6 (all v3.0 numbers use 30.2)</w:t>
            </w:r>
          </w:p>
        </w:tc>
      </w:tr>
      <w:tr>
        <w:tc>
          <w:tcPr>
            <w:tcW w:type="dxa" w:w="2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§3 Validation update</w:t>
            </w:r>
          </w:p>
        </w:tc>
        <w:tc>
          <w:tcPr>
            <w:tcW w:type="dxa" w:w="3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Recomputed validation</w:t>
            </w:r>
          </w:p>
        </w:tc>
        <w:tc>
          <w:tcPr>
            <w:tcW w:type="dxa" w:w="44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§7 (integrated comparison)</w:t>
            </w:r>
          </w:p>
        </w:tc>
      </w:tr>
      <w:tr>
        <w:tc>
          <w:tcPr>
            <w:tcW w:type="dxa" w:w="2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 Cross-version stability v2.0→v2.1</w:t>
            </w:r>
          </w:p>
        </w:tc>
        <w:tc>
          <w:tcPr>
            <w:tcW w:type="dxa" w:w="3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r ≈ 0.99</w:t>
            </w:r>
          </w:p>
        </w:tc>
        <w:tc>
          <w:tcPr>
            <w:tcW w:type="dxa" w:w="44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§9 Table 9.1 (extended to v3.0)</w:t>
            </w:r>
          </w:p>
        </w:tc>
      </w:tr>
    </w:tbl>
    <w:p>
      <w:r>
        <w:br w:type="page"/>
      </w:r>
    </w:p>
    <w:p>
      <w:pPr>
        <w:pStyle w:val="Heading1"/>
        <w:spacing w:after="200" w:before="360"/>
      </w:pPr>
      <w:r>
        <w:rPr>
          <w:rFonts w:ascii="Calibri" w:cs="Calibri" w:eastAsia="Calibri" w:hAnsi="Calibri"/>
          <w:b/>
          <w:bCs/>
          <w:color w:val="1B4F72"/>
          <w:sz w:val="28"/>
          <w:szCs w:val="28"/>
        </w:rPr>
        <w:t xml:space="preserve">Appendix B. Complete Change-Log v1.0 → v3.0</w:t>
      </w:r>
    </w:p>
    <w:p>
      <w:pPr>
        <w:spacing w:after="100"/>
      </w:pPr>
      <w:r>
        <w:t xml:space="preserve"/>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600"/>
        <w:gridCol w:w="2700"/>
      </w:tblGrid>
      <w:tr>
        <w:trPr>
          <w:tblHeader/>
        </w:trPr>
        <w:tc>
          <w:tcPr>
            <w:tcW w:type="dxa" w:w="22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Version</w:t>
            </w:r>
          </w:p>
        </w:tc>
        <w:tc>
          <w:tcPr>
            <w:tcW w:type="dxa" w:w="17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Date</w:t>
            </w:r>
          </w:p>
        </w:tc>
        <w:tc>
          <w:tcPr>
            <w:tcW w:type="dxa" w:w="56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Key changes</w:t>
            </w:r>
          </w:p>
        </w:tc>
        <w:tc>
          <w:tcPr>
            <w:tcW w:type="dxa" w:w="2700"/>
            <w:tcBorders>
              <w:top w:val="single" w:color="333333" w:sz="4"/>
              <w:left w:val="single" w:color="333333" w:sz="4"/>
              <w:bottom w:val="single" w:color="333333" w:sz="4"/>
              <w:right w:val="single" w:color="333333"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Impact</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v1.0</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2024-03</w:t>
            </w:r>
          </w:p>
        </w:tc>
        <w:tc>
          <w:tcPr>
            <w:tcW w:type="dxa" w:w="5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Initial release: 8 indicators, O*NET 28.x</w:t>
            </w:r>
          </w:p>
        </w:tc>
        <w:tc>
          <w:tcPr>
            <w:tcW w:type="dxa" w:w="2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Baseline</w:t>
            </w:r>
          </w:p>
        </w:tc>
      </w:tr>
      <w:tr>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v1.1</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2024-09</w:t>
            </w:r>
          </w:p>
        </w:tc>
        <w:tc>
          <w:tcPr>
            <w:tcW w:type="dxa" w:w="5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IRO institutional security; ITEA additive form</w:t>
            </w:r>
          </w:p>
        </w:tc>
        <w:tc>
          <w:tcPr>
            <w:tcW w:type="dxa" w:w="2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Medium</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v1.2</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2025-03</w:t>
            </w:r>
          </w:p>
        </w:tc>
        <w:tc>
          <w:tcPr>
            <w:tcW w:type="dxa" w:w="5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GEE OLS calibration (ρ 0.259 → 0.927); IMO Hurdle + cap</w:t>
            </w:r>
          </w:p>
        </w:tc>
        <w:tc>
          <w:tcPr>
            <w:tcW w:type="dxa" w:w="2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High</w:t>
            </w:r>
          </w:p>
        </w:tc>
      </w:tr>
      <w:tr>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v1.3</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2026-04 [early]</w:t>
            </w:r>
          </w:p>
        </w:tc>
        <w:tc>
          <w:tcPr>
            <w:tcW w:type="dxa" w:w="5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IPI new indicator; IFS CI extraction</w:t>
            </w:r>
          </w:p>
        </w:tc>
        <w:tc>
          <w:tcPr>
            <w:tcW w:type="dxa" w:w="2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Medium</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v1.45</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2025-10</w:t>
            </w:r>
          </w:p>
        </w:tc>
        <w:tc>
          <w:tcPr>
            <w:tcW w:type="dxa" w:w="5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IRO 4 → 2 items; GEE dual OLS+ordinal</w:t>
            </w:r>
          </w:p>
        </w:tc>
        <w:tc>
          <w:tcPr>
            <w:tcW w:type="dxa" w:w="2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Medium — last v1.x release; archived as legacy tag</w:t>
            </w:r>
          </w:p>
        </w:tc>
      </w:tr>
      <w:tr>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v2.0</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2026-04</w:t>
            </w:r>
          </w:p>
        </w:tc>
        <w:tc>
          <w:tcPr>
            <w:tcW w:type="dxa" w:w="5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Methodology paper: formative/reflective typology, conceptual foundations</w:t>
            </w:r>
          </w:p>
        </w:tc>
        <w:tc>
          <w:tcPr>
            <w:tcW w:type="dxa" w:w="2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High — first methodological document</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v2.1</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2026-04</w:t>
            </w:r>
          </w:p>
        </w:tc>
        <w:tc>
          <w:tcPr>
            <w:tcW w:type="dxa" w:w="5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Memorandum: data refresh to O*NET 30.2</w:t>
            </w:r>
          </w:p>
        </w:tc>
        <w:tc>
          <w:tcPr>
            <w:tcW w:type="dxa" w:w="2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Medium</w:t>
            </w:r>
          </w:p>
        </w:tc>
      </w:tr>
      <w:tr>
        <w:tc>
          <w:tcPr>
            <w:tcW w:type="dxa" w:w="22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v3.0 (original)</w:t>
            </w:r>
          </w:p>
        </w:tc>
        <w:tc>
          <w:tcPr>
            <w:tcW w:type="dxa" w:w="1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2026-04</w:t>
            </w:r>
          </w:p>
        </w:tc>
        <w:tc>
          <w:tcPr>
            <w:tcW w:type="dxa" w:w="56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Major revision: z-score ITEA, triple-residualised IRA, dual-variant OAEI</w:t>
            </w:r>
          </w:p>
        </w:tc>
        <w:tc>
          <w:tcPr>
            <w:tcW w:type="dxa" w:w="2700"/>
            <w:tcBorders>
              <w:top w:val="single" w:color="333333" w:sz="4"/>
              <w:left w:val="single" w:color="333333" w:sz="4"/>
              <w:bottom w:val="single" w:color="333333" w:sz="4"/>
              <w:right w:val="single" w:color="333333" w:sz="4"/>
            </w:tcBorders>
            <w:shd w:fill="F4F6F8"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CRITICAL</w:t>
            </w:r>
          </w:p>
        </w:tc>
      </w:tr>
      <w:tr>
        <w:tc>
          <w:tcPr>
            <w:tcW w:type="dxa" w:w="22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v3.0 (this consolidated edition)</w:t>
            </w:r>
          </w:p>
        </w:tc>
        <w:tc>
          <w:tcPr>
            <w:tcW w:type="dxa" w:w="1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2026-04</w:t>
            </w:r>
          </w:p>
        </w:tc>
        <w:tc>
          <w:tcPr>
            <w:tcW w:type="dxa" w:w="56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Unification of v1.x operational and v2.x methodological lines; trilogy case study; deprecation declaration; JOSS preparation</w:t>
            </w:r>
          </w:p>
        </w:tc>
        <w:tc>
          <w:tcPr>
            <w:tcW w:type="dxa" w:w="2700"/>
            <w:tcBorders>
              <w:top w:val="single" w:color="333333" w:sz="4"/>
              <w:left w:val="single" w:color="333333" w:sz="4"/>
              <w:bottom w:val="single" w:color="333333" w:sz="4"/>
              <w:right w:val="single" w:color="333333"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CRITICAL — single authoritative reference</w:t>
            </w:r>
          </w:p>
        </w:tc>
      </w:tr>
    </w:tbl>
    <w:p>
      <w:pPr>
        <w:spacing w:after="100"/>
      </w:pPr>
      <w:r>
        <w:t xml:space="preserve"/>
      </w:r>
    </w:p>
    <w:p>
      <w:pPr>
        <w:spacing w:after="100"/>
      </w:pPr>
      <w:r>
        <w:t xml:space="preserve"/>
      </w:r>
    </w:p>
    <w:p>
      <w:pPr>
        <w:spacing w:before="400"/>
        <w:jc w:val="center"/>
      </w:pPr>
      <w:r>
        <w:rPr>
          <w:rFonts w:ascii="Calibri" w:cs="Calibri" w:eastAsia="Calibri" w:hAnsi="Calibri"/>
          <w:b/>
          <w:bCs/>
          <w:i/>
          <w:iCs/>
          <w:sz w:val="22"/>
          <w:szCs w:val="22"/>
        </w:rPr>
        <w:t xml:space="preserve">End of ITEA Framework v3.0 — Consolidated Methodological Edition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ITEA Framework v3.0 — Consolidated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28"/>
      <w:szCs w:val="28"/>
    </w:rPr>
  </w:style>
  <w:style w:type="paragraph" w:styleId="Heading2">
    <w:name w:val="Heading 2"/>
    <w:basedOn w:val="Normal"/>
    <w:next w:val="Normal"/>
    <w:qFormat/>
    <w:pPr>
      <w:spacing w:after="140" w:before="280"/>
      <w:outlineLvl w:val="1"/>
    </w:pPr>
    <w:rPr>
      <w:rFonts w:ascii="Calibri" w:cs="Calibri" w:eastAsia="Calibri" w:hAnsi="Calibri"/>
      <w:b/>
      <w:bCs/>
      <w:i/>
      <w:iCs/>
      <w:color w:val="2E86C1"/>
      <w:sz w:val="24"/>
      <w:szCs w:val="24"/>
    </w:rPr>
  </w:style>
  <w:style w:type="paragraph" w:styleId="Heading3">
    <w:name w:val="Heading 3"/>
    <w:basedOn w:val="Normal"/>
    <w:next w:val="Normal"/>
    <w:qFormat/>
    <w:pPr>
      <w:spacing w:after="120" w:before="220"/>
      <w:outlineLvl w:val="2"/>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Framework v3.0 — Consolidated Methodological Edition</dc:title>
  <dc:creator>Alberto García-Lluis Valencia</dc:creator>
  <dc:description>Consolidated edition unifying v2.0, v2.1, and v3.0 with trilogy case study</dc:description>
  <cp:lastModifiedBy>Un-named</cp:lastModifiedBy>
  <cp:revision>1</cp:revision>
  <dcterms:created xsi:type="dcterms:W3CDTF">2026-04-30T15:07:50.897Z</dcterms:created>
  <dcterms:modified xsi:type="dcterms:W3CDTF">2026-04-30T15:07:50.898Z</dcterms:modified>
</cp:coreProperties>
</file>

<file path=docProps/custom.xml><?xml version="1.0" encoding="utf-8"?>
<Properties xmlns="http://schemas.openxmlformats.org/officeDocument/2006/custom-properties" xmlns:vt="http://schemas.openxmlformats.org/officeDocument/2006/docPropsVTypes"/>
</file>