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3864"/>
          <w:sz w:val="56"/>
          <w:szCs w:val="56"/>
        </w:rPr>
        <w:t xml:space="preserve">FRAMEWORK ITEA</w:t>
      </w:r>
    </w:p>
    <w:p>
      <w:pPr>
        <w:spacing w:after="100"/>
        <w:jc w:val="center"/>
      </w:pPr>
      <w:r>
        <w:rPr>
          <w:rFonts w:ascii="Calibri" w:cs="Calibri" w:eastAsia="Calibri" w:hAnsi="Calibri"/>
          <w:color w:val="2E74B5"/>
          <w:sz w:val="36"/>
          <w:szCs w:val="36"/>
        </w:rPr>
        <w:t xml:space="preserve">Diagnóstico técnico y plan de mejoras</w:t>
      </w:r>
    </w:p>
    <w:p>
      <w:pPr>
        <w:spacing w:after="80"/>
        <w:jc w:val="center"/>
      </w:pPr>
      <w:r>
        <w:rPr>
          <w:rFonts w:ascii="Calibri" w:cs="Calibri" w:eastAsia="Calibri" w:hAnsi="Calibri"/>
          <w:i/>
          <w:iCs/>
          <w:color w:val="595959"/>
          <w:sz w:val="24"/>
          <w:szCs w:val="24"/>
        </w:rPr>
        <w:t xml:space="preserve">Camino a JOSS / JORS · Consolidación v2.0 · Actualización O*NET</w:t>
      </w:r>
    </w:p>
    <w:p>
      <w:pPr>
        <w:spacing w:after="700"/>
        <w:jc w:val="center"/>
      </w:pPr>
      <w:r>
        <w:rPr>
          <w:rFonts w:ascii="Calibri" w:cs="Calibri" w:eastAsia="Calibri" w:hAnsi="Calibri"/>
          <w:sz w:val="22"/>
          <w:szCs w:val="22"/>
        </w:rPr>
        <w:t xml:space="preserve"> </w:t>
      </w:r>
    </w:p>
    <w:p>
      <w:pPr>
        <w:jc w:val="center"/>
      </w:pPr>
      <w:r>
        <w:rPr>
          <w:rFonts w:ascii="Calibri" w:cs="Calibri" w:eastAsia="Calibri" w:hAnsi="Calibri"/>
          <w:sz w:val="22"/>
          <w:szCs w:val="22"/>
        </w:rPr>
        <w:t xml:space="preserve">Alberto García-Lluis Valencia · Universidad Rey Juan Carlos</w:t>
      </w:r>
    </w:p>
    <w:p>
      <w:pPr>
        <w:jc w:val="center"/>
      </w:pPr>
      <w:r>
        <w:rPr>
          <w:rFonts w:ascii="Calibri" w:cs="Calibri" w:eastAsia="Calibri" w:hAnsi="Calibri"/>
          <w:sz w:val="22"/>
          <w:szCs w:val="22"/>
        </w:rPr>
        <w:t xml:space="preserve">ORCID 0009-0003-1438-1633 · </w:t>
      </w:r>
      <w:hyperlink w:history="1" r:id="rIdcpnawhcc34u2ooje6nkwj">
        <w:r>
          <w:rPr>
            <w:rStyle w:val="Hyperlink"/>
            <w:rFonts w:ascii="Calibri" w:cs="Calibri" w:eastAsia="Calibri" w:hAnsi="Calibri"/>
            <w:sz w:val="22"/>
            <w:szCs w:val="22"/>
          </w:rPr>
          <w:t xml:space="preserve">github.com/Aval22/ITEA</w:t>
        </w:r>
      </w:hyperlink>
    </w:p>
    <w:p>
      <w:pPr>
        <w:jc w:val="center"/>
      </w:pPr>
      <w:r>
        <w:rPr>
          <w:rFonts w:ascii="Calibri" w:cs="Calibri" w:eastAsia="Calibri" w:hAnsi="Calibri"/>
          <w:sz w:val="22"/>
          <w:szCs w:val="22"/>
        </w:rPr>
        <w:t xml:space="preserve">DOI: </w:t>
      </w:r>
      <w:hyperlink w:history="1" r:id="rIdl2cbnzwognupxewe77g-x">
        <w:r>
          <w:rPr>
            <w:rStyle w:val="Hyperlink"/>
            <w:rFonts w:ascii="Calibri" w:cs="Calibri" w:eastAsia="Calibri" w:hAnsi="Calibri"/>
            <w:sz w:val="22"/>
            <w:szCs w:val="22"/>
          </w:rPr>
          <w:t xml:space="preserve">10.5281/zenodo.19578916</w:t>
        </w:r>
      </w:hyperlink>
    </w:p>
    <w:p>
      <w:pPr>
        <w:spacing w:after="200"/>
        <w:jc w:val="center"/>
      </w:pPr>
      <w:r>
        <w:rPr>
          <w:rFonts w:ascii="Calibri" w:cs="Calibri" w:eastAsia="Calibri" w:hAnsi="Calibri"/>
          <w:sz w:val="22"/>
          <w:szCs w:val="22"/>
        </w:rPr>
        <w:t xml:space="preserve">App: </w:t>
      </w:r>
      <w:hyperlink w:history="1" r:id="rIdueya-qvgjqsidd0h9xjbo">
        <w:r>
          <w:rPr>
            <w:rStyle w:val="Hyperlink"/>
            <w:rFonts w:ascii="Calibri" w:cs="Calibri" w:eastAsia="Calibri" w:hAnsi="Calibri"/>
            <w:sz w:val="22"/>
            <w:szCs w:val="22"/>
          </w:rPr>
          <w:t xml:space="preserve">itea-framework.streamlit.app</w:t>
        </w:r>
      </w:hyperlink>
    </w:p>
    <w:p>
      <w:pPr>
        <w:spacing w:before="400"/>
        <w:jc w:val="center"/>
      </w:pPr>
      <w:r>
        <w:rPr>
          <w:rFonts w:ascii="Calibri" w:cs="Calibri" w:eastAsia="Calibri" w:hAnsi="Calibri"/>
          <w:i/>
          <w:iCs/>
          <w:sz w:val="22"/>
          <w:szCs w:val="22"/>
        </w:rPr>
        <w:t xml:space="preserve">29 de abril de 2026</w:t>
      </w:r>
    </w:p>
    <w:p>
      <w:r>
        <w:br w:type="page"/>
      </w:r>
    </w:p>
    <w:p>
      <w:pPr>
        <w:pStyle w:val="Heading1"/>
        <w:spacing w:after="200" w:before="320"/>
      </w:pPr>
      <w:r>
        <w:rPr>
          <w:rFonts w:ascii="Calibri" w:cs="Calibri" w:eastAsia="Calibri" w:hAnsi="Calibri"/>
          <w:b/>
          <w:bCs/>
          <w:color w:val="1F3864"/>
          <w:sz w:val="32"/>
          <w:szCs w:val="32"/>
        </w:rPr>
        <w:t xml:space="preserve">1. Resumen ejecutivo</w:t>
      </w:r>
    </w:p>
    <w:p>
      <w:pPr>
        <w:spacing w:after="120" w:line="280"/>
        <w:jc w:val="both"/>
      </w:pPr>
      <w:r>
        <w:rPr>
          <w:rFonts w:ascii="Calibri" w:cs="Calibri" w:eastAsia="Calibri" w:hAnsi="Calibri"/>
          <w:sz w:val="22"/>
          <w:szCs w:val="22"/>
        </w:rPr>
        <w:t xml:space="preserve">Este informe diagnostica el estado actual del Framework ITEA frente a los criterios editoriales de JOSS (Journal of Open Source Software) y JORS (Journal of Open Research Software), evalúa la coherencia entre el repositorio público, la app Streamlit, el DOI Zenodo y la metodología v2.0 desarrollada localmente, y propone un plan de mejoras priorizado para una resubmisión sólida.</w:t>
      </w:r>
    </w:p>
    <w:p>
      <w:pPr>
        <w:spacing w:after="120" w:line="280"/>
        <w:jc w:val="both"/>
      </w:pPr>
      <w:r>
        <w:rPr>
          <w:rFonts w:ascii="Calibri" w:cs="Calibri" w:eastAsia="Calibri" w:hAnsi="Calibri"/>
          <w:b/>
          <w:bCs/>
          <w:sz w:val="22"/>
          <w:szCs w:val="22"/>
        </w:rPr>
        <w:t xml:space="preserve">Hallazgo central. </w:t>
      </w:r>
      <w:r>
        <w:rPr>
          <w:rFonts w:ascii="Calibri" w:cs="Calibri" w:eastAsia="Calibri" w:hAnsi="Calibri"/>
          <w:sz w:val="22"/>
          <w:szCs w:val="22"/>
        </w:rPr>
        <w:t xml:space="preserve">El rechazo de JOSS por «falta de historial de desarrollo público» es estructuralmente correcto: el repositorio fue creado el 14 de abril de 2026 y no registra actividad desde el 15 de abril (7 commits en menos de 24 horas, 0 issues, 0 PRs, 0 releases, 0 contribuyentes externos). A esto se añaden cuatro problemas materiales que harían cualquier resubmisión vulnerable: directorios </w:t>
      </w:r>
      <w:r>
        <w:rPr>
          <w:rFonts w:ascii="Calibri" w:cs="Calibri" w:eastAsia="Calibri" w:hAnsi="Calibri"/>
          <w:b/>
          <w:bCs/>
          <w:sz w:val="22"/>
          <w:szCs w:val="22"/>
        </w:rPr>
        <w:t xml:space="preserve">data/processed/</w:t>
      </w:r>
      <w:r>
        <w:rPr>
          <w:rFonts w:ascii="Calibri" w:cs="Calibri" w:eastAsia="Calibri" w:hAnsi="Calibri"/>
          <w:sz w:val="22"/>
          <w:szCs w:val="22"/>
        </w:rPr>
        <w:t xml:space="preserve"> y </w:t>
      </w:r>
      <w:r>
        <w:rPr>
          <w:rFonts w:ascii="Calibri" w:cs="Calibri" w:eastAsia="Calibri" w:hAnsi="Calibri"/>
          <w:b/>
          <w:bCs/>
          <w:sz w:val="22"/>
          <w:szCs w:val="22"/>
        </w:rPr>
        <w:t xml:space="preserve">docs/</w:t>
      </w:r>
      <w:r>
        <w:rPr>
          <w:rFonts w:ascii="Calibri" w:cs="Calibri" w:eastAsia="Calibri" w:hAnsi="Calibri"/>
          <w:sz w:val="22"/>
          <w:szCs w:val="22"/>
        </w:rPr>
        <w:t xml:space="preserve"> vacíos en el repo (a pesar de estar referenciados en README y paper.md), ausencia total de tests automatizados (a pesar de afirmarlos en el paper), inexistencia de estructura de paquete instalable, y desalineación entre la versión publicada (v1.45) y la versión metodológica vigente en local (v2.0, con cambios estructurales no triviales).</w:t>
      </w:r>
    </w:p>
    <w:p>
      <w:pPr>
        <w:spacing w:after="120" w:line="280"/>
        <w:jc w:val="both"/>
      </w:pPr>
      <w:r>
        <w:rPr>
          <w:rFonts w:ascii="Calibri" w:cs="Calibri" w:eastAsia="Calibri" w:hAnsi="Calibri"/>
          <w:b/>
          <w:bCs/>
          <w:sz w:val="22"/>
          <w:szCs w:val="22"/>
        </w:rPr>
        <w:t xml:space="preserve">Estrategia recomendada (pista A). </w:t>
      </w:r>
      <w:r>
        <w:rPr>
          <w:rFonts w:ascii="Calibri" w:cs="Calibri" w:eastAsia="Calibri" w:hAnsi="Calibri"/>
          <w:sz w:val="22"/>
          <w:szCs w:val="22"/>
        </w:rPr>
        <w:t xml:space="preserve">Ejecutar el roadmap 6 meses de Mayo→Octubre 2026 con la versión </w:t>
      </w:r>
      <w:r>
        <w:rPr>
          <w:rFonts w:ascii="Calibri" w:cs="Calibri" w:eastAsia="Calibri" w:hAnsi="Calibri"/>
          <w:b/>
          <w:bCs/>
          <w:sz w:val="22"/>
          <w:szCs w:val="22"/>
        </w:rPr>
        <w:t xml:space="preserve">v2.0 como baseline</w:t>
      </w:r>
      <w:r>
        <w:rPr>
          <w:rFonts w:ascii="Calibri" w:cs="Calibri" w:eastAsia="Calibri" w:hAnsi="Calibri"/>
          <w:sz w:val="22"/>
          <w:szCs w:val="22"/>
        </w:rPr>
        <w:t xml:space="preserve">, no v1.45. La razón: v2.0 incorpora la reconceptualización IRO→IRA que resuelve un problema de validez discriminante diagnosticado en v1.45 (r=0,904 con GEE) y articula formalmente el AEI; mantener v1.45 durante seis meses para satisfacer la heurística de actividad de JOSS implicaría publicar refinamientos sobre una metodología que el propio autor ya considera superada.</w:t>
      </w:r>
    </w:p>
    <w:p>
      <w:pPr>
        <w:spacing w:after="120" w:line="280"/>
        <w:jc w:val="both"/>
      </w:pPr>
      <w:r>
        <w:rPr>
          <w:rFonts w:ascii="Calibri" w:cs="Calibri" w:eastAsia="Calibri" w:hAnsi="Calibri"/>
          <w:b/>
          <w:bCs/>
          <w:sz w:val="22"/>
          <w:szCs w:val="22"/>
        </w:rPr>
        <w:t xml:space="preserve">Versionado recomendado. </w:t>
      </w:r>
      <w:r>
        <w:rPr>
          <w:rFonts w:ascii="Calibri" w:cs="Calibri" w:eastAsia="Calibri" w:hAnsi="Calibri"/>
          <w:sz w:val="22"/>
          <w:szCs w:val="22"/>
        </w:rPr>
        <w:t xml:space="preserve">Subir el repo a </w:t>
      </w:r>
      <w:r>
        <w:rPr>
          <w:rFonts w:ascii="Calibri" w:cs="Calibri" w:eastAsia="Calibri" w:hAnsi="Calibri"/>
          <w:b/>
          <w:bCs/>
          <w:sz w:val="22"/>
          <w:szCs w:val="22"/>
        </w:rPr>
        <w:t xml:space="preserve">v2.0.0</w:t>
      </w:r>
      <w:r>
        <w:rPr>
          <w:rFonts w:ascii="Calibri" w:cs="Calibri" w:eastAsia="Calibri" w:hAnsi="Calibri"/>
          <w:sz w:val="22"/>
          <w:szCs w:val="22"/>
        </w:rPr>
        <w:t xml:space="preserve"> en mayo (Zenodo emite nuevo DOI; el de v1.45 queda como histórico), continuar con minor releases (2.1.0 tests + CI; 2.2.0 crosswalks SOC-CNO/ISCO; 2.3.0 datos O*NET 30.x; 2.4.0 paquetes R/Python instalables; 2.5.0 vignettes; 3.0.0 si la actualización a O*NET 30.x cambia las puntuaciones de manera no compatible).</w:t>
      </w:r>
    </w:p>
    <w:p>
      <w:pPr>
        <w:spacing w:after="120" w:line="280"/>
        <w:jc w:val="both"/>
      </w:pPr>
      <w:r>
        <w:rPr>
          <w:rFonts w:ascii="Calibri" w:cs="Calibri" w:eastAsia="Calibri" w:hAnsi="Calibri"/>
          <w:b/>
          <w:bCs/>
          <w:sz w:val="22"/>
          <w:szCs w:val="22"/>
        </w:rPr>
        <w:t xml:space="preserve">JOSS vs JORS. </w:t>
      </w:r>
      <w:r>
        <w:rPr>
          <w:rFonts w:ascii="Calibri" w:cs="Calibri" w:eastAsia="Calibri" w:hAnsi="Calibri"/>
          <w:sz w:val="22"/>
          <w:szCs w:val="22"/>
        </w:rPr>
        <w:t xml:space="preserve">Los dos circuitos no son excluyentes y se recomienda activarlos en serie: </w:t>
      </w:r>
      <w:r>
        <w:rPr>
          <w:rFonts w:ascii="Calibri" w:cs="Calibri" w:eastAsia="Calibri" w:hAnsi="Calibri"/>
          <w:b/>
          <w:bCs/>
          <w:sz w:val="22"/>
          <w:szCs w:val="22"/>
        </w:rPr>
        <w:t xml:space="preserve">JORS primero</w:t>
      </w:r>
      <w:r>
        <w:rPr>
          <w:rFonts w:ascii="Calibri" w:cs="Calibri" w:eastAsia="Calibri" w:hAnsi="Calibri"/>
          <w:sz w:val="22"/>
          <w:szCs w:val="22"/>
        </w:rPr>
        <w:t xml:space="preserve"> (el metapaper que ya tienes preparado encaja en su template de Software Metapapers y JORS no exige historial de desarrollo); </w:t>
      </w:r>
      <w:r>
        <w:rPr>
          <w:rFonts w:ascii="Calibri" w:cs="Calibri" w:eastAsia="Calibri" w:hAnsi="Calibri"/>
          <w:b/>
          <w:bCs/>
          <w:sz w:val="22"/>
          <w:szCs w:val="22"/>
        </w:rPr>
        <w:t xml:space="preserve">JOSS después</w:t>
      </w:r>
      <w:r>
        <w:rPr>
          <w:rFonts w:ascii="Calibri" w:cs="Calibri" w:eastAsia="Calibri" w:hAnsi="Calibri"/>
          <w:sz w:val="22"/>
          <w:szCs w:val="22"/>
        </w:rPr>
        <w:t xml:space="preserve">, con seis meses de actividad consolidada y la metodología v2.0 estable. El riesgo de doble publicación se gestiona positionando los dos artefactos de manera distinta: JORS describe la metodología y los datos, JOSS describe el software (paquetes R y Python, tests, dashboard).</w:t>
      </w:r>
    </w:p>
    <w:p>
      <w:pPr>
        <w:spacing w:after="120" w:line="280"/>
        <w:jc w:val="both"/>
      </w:pPr>
      <w:r>
        <w:rPr>
          <w:rFonts w:ascii="Calibri" w:cs="Calibri" w:eastAsia="Calibri" w:hAnsi="Calibri"/>
          <w:b/>
          <w:bCs/>
          <w:sz w:val="22"/>
          <w:szCs w:val="22"/>
        </w:rPr>
        <w:t xml:space="preserve">O*NET 30.2 (confirmado). </w:t>
      </w:r>
      <w:r>
        <w:rPr>
          <w:rFonts w:ascii="Calibri" w:cs="Calibri" w:eastAsia="Calibri" w:hAnsi="Calibri"/>
          <w:sz w:val="22"/>
          <w:szCs w:val="22"/>
        </w:rPr>
        <w:t xml:space="preserve">La actualización objetivo es la release 30.2 del O*NET Resource Center (la primera muestra de .txt subidos, con fechas hasta 12/2025, parece corresponder a 29.3; los ficheros 30.2 los aportará el autor en el siguiente lote). El salto desde la 29.1 publicada implica refrescar las puntuaciones de Abilities, Skills, Knowledge, Work Styles, Work Context, Tasks y Education-Experience, y recalcular los 8 indicadores. Hay que documentar la cita oficial en el paper y alinear los badges del README.</w:t>
      </w:r>
    </w:p>
    <w:p>
      <w:r>
        <w:br w:type="page"/>
      </w:r>
    </w:p>
    <w:p>
      <w:pPr>
        <w:pStyle w:val="Heading1"/>
        <w:spacing w:after="200" w:before="320"/>
      </w:pPr>
      <w:r>
        <w:rPr>
          <w:rFonts w:ascii="Calibri" w:cs="Calibri" w:eastAsia="Calibri" w:hAnsi="Calibri"/>
          <w:b/>
          <w:bCs/>
          <w:color w:val="1F3864"/>
          <w:sz w:val="32"/>
          <w:szCs w:val="32"/>
        </w:rPr>
        <w:t xml:space="preserve">2. Estado actual del proyecto</w:t>
      </w:r>
    </w:p>
    <w:p>
      <w:pPr>
        <w:pStyle w:val="Heading2"/>
        <w:spacing w:after="140" w:before="240"/>
      </w:pPr>
      <w:r>
        <w:rPr>
          <w:rFonts w:ascii="Calibri" w:cs="Calibri" w:eastAsia="Calibri" w:hAnsi="Calibri"/>
          <w:b/>
          <w:bCs/>
          <w:color w:val="2E74B5"/>
          <w:sz w:val="26"/>
          <w:szCs w:val="26"/>
        </w:rPr>
        <w:t xml:space="preserve">2.1 Inventario de artefactos</w:t>
      </w:r>
    </w:p>
    <w:p>
      <w:pPr>
        <w:spacing w:after="120" w:line="280"/>
        <w:jc w:val="both"/>
      </w:pPr>
      <w:r>
        <w:rPr>
          <w:rFonts w:ascii="Calibri" w:cs="Calibri" w:eastAsia="Calibri" w:hAnsi="Calibri"/>
          <w:sz w:val="22"/>
          <w:szCs w:val="22"/>
        </w:rPr>
        <w:t xml:space="preserve">La siguiente tabla resume los activos actuales del framework, su ubicación y la versión efectiva publicada o disponible en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480"/>
        <w:gridCol w:w="2280"/>
      </w:tblGrid>
      <w:tr>
        <w:tc>
          <w:tcPr>
            <w:tcW w:type="dxa" w:w="24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Artefacto</w:t>
            </w:r>
          </w:p>
        </w:tc>
        <w:tc>
          <w:tcPr>
            <w:tcW w:type="dxa" w:w="3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Ubicación</w:t>
            </w:r>
          </w:p>
        </w:tc>
        <w:tc>
          <w:tcPr>
            <w:tcW w:type="dxa" w:w="148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Versión</w:t>
            </w:r>
          </w:p>
        </w:tc>
        <w:tc>
          <w:tcPr>
            <w:tcW w:type="dxa" w:w="228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Estado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Repositorio código</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github.com/Aval22/ITEA</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v1.45</w:t>
            </w:r>
          </w:p>
        </w:tc>
        <w:tc>
          <w:tcPr>
            <w:tcW w:type="dxa" w:w="228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Público, MIT, sin actividad</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Archivo Zenodo</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doi.org/10.5281/zenodo.19578916</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v1.45</w:t>
            </w:r>
          </w:p>
        </w:tc>
        <w:tc>
          <w:tcPr>
            <w:tcW w:type="dxa" w:w="228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Citable</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Dashboard interactivo</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itea-framework.streamlit.app</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v1.45</w:t>
            </w:r>
          </w:p>
        </w:tc>
        <w:tc>
          <w:tcPr>
            <w:tcW w:type="dxa" w:w="228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Operativo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Metodología</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ITEA_Metodologia_v2_0.docx (local)</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v2.0</w:t>
            </w:r>
          </w:p>
        </w:tc>
        <w:tc>
          <w:tcPr>
            <w:tcW w:type="dxa" w:w="228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No subida al repo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Workbook datos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Research_Data_Workbook_ITEA_v2_0.xlsx (local)</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v2.0</w:t>
            </w:r>
          </w:p>
        </w:tc>
        <w:tc>
          <w:tcPr>
            <w:tcW w:type="dxa" w:w="228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No subida al repo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AEI Unified Analysis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3.8_AEI_Unified_Analysis_ES_2026.xlsx (local)</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v3.8</w:t>
            </w:r>
          </w:p>
        </w:tc>
        <w:tc>
          <w:tcPr>
            <w:tcW w:type="dxa" w:w="228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Base de 47.811 tareas</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Datos O*NET nuevos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17 .txt en uploads</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Probable 29.3/30.0</w:t>
            </w:r>
          </w:p>
        </w:tc>
        <w:tc>
          <w:tcPr>
            <w:tcW w:type="dxa" w:w="228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Pendientes de integración</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Metapaper JORS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JORS_ITEA_Metapaper.md (local)</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v1.45</w:t>
            </w:r>
          </w:p>
        </w:tc>
        <w:tc>
          <w:tcPr>
            <w:tcW w:type="dxa" w:w="228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Borrador completo</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Paper JOSS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paper/paper.md en repo</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v1.45</w:t>
            </w:r>
          </w:p>
        </w:tc>
        <w:tc>
          <w:tcPr>
            <w:tcW w:type="dxa" w:w="228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Reescritura necesaria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Roadmap 6 meses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ITEA_Development_Roadmap.md (local)</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Apunta a v1.50</w:t>
            </w:r>
          </w:p>
        </w:tc>
        <w:tc>
          <w:tcPr>
            <w:tcW w:type="dxa" w:w="228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Desactualizado vs. v2.0</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Estrategia difusión</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ITEA_Dissemination_Strategy.md (local)</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Versión 2026-04</w:t>
            </w:r>
          </w:p>
        </w:tc>
        <w:tc>
          <w:tcPr>
            <w:tcW w:type="dxa" w:w="228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Bien estructurada</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Directorio investigadores</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ITEA_v1_2_Researcher_Directory_NEW_80.xlsx</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80 contactos</w:t>
            </w:r>
          </w:p>
        </w:tc>
        <w:tc>
          <w:tcPr>
            <w:tcW w:type="dxa" w:w="228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Listo para outreach</w:t>
            </w:r>
          </w:p>
        </w:tc>
      </w:tr>
      <w:tr>
        <w:tc>
          <w:tcPr>
            <w:tcW w:type="dxa" w:w="24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CRM outreach</w:t>
            </w:r>
          </w:p>
        </w:tc>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v3.11 ITEA_CRM_v1_1_format.xlsx</w:t>
            </w:r>
          </w:p>
        </w:tc>
        <w:tc>
          <w:tcPr>
            <w:tcW w:type="dxa" w:w="148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v3.11</w:t>
            </w:r>
          </w:p>
        </w:tc>
        <w:tc>
          <w:tcPr>
            <w:tcW w:type="dxa" w:w="228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Listo para activación</w:t>
            </w:r>
          </w:p>
        </w:tc>
      </w:tr>
    </w:tbl>
    <w:p>
      <w:pPr>
        <w:spacing w:after="120" w:line="280"/>
        <w:jc w:val="both"/>
      </w:pPr>
      <w:r>
        <w:rPr>
          <w:rFonts w:ascii="Calibri" w:cs="Calibri" w:eastAsia="Calibri" w:hAnsi="Calibri"/>
          <w:sz w:val="22"/>
          <w:szCs w:val="22"/>
        </w:rPr>
        <w:t xml:space="preserve"/>
      </w:r>
    </w:p>
    <w:p>
      <w:pPr>
        <w:pStyle w:val="Heading2"/>
        <w:spacing w:after="140" w:before="240"/>
      </w:pPr>
      <w:r>
        <w:rPr>
          <w:rFonts w:ascii="Calibri" w:cs="Calibri" w:eastAsia="Calibri" w:hAnsi="Calibri"/>
          <w:b/>
          <w:bCs/>
          <w:color w:val="2E74B5"/>
          <w:sz w:val="26"/>
          <w:szCs w:val="26"/>
        </w:rPr>
        <w:t xml:space="preserve">2.2 Diagnóstico del repositorio público</w:t>
      </w:r>
    </w:p>
    <w:p>
      <w:pPr>
        <w:spacing w:after="120" w:line="280"/>
        <w:jc w:val="both"/>
      </w:pPr>
      <w:r>
        <w:rPr>
          <w:rFonts w:ascii="Calibri" w:cs="Calibri" w:eastAsia="Calibri" w:hAnsi="Calibri"/>
          <w:sz w:val="22"/>
          <w:szCs w:val="22"/>
        </w:rPr>
        <w:t xml:space="preserve">La inspección del repo </w:t>
      </w:r>
      <w:r>
        <w:rPr>
          <w:rFonts w:ascii="Calibri" w:cs="Calibri" w:eastAsia="Calibri" w:hAnsi="Calibri"/>
          <w:b/>
          <w:bCs/>
          <w:sz w:val="22"/>
          <w:szCs w:val="22"/>
        </w:rPr>
        <w:t xml:space="preserve">Aval22/ITEA</w:t>
      </w:r>
      <w:r>
        <w:rPr>
          <w:rFonts w:ascii="Calibri" w:cs="Calibri" w:eastAsia="Calibri" w:hAnsi="Calibri"/>
          <w:sz w:val="22"/>
          <w:szCs w:val="22"/>
        </w:rPr>
        <w:t xml:space="preserve"> arroja los siguientes datos verificables a 29 de abril de 2026:</w:t>
      </w:r>
    </w:p>
    <w:p>
      <w:pPr>
        <w:pStyle w:val="ListParagraph"/>
        <w:numPr>
          <w:ilvl w:val="0"/>
          <w:numId w:val="2"/>
        </w:numPr>
        <w:spacing w:after="80" w:line="280"/>
      </w:pPr>
      <w:r>
        <w:rPr>
          <w:rFonts w:ascii="Calibri" w:cs="Calibri" w:eastAsia="Calibri" w:hAnsi="Calibri"/>
          <w:sz w:val="22"/>
          <w:szCs w:val="22"/>
        </w:rPr>
        <w:t xml:space="preserve">Creado el 14/04/2026 a las 16:59 UTC; último push 15/04/2026 a las 08:04 UTC. Catorce días sin actividad.</w:t>
      </w:r>
    </w:p>
    <w:p>
      <w:pPr>
        <w:pStyle w:val="ListParagraph"/>
        <w:numPr>
          <w:ilvl w:val="0"/>
          <w:numId w:val="2"/>
        </w:numPr>
        <w:spacing w:after="80" w:line="280"/>
      </w:pPr>
      <w:r>
        <w:rPr>
          <w:rFonts w:ascii="Calibri" w:cs="Calibri" w:eastAsia="Calibri" w:hAnsi="Calibri"/>
          <w:sz w:val="22"/>
          <w:szCs w:val="22"/>
        </w:rPr>
        <w:t xml:space="preserve">Total de commits: 7. Issues abiertos o cerrados: 0. Pull requests: 0. Releases (tags): 0. Stars: 0. Forks: 0. Contribuyentes externos: 0.</w:t>
      </w:r>
    </w:p>
    <w:p>
      <w:pPr>
        <w:pStyle w:val="ListParagraph"/>
        <w:numPr>
          <w:ilvl w:val="0"/>
          <w:numId w:val="2"/>
        </w:numPr>
        <w:spacing w:after="80" w:line="280"/>
      </w:pPr>
      <w:r>
        <w:rPr>
          <w:rFonts w:ascii="Calibri" w:cs="Calibri" w:eastAsia="Calibri" w:hAnsi="Calibri"/>
          <w:sz w:val="22"/>
          <w:szCs w:val="22"/>
        </w:rPr>
        <w:t xml:space="preserve">La aparente sincronía con la fecha del DOI Zenodo (14/04/2026) sugiere que el repo se creó como artefacto de envío más que como infraestructura de desarrollo activo. Es exactamente la señal que JOSS interpreta como riesgo editorial.</w:t>
      </w:r>
    </w:p>
    <w:p>
      <w:pPr>
        <w:pStyle w:val="ListParagraph"/>
        <w:numPr>
          <w:ilvl w:val="0"/>
          <w:numId w:val="2"/>
        </w:numPr>
        <w:spacing w:after="80" w:line="280"/>
      </w:pPr>
      <w:r>
        <w:rPr>
          <w:rFonts w:ascii="Calibri" w:cs="Calibri" w:eastAsia="Calibri" w:hAnsi="Calibri"/>
          <w:sz w:val="22"/>
          <w:szCs w:val="22"/>
        </w:rPr>
        <w:t xml:space="preserve">Estructura de directorios visible: code/, data/, docs/, figures/, paper/, streamlit_app/, más README en EN/ES/PT/ZH, CITATION.cff, LICENSE (MIT).</w:t>
      </w:r>
    </w:p>
    <w:p>
      <w:pPr>
        <w:pStyle w:val="ListParagraph"/>
        <w:numPr>
          <w:ilvl w:val="0"/>
          <w:numId w:val="2"/>
        </w:numPr>
        <w:spacing w:after="80" w:line="280"/>
      </w:pPr>
      <w:r>
        <w:rPr>
          <w:rFonts w:ascii="Calibri" w:cs="Calibri" w:eastAsia="Calibri" w:hAnsi="Calibri"/>
          <w:sz w:val="22"/>
          <w:szCs w:val="22"/>
        </w:rPr>
        <w:t xml:space="preserve">Realidad detrás de la estructura: docs/methodology/, docs/guides/, docs/analysis/, docs/papers/, docs/collaboration/ y data/processed/ son carpetas vacías. El README anuncia archivos (ITEA_Metodologia_v1_45.docx, Research_Data_Workbook_ITEA_v1.35.xlsx, Paper_02_*) que no existen en el repo.</w:t>
      </w:r>
    </w:p>
    <w:p>
      <w:pPr>
        <w:pStyle w:val="ListParagraph"/>
        <w:numPr>
          <w:ilvl w:val="0"/>
          <w:numId w:val="2"/>
        </w:numPr>
        <w:spacing w:after="80" w:line="280"/>
      </w:pPr>
      <w:r>
        <w:rPr>
          <w:rFonts w:ascii="Calibri" w:cs="Calibri" w:eastAsia="Calibri" w:hAnsi="Calibri"/>
          <w:sz w:val="22"/>
          <w:szCs w:val="22"/>
        </w:rPr>
        <w:t xml:space="preserve">code/Python/ contiene un único fichero (itea_functions_v1_45.py, 4 KB).</w:t>
      </w:r>
    </w:p>
    <w:p>
      <w:pPr>
        <w:pStyle w:val="ListParagraph"/>
        <w:numPr>
          <w:ilvl w:val="0"/>
          <w:numId w:val="2"/>
        </w:numPr>
        <w:spacing w:after="80" w:line="280"/>
      </w:pPr>
      <w:r>
        <w:rPr>
          <w:rFonts w:ascii="Calibri" w:cs="Calibri" w:eastAsia="Calibri" w:hAnsi="Calibri"/>
          <w:sz w:val="22"/>
          <w:szCs w:val="22"/>
        </w:rPr>
        <w:t xml:space="preserve">code/R/ contiene un único fichero (itea_functions_v1.45.R, 3,4 KB).</w:t>
      </w:r>
    </w:p>
    <w:p>
      <w:pPr>
        <w:pStyle w:val="ListParagraph"/>
        <w:numPr>
          <w:ilvl w:val="0"/>
          <w:numId w:val="2"/>
        </w:numPr>
        <w:spacing w:after="80" w:line="280"/>
      </w:pPr>
      <w:r>
        <w:rPr>
          <w:rFonts w:ascii="Calibri" w:cs="Calibri" w:eastAsia="Calibri" w:hAnsi="Calibri"/>
          <w:sz w:val="22"/>
          <w:szCs w:val="22"/>
        </w:rPr>
        <w:t xml:space="preserve">No existe directorio tests/, ni tests/test_R_indicators.R, ni tests/test_python_indicators.py. El paper.md afirma «automated tests verifying cross-language consistency to six decimal places» — afirmación no soportada por el contenido del repo.</w:t>
      </w:r>
    </w:p>
    <w:p>
      <w:pPr>
        <w:pStyle w:val="ListParagraph"/>
        <w:numPr>
          <w:ilvl w:val="0"/>
          <w:numId w:val="2"/>
        </w:numPr>
        <w:spacing w:after="80" w:line="280"/>
      </w:pPr>
      <w:r>
        <w:rPr>
          <w:rFonts w:ascii="Calibri" w:cs="Calibri" w:eastAsia="Calibri" w:hAnsi="Calibri"/>
          <w:sz w:val="22"/>
          <w:szCs w:val="22"/>
        </w:rPr>
        <w:t xml:space="preserve">No existe .github/workflows/ (sin CI). No hay README dedicado de tests, ni badges activos. El badge «O*NET 2024 v29.1» del README es estático, no comprueba nada.</w:t>
      </w:r>
    </w:p>
    <w:p>
      <w:pPr>
        <w:pStyle w:val="ListParagraph"/>
        <w:numPr>
          <w:ilvl w:val="0"/>
          <w:numId w:val="2"/>
        </w:numPr>
        <w:spacing w:after="80" w:line="280"/>
      </w:pPr>
      <w:r>
        <w:rPr>
          <w:rFonts w:ascii="Calibri" w:cs="Calibri" w:eastAsia="Calibri" w:hAnsi="Calibri"/>
          <w:sz w:val="22"/>
          <w:szCs w:val="22"/>
        </w:rPr>
        <w:t xml:space="preserve">No hay setup.py, pyproject.toml ni DESCRIPTION/NAMESPACE — el código no está estructurado como paquete instalable; se distribuye como scripts sueltos.</w:t>
      </w:r>
    </w:p>
    <w:p>
      <w:pPr>
        <w:pStyle w:val="ListParagraph"/>
        <w:numPr>
          <w:ilvl w:val="0"/>
          <w:numId w:val="2"/>
        </w:numPr>
        <w:spacing w:after="80" w:line="280"/>
      </w:pPr>
      <w:r>
        <w:rPr>
          <w:rFonts w:ascii="Calibri" w:cs="Calibri" w:eastAsia="Calibri" w:hAnsi="Calibri"/>
          <w:sz w:val="22"/>
          <w:szCs w:val="22"/>
        </w:rPr>
        <w:t xml:space="preserve">No hay CONTRIBUTING.md, CODE_OF_CONDUCT.md ni issue templates — JOSS los exige para evaluar la madurez de la apertura comunitaria.</w:t>
      </w:r>
    </w:p>
    <w:p>
      <w:pPr>
        <w:pStyle w:val="ListParagraph"/>
        <w:numPr>
          <w:ilvl w:val="0"/>
          <w:numId w:val="2"/>
        </w:numPr>
        <w:spacing w:after="80" w:line="280"/>
      </w:pPr>
      <w:r>
        <w:rPr>
          <w:rFonts w:ascii="Calibri" w:cs="Calibri" w:eastAsia="Calibri" w:hAnsi="Calibri"/>
          <w:sz w:val="22"/>
          <w:szCs w:val="22"/>
        </w:rPr>
        <w:t xml:space="preserve">La sección «Version History» del README incluye una fila con fecha 2026-10 para v1.45, lo que parece un typo: la fecha real (Zenodo) es 2026-04-14.</w:t>
      </w:r>
    </w:p>
    <w:p>
      <w:pPr>
        <w:pStyle w:val="ListParagraph"/>
        <w:numPr>
          <w:ilvl w:val="0"/>
          <w:numId w:val="2"/>
        </w:numPr>
        <w:spacing w:after="80" w:line="280"/>
      </w:pPr>
      <w:r>
        <w:rPr>
          <w:rFonts w:ascii="Calibri" w:cs="Calibri" w:eastAsia="Calibri" w:hAnsi="Calibri"/>
          <w:sz w:val="22"/>
          <w:szCs w:val="22"/>
        </w:rPr>
        <w:t xml:space="preserve">La sección «Contact» del README dice «[Email pending] · [ORCID pending]», cuando ambos son conocidos (alb.valencia@gmail.com y 0009-0003-1438-1633).</w:t>
      </w:r>
    </w:p>
    <w:p>
      <w:pPr>
        <w:spacing w:after="120" w:line="280"/>
        <w:jc w:val="both"/>
      </w:pPr>
      <w:r>
        <w:rPr>
          <w:rFonts w:ascii="Calibri" w:cs="Calibri" w:eastAsia="Calibri" w:hAnsi="Calibri"/>
          <w:sz w:val="22"/>
          <w:szCs w:val="22"/>
        </w:rPr>
        <w:t xml:space="preserve"/>
      </w:r>
    </w:p>
    <w:p>
      <w:pPr>
        <w:pStyle w:val="Heading2"/>
        <w:spacing w:after="140" w:before="240"/>
      </w:pPr>
      <w:r>
        <w:rPr>
          <w:rFonts w:ascii="Calibri" w:cs="Calibri" w:eastAsia="Calibri" w:hAnsi="Calibri"/>
          <w:b/>
          <w:bCs/>
          <w:color w:val="2E74B5"/>
          <w:sz w:val="26"/>
          <w:szCs w:val="26"/>
        </w:rPr>
        <w:t xml:space="preserve">2.3 Diagnóstico de coherencia documental</w:t>
      </w:r>
    </w:p>
    <w:p>
      <w:pPr>
        <w:spacing w:after="120" w:line="280"/>
        <w:jc w:val="both"/>
      </w:pPr>
      <w:r>
        <w:rPr>
          <w:rFonts w:ascii="Calibri" w:cs="Calibri" w:eastAsia="Calibri" w:hAnsi="Calibri"/>
          <w:sz w:val="22"/>
          <w:szCs w:val="22"/>
        </w:rPr>
        <w:t xml:space="preserve">Cruzando los archivos locales con lo que hay en el repo aparecen tres incoherencias estructurales:</w:t>
      </w:r>
    </w:p>
    <w:p>
      <w:pPr>
        <w:spacing w:after="120" w:line="280"/>
        <w:jc w:val="both"/>
      </w:pPr>
      <w:r>
        <w:rPr>
          <w:rFonts w:ascii="Calibri" w:cs="Calibri" w:eastAsia="Calibri" w:hAnsi="Calibri"/>
          <w:b/>
          <w:bCs/>
          <w:sz w:val="22"/>
          <w:szCs w:val="22"/>
        </w:rPr>
        <w:t xml:space="preserve">Incoherencia 1 — JOSS vs JORS. </w:t>
      </w:r>
      <w:r>
        <w:rPr>
          <w:rFonts w:ascii="Calibri" w:cs="Calibri" w:eastAsia="Calibri" w:hAnsi="Calibri"/>
          <w:sz w:val="22"/>
          <w:szCs w:val="22"/>
        </w:rPr>
        <w:t xml:space="preserve">El roadmap apunta explícitamente a una resubmisión a JOSS, pero el metapaper local sigue la plantilla de JORS (Overview, Availability, Reuse Potential), mientras que el paper.md del repo sigue la plantilla de JOSS (Summary, Statement of Need, State of the Field, Software Design). Coexisten dos esquemas para dos revistas que evalúan cosas distintas. Esto puede ser una decisión deliberada (publicación en serie) o una confusión que ahorrará tiempo aclarar antes de invertir esfuerzo en cualquiera de los dos.</w:t>
      </w:r>
    </w:p>
    <w:p>
      <w:pPr>
        <w:spacing w:after="120" w:line="280"/>
        <w:jc w:val="both"/>
      </w:pPr>
      <w:r>
        <w:rPr>
          <w:rFonts w:ascii="Calibri" w:cs="Calibri" w:eastAsia="Calibri" w:hAnsi="Calibri"/>
          <w:b/>
          <w:bCs/>
          <w:sz w:val="22"/>
          <w:szCs w:val="22"/>
        </w:rPr>
        <w:t xml:space="preserve">Incoherencia 2 — v1.45 vs v2.0. </w:t>
      </w:r>
      <w:r>
        <w:rPr>
          <w:rFonts w:ascii="Calibri" w:cs="Calibri" w:eastAsia="Calibri" w:hAnsi="Calibri"/>
          <w:sz w:val="22"/>
          <w:szCs w:val="22"/>
        </w:rPr>
        <w:t xml:space="preserve">Toda la documentación pública (README, paper.md, Zenodo) describe v1.45 con su IRO; la metodología local v2.0 ha reemplazado el IRO por el IRA (Índice de Resiliencia Adaptativa) tras detectar colinealidad estructural con GEE (r=0,904). El cambio invalida cualquier interpretación pública del IRO actual y debería propagarse a todo el material visible.</w:t>
      </w:r>
    </w:p>
    <w:p>
      <w:pPr>
        <w:spacing w:after="120" w:line="280"/>
        <w:jc w:val="both"/>
      </w:pPr>
      <w:r>
        <w:rPr>
          <w:rFonts w:ascii="Calibri" w:cs="Calibri" w:eastAsia="Calibri" w:hAnsi="Calibri"/>
          <w:b/>
          <w:bCs/>
          <w:sz w:val="22"/>
          <w:szCs w:val="22"/>
        </w:rPr>
        <w:t xml:space="preserve">Incoherencia 3 — Datos referenciados que no existen. </w:t>
      </w:r>
      <w:r>
        <w:rPr>
          <w:rFonts w:ascii="Calibri" w:cs="Calibri" w:eastAsia="Calibri" w:hAnsi="Calibri"/>
          <w:sz w:val="22"/>
          <w:szCs w:val="22"/>
        </w:rPr>
        <w:t xml:space="preserve">README y paper.md citan Research_Data_Workbook_ITEA_v1.35.xlsx en data/processed/; el directorio está vacío. La única forma de que la app Streamlit funcione es a través de streamlit_app/itea_data.csv (212 KB, sí presente), pero un usuario que clone el repo y siga las instrucciones del Quick Start fallará al ejecutar el código de ejemplo en R o en Python. Reproducibilidad rota.</w:t>
      </w:r>
    </w:p>
    <w:p>
      <w:r>
        <w:br w:type="page"/>
      </w:r>
    </w:p>
    <w:p>
      <w:pPr>
        <w:pStyle w:val="Heading1"/>
        <w:spacing w:after="200" w:before="320"/>
      </w:pPr>
      <w:r>
        <w:rPr>
          <w:rFonts w:ascii="Calibri" w:cs="Calibri" w:eastAsia="Calibri" w:hAnsi="Calibri"/>
          <w:b/>
          <w:bCs/>
          <w:color w:val="1F3864"/>
          <w:sz w:val="32"/>
          <w:szCs w:val="32"/>
        </w:rPr>
        <w:t xml:space="preserve">3. Cambios v1.45 → v2.0 (changelog leído de la metodología local)</w:t>
      </w:r>
    </w:p>
    <w:p>
      <w:pPr>
        <w:spacing w:after="120" w:line="280"/>
        <w:jc w:val="both"/>
      </w:pPr>
      <w:r>
        <w:rPr>
          <w:rFonts w:ascii="Calibri" w:cs="Calibri" w:eastAsia="Calibri" w:hAnsi="Calibri"/>
          <w:sz w:val="22"/>
          <w:szCs w:val="22"/>
        </w:rPr>
        <w:t xml:space="preserve">La metodología v2.0 articula tres cambios estructurales mayores y varios refinamientos menores. La siguiente tabla los presenta agrupados por carácter (estructural / cosmético / de datos), con la implicación práctica para versionado y para el usuario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c>
          <w:tcPr>
            <w:tcW w:type="dxa" w:w="2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Cambio</w:t>
            </w:r>
          </w:p>
        </w:tc>
        <w:tc>
          <w:tcPr>
            <w:tcW w:type="dxa" w:w="17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Naturaleza</w:t>
            </w:r>
          </w:p>
        </w:tc>
        <w:tc>
          <w:tcPr>
            <w:tcW w:type="dxa" w:w="49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Implicación práctica</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IRO → IRA v2.0 (Resiliencia Adaptativa)</w:t>
            </w:r>
          </w:p>
        </w:tc>
        <w:tc>
          <w:tcPr>
            <w:tcW w:type="dxa" w:w="17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Estructural · breaking</w:t>
            </w:r>
          </w:p>
        </w:tc>
        <w:tc>
          <w:tcPr>
            <w:tcW w:type="dxa" w:w="4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La fórmula cambia: IRA = 0,60·CA_norm + 0,40·IRO_residual_norm. Los valores numéricos por ocupación cambian. El nombre del indicador cambia. Cualquier paper que cite IRO v1.45 deja de mapear directamente al nuevo dato.</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AEI articulado en el framework</w:t>
            </w:r>
          </w:p>
        </w:tc>
        <w:tc>
          <w:tcPr>
            <w:tcW w:type="dxa" w:w="17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Aditivo · estructural</w:t>
            </w:r>
          </w:p>
        </w:tc>
        <w:tc>
          <w:tcPr>
            <w:tcW w:type="dxa" w:w="4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La AEI deja de ser un criterio externo de validez convergente y pasa a ser un capítulo formal de la metodología (capítulo 12). No rompe nada, pero amplía la superficie metodológica que hay que sostener empíricamente.</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OAEI v2.0 reescalado a [1, 100]</w:t>
            </w:r>
          </w:p>
        </w:tc>
        <w:tc>
          <w:tcPr>
            <w:tcW w:type="dxa" w:w="17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Cosmético-funcional</w:t>
            </w:r>
          </w:p>
        </w:tc>
        <w:tc>
          <w:tcPr>
            <w:tcW w:type="dxa" w:w="4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La estructura multiplicativa se mantiene; cambia la escala interpretable (min-max). Los valores numéricos cambian, pero los rankings entre ocupaciones no. Recalibrar visualizaciones.</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N efectivo: 846 ocupaciones</w:t>
            </w:r>
          </w:p>
        </w:tc>
        <w:tc>
          <w:tcPr>
            <w:tcW w:type="dxa" w:w="17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De datos · documentación</w:t>
            </w:r>
          </w:p>
        </w:tc>
        <w:tc>
          <w:tcPr>
            <w:tcW w:type="dxa" w:w="4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Frente a 1.016 publicadas, la intersección de las cuatro fuentes con datos completos es 846 (OAEI) / 879 (validez con salarios) / 923 (validez convergente AEI). Hay que dejarlo claro en el README y el paper para evitar la sospecha de cherry-picking.</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Cuadrante GEE × IRA: hallazgo nuevo</w:t>
            </w:r>
          </w:p>
        </w:tc>
        <w:tc>
          <w:tcPr>
            <w:tcW w:type="dxa" w:w="170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Sustantivo · investigación</w:t>
            </w:r>
          </w:p>
        </w:tc>
        <w:tc>
          <w:tcPr>
            <w:tcW w:type="dxa" w:w="4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Q1 (alto GEE × alto IRA) presenta el OAEI medio más alto (61,52), invirtiendo la predicción de Insider-Outsider. Es uno de los hallazgos más vendibles del paper de aplicación.</w:t>
            </w:r>
          </w:p>
        </w:tc>
      </w:tr>
      <w:tr>
        <w:tc>
          <w:tcPr>
            <w:tcW w:type="dxa" w:w="27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Indicadores no afectados</w:t>
            </w:r>
          </w:p>
        </w:tc>
        <w:tc>
          <w:tcPr>
            <w:tcW w:type="dxa" w:w="1700"/>
            <w:tcBorders>
              <w:top w:val="single" w:color="BFBFBF" w:sz="6"/>
              <w:left w:val="single" w:color="BFBFBF" w:sz="6"/>
              <w:bottom w:val="single" w:color="BFBFBF" w:sz="6"/>
              <w:right w:val="single" w:color="BFBFBF" w:sz="6"/>
            </w:tcBorders>
            <w:shd w:fill="DDDDD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w:t>
            </w:r>
          </w:p>
        </w:tc>
        <w:tc>
          <w:tcPr>
            <w:tcW w:type="dxa" w:w="49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ITEA, ICT, IFS, IPI, IEF, GEE, IMO mantienen su definición y validación. Sus α de Cronbach y VIF previos siguen vigentes.</w:t>
            </w:r>
          </w:p>
        </w:tc>
      </w:tr>
    </w:tbl>
    <w:p>
      <w:pPr>
        <w:spacing w:after="120" w:line="280"/>
        <w:jc w:val="both"/>
      </w:pPr>
      <w:r>
        <w:rPr>
          <w:rFonts w:ascii="Calibri" w:cs="Calibri" w:eastAsia="Calibri" w:hAnsi="Calibri"/>
          <w:sz w:val="22"/>
          <w:szCs w:val="22"/>
        </w:rPr>
        <w:t xml:space="preserve"/>
      </w:r>
    </w:p>
    <w:p>
      <w:pPr>
        <w:spacing w:after="120" w:line="280"/>
        <w:jc w:val="both"/>
      </w:pPr>
      <w:r>
        <w:rPr>
          <w:rFonts w:ascii="Calibri" w:cs="Calibri" w:eastAsia="Calibri" w:hAnsi="Calibri"/>
          <w:b/>
          <w:bCs/>
          <w:sz w:val="22"/>
          <w:szCs w:val="22"/>
        </w:rPr>
        <w:t xml:space="preserve">Lectura semántica para el versionado. </w:t>
      </w:r>
      <w:r>
        <w:rPr>
          <w:rFonts w:ascii="Calibri" w:cs="Calibri" w:eastAsia="Calibri" w:hAnsi="Calibri"/>
          <w:sz w:val="22"/>
          <w:szCs w:val="22"/>
        </w:rPr>
        <w:t xml:space="preserve">Bajo SemVer estricto, IRO→IRA es un cambio incompatible (downstream que use el campo IRO esperando la fórmula vieja se rompe), por lo que justifica un bump mayor. La opción más limpia es publicar v2.0.0 ahora con changelog explícito, mantener v1.45.x accesible vía tag para reproducibilidad histórica, y reservar v3.0.0 para el momento en que los datos cambien de release O*NET.</w:t>
      </w:r>
    </w:p>
    <w:p>
      <w:r>
        <w:br w:type="page"/>
      </w:r>
    </w:p>
    <w:p>
      <w:pPr>
        <w:pStyle w:val="Heading1"/>
        <w:spacing w:after="200" w:before="320"/>
      </w:pPr>
      <w:r>
        <w:rPr>
          <w:rFonts w:ascii="Calibri" w:cs="Calibri" w:eastAsia="Calibri" w:hAnsi="Calibri"/>
          <w:b/>
          <w:bCs/>
          <w:color w:val="1F3864"/>
          <w:sz w:val="32"/>
          <w:szCs w:val="32"/>
        </w:rPr>
        <w:t xml:space="preserve">4. Actualización de datos O*NET 29.1 → 30.2</w:t>
      </w:r>
    </w:p>
    <w:p>
      <w:pPr>
        <w:pStyle w:val="Heading2"/>
        <w:spacing w:after="140" w:before="240"/>
      </w:pPr>
      <w:r>
        <w:rPr>
          <w:rFonts w:ascii="Calibri" w:cs="Calibri" w:eastAsia="Calibri" w:hAnsi="Calibri"/>
          <w:b/>
          <w:bCs/>
          <w:color w:val="2E74B5"/>
          <w:sz w:val="26"/>
          <w:szCs w:val="26"/>
        </w:rPr>
        <w:t xml:space="preserve">4.1 Versión origen y versión destino</w:t>
      </w:r>
    </w:p>
    <w:p>
      <w:pPr>
        <w:spacing w:after="120" w:line="280"/>
        <w:jc w:val="both"/>
      </w:pPr>
      <w:r>
        <w:rPr>
          <w:rFonts w:ascii="Calibri" w:cs="Calibri" w:eastAsia="Calibri" w:hAnsi="Calibri"/>
          <w:sz w:val="22"/>
          <w:szCs w:val="22"/>
        </w:rPr>
        <w:t xml:space="preserve">La metodología v2.0 y el README declaran datos de </w:t>
      </w:r>
      <w:r>
        <w:rPr>
          <w:rFonts w:ascii="Calibri" w:cs="Calibri" w:eastAsia="Calibri" w:hAnsi="Calibri"/>
          <w:b/>
          <w:bCs/>
          <w:sz w:val="22"/>
          <w:szCs w:val="22"/>
        </w:rPr>
        <w:t xml:space="preserve">O*NET 2024, release 29.1</w:t>
      </w:r>
      <w:r>
        <w:rPr>
          <w:rFonts w:ascii="Calibri" w:cs="Calibri" w:eastAsia="Calibri" w:hAnsi="Calibri"/>
          <w:sz w:val="22"/>
          <w:szCs w:val="22"/>
        </w:rPr>
        <w:t xml:space="preserve"> (mayo de 2025). El primer paquete de .txt subidos (Abilities, Skills, Knowledge, Work Styles, Work Values, Job Zones, Task Ratings, Alternate Titles, IWA Reference, Basic Interests to RIASEC, Level Scale Anchors, Survey Booklet Locations, Task Categories, Skills/Abilities to Work Activities/Context) corresponde al formato del Resource Center y exhibe «Date Updated» hasta 12/2025, compatible con la release </w:t>
      </w:r>
      <w:r>
        <w:rPr>
          <w:rFonts w:ascii="Calibri" w:cs="Calibri" w:eastAsia="Calibri" w:hAnsi="Calibri"/>
          <w:b/>
          <w:bCs/>
          <w:sz w:val="22"/>
          <w:szCs w:val="22"/>
        </w:rPr>
        <w:t xml:space="preserve">29.3</w:t>
      </w:r>
      <w:r>
        <w:rPr>
          <w:rFonts w:ascii="Calibri" w:cs="Calibri" w:eastAsia="Calibri" w:hAnsi="Calibri"/>
          <w:sz w:val="22"/>
          <w:szCs w:val="22"/>
        </w:rPr>
        <w:t xml:space="preserve"> (noviembre 2025). El destino confirmado es </w:t>
      </w:r>
      <w:r>
        <w:rPr>
          <w:rFonts w:ascii="Calibri" w:cs="Calibri" w:eastAsia="Calibri" w:hAnsi="Calibri"/>
          <w:b/>
          <w:bCs/>
          <w:sz w:val="22"/>
          <w:szCs w:val="22"/>
        </w:rPr>
        <w:t xml:space="preserve">O*NET 30.2</w:t>
      </w:r>
      <w:r>
        <w:rPr>
          <w:rFonts w:ascii="Calibri" w:cs="Calibri" w:eastAsia="Calibri" w:hAnsi="Calibri"/>
          <w:sz w:val="22"/>
          <w:szCs w:val="22"/>
        </w:rPr>
        <w:t xml:space="preserve">, última release pública.</w:t>
      </w:r>
    </w:p>
    <w:p>
      <w:pPr>
        <w:spacing w:after="120" w:line="280"/>
        <w:jc w:val="both"/>
      </w:pPr>
      <w:r>
        <w:rPr>
          <w:rFonts w:ascii="Calibri" w:cs="Calibri" w:eastAsia="Calibri" w:hAnsi="Calibri"/>
          <w:sz w:val="22"/>
          <w:szCs w:val="22"/>
        </w:rPr>
        <w:t xml:space="preserve">El número de O*NET-SOC distintos en Abilities.txt es 894, frente a las 1.016 ocupaciones que figuran en la documentación de v1.45. La discrepancia (~120 ocupaciones) es coherente con la pauta de O*NET de los últimos años: fusionar/desactivar SOC poco poblados a medida que se incorporan revisiones. Hay que validar el dato en la propia release 30.2 antes de tocar los pesos.</w:t>
      </w:r>
    </w:p>
    <w:p>
      <w:pPr>
        <w:pStyle w:val="Heading2"/>
        <w:spacing w:after="140" w:before="240"/>
      </w:pPr>
      <w:r>
        <w:rPr>
          <w:rFonts w:ascii="Calibri" w:cs="Calibri" w:eastAsia="Calibri" w:hAnsi="Calibri"/>
          <w:b/>
          <w:bCs/>
          <w:color w:val="2E74B5"/>
          <w:sz w:val="26"/>
          <w:szCs w:val="26"/>
        </w:rPr>
        <w:t xml:space="preserve">4.2 Ficheros mínimos necesarios para reproducir el framework v2.0 sobre 30.2</w:t>
      </w:r>
    </w:p>
    <w:p>
      <w:pPr>
        <w:spacing w:after="120" w:line="280"/>
        <w:jc w:val="both"/>
      </w:pPr>
      <w:r>
        <w:rPr>
          <w:rFonts w:ascii="Calibri" w:cs="Calibri" w:eastAsia="Calibri" w:hAnsi="Calibri"/>
          <w:sz w:val="22"/>
          <w:szCs w:val="22"/>
        </w:rPr>
        <w:t xml:space="preserve">Para reconstruir los 8 indicadores y la AEI a partir de los .txt, basta el siguiente subconjunto del paquete de O*NET 30.2 (∼15 ficheros, frente a los 40+ del paquete completo). Dejo fuera los .txt de uso secundario (Sample of Reported Titles, Education–Training–Experience Categories, Detailed Work Activities por sí solos, etc.) salvo que más adelante incorporemos crosswalks adicionales.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1300"/>
        <w:gridCol w:w="1760"/>
      </w:tblGrid>
      <w:tr>
        <w:tc>
          <w:tcPr>
            <w:tcW w:type="dxa" w:w="33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Fichero O*NET 30.2</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Indicador(es) que alimenta</w:t>
            </w:r>
          </w:p>
        </w:tc>
        <w:tc>
          <w:tcPr>
            <w:tcW w:type="dxa" w:w="13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Prioridad</w:t>
            </w:r>
          </w:p>
        </w:tc>
        <w:tc>
          <w:tcPr>
            <w:tcW w:type="dxa" w:w="17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¿Ya enviado?</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Occupation Data.txt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Maestro de SOC y títulos · base de todo</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Work Activities.txt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EAC, EIG, EIA (componentes ITEA)</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Work Context.txt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IPI (CI presencial / remoto), IFS, ICT (DTS)</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Work Styles.txt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CA del IRA (Innovation, Adaptability, Tolerance, Curiosity, Initiative)</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Sí (29.3)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Skills.txt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ICT (ATE), IFS (DHS, CC_comm), IEF (DCF)</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Sí (29.3)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Knowledge.txt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IEF (DPF), validación cruzada</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Sí (29.3)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Abilities.txt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ICT (ITD), IRO residual histórico, validación</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Sí (29.3)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Education, Training, and Experience.txt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GEE (C_RL años educación, C_RW meses experiencia)</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Job Zones.txt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Calibración OLS de GEE</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Sí (29.3)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Job Zone Reference.txt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Tabla de definición de Job Zones</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P1</w:t>
            </w:r>
          </w:p>
        </w:tc>
        <w:tc>
          <w:tcPr>
            <w:tcW w:type="dxa" w:w="176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Sí (29.3)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Task Statements.txt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AEI (Auto_Grade, CI_Grade), IMO (denominador)</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Task Ratings.txt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Frecuencia/importancia de tareas</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P1</w:t>
            </w:r>
          </w:p>
        </w:tc>
        <w:tc>
          <w:tcPr>
            <w:tcW w:type="dxa" w:w="176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Sí (29.3)</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Emerging Tasks.txt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IMO (numerador del ratio de mutación)</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Tools Used.txt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ICT (refuerzo de ATE)</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P1</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Technology Skills.txt</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ICT, validación tecnológica</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P1</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Read Me.txt (de la release)</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Versión exacta y fecha de release (cita)</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P0</w:t>
            </w:r>
          </w:p>
        </w:tc>
        <w:tc>
          <w:tcPr>
            <w:tcW w:type="dxa" w:w="176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w:t>
            </w:r>
          </w:p>
        </w:tc>
      </w:tr>
    </w:tbl>
    <w:p>
      <w:pPr>
        <w:spacing w:after="120" w:line="280"/>
        <w:jc w:val="both"/>
      </w:pPr>
      <w:r>
        <w:rPr>
          <w:rFonts w:ascii="Calibri" w:cs="Calibri" w:eastAsia="Calibri" w:hAnsi="Calibri"/>
          <w:sz w:val="22"/>
          <w:szCs w:val="22"/>
        </w:rPr>
        <w:t xml:space="preserve"/>
      </w:r>
    </w:p>
    <w:p>
      <w:pPr>
        <w:spacing w:after="120" w:line="280"/>
        <w:jc w:val="both"/>
      </w:pPr>
      <w:r>
        <w:rPr>
          <w:rFonts w:ascii="Calibri" w:cs="Calibri" w:eastAsia="Calibri" w:hAnsi="Calibri"/>
          <w:b/>
          <w:bCs/>
          <w:sz w:val="22"/>
          <w:szCs w:val="22"/>
        </w:rPr>
        <w:t xml:space="preserve">Ficheros que NO necesitamos reenviar (ya están como 29.3 y aceptamos refresco posterior). </w:t>
      </w:r>
      <w:r>
        <w:rPr>
          <w:rFonts w:ascii="Calibri" w:cs="Calibri" w:eastAsia="Calibri" w:hAnsi="Calibri"/>
          <w:sz w:val="22"/>
          <w:szCs w:val="22"/>
        </w:rPr>
        <w:t xml:space="preserve">Alternate Titles, IWA Reference, Basic Interests to RIASEC, Level Scale Anchors, Survey Booklet Locations, Task Categories, Work Values, Skills/Abilities to Work Activities, Skills/Abilities to Work Context. Si los puedes pasar también en 30.2 sin coste, mejor; pero no son críticos para los 8 indicadores ni para la AEI.</w:t>
      </w:r>
    </w:p>
    <w:p>
      <w:pPr>
        <w:pStyle w:val="Heading2"/>
        <w:spacing w:after="140" w:before="240"/>
      </w:pPr>
      <w:r>
        <w:rPr>
          <w:rFonts w:ascii="Calibri" w:cs="Calibri" w:eastAsia="Calibri" w:hAnsi="Calibri"/>
          <w:b/>
          <w:bCs/>
          <w:color w:val="2E74B5"/>
          <w:sz w:val="26"/>
          <w:szCs w:val="26"/>
        </w:rPr>
        <w:t xml:space="preserve">4.3 Plan de migración</w:t>
      </w:r>
    </w:p>
    <w:p>
      <w:pPr>
        <w:pStyle w:val="ListParagraph"/>
        <w:numPr>
          <w:ilvl w:val="0"/>
          <w:numId w:val="3"/>
        </w:numPr>
        <w:spacing w:after="80" w:line="280"/>
      </w:pPr>
      <w:r>
        <w:rPr>
          <w:rFonts w:ascii="Calibri" w:cs="Calibri" w:eastAsia="Calibri" w:hAnsi="Calibri"/>
          <w:sz w:val="22"/>
          <w:szCs w:val="22"/>
        </w:rPr>
        <w:t xml:space="preserve">Verificar la versión exacta del paquete .txt subido contra la página oficial de O*NET y registrarla en docs/data/onet_version.md.</w:t>
      </w:r>
    </w:p>
    <w:p>
      <w:pPr>
        <w:pStyle w:val="ListParagraph"/>
        <w:numPr>
          <w:ilvl w:val="0"/>
          <w:numId w:val="3"/>
        </w:numPr>
        <w:spacing w:after="80" w:line="280"/>
      </w:pPr>
      <w:r>
        <w:rPr>
          <w:rFonts w:ascii="Calibri" w:cs="Calibri" w:eastAsia="Calibri" w:hAnsi="Calibri"/>
          <w:sz w:val="22"/>
          <w:szCs w:val="22"/>
        </w:rPr>
        <w:t xml:space="preserve">Crear data/raw/onet_&lt;version&gt;/ en el repo y subir todos los .txt con un README que documente fecha de descarga, hash SHA-256 y URL fuente.</w:t>
      </w:r>
    </w:p>
    <w:p>
      <w:pPr>
        <w:pStyle w:val="ListParagraph"/>
        <w:numPr>
          <w:ilvl w:val="0"/>
          <w:numId w:val="3"/>
        </w:numPr>
        <w:spacing w:after="80" w:line="280"/>
      </w:pPr>
      <w:r>
        <w:rPr>
          <w:rFonts w:ascii="Calibri" w:cs="Calibri" w:eastAsia="Calibri" w:hAnsi="Calibri"/>
          <w:sz w:val="22"/>
          <w:szCs w:val="22"/>
        </w:rPr>
        <w:t xml:space="preserve">Implementar un script de ingestión (code/ingest/build_workbook.py) que reproduzca el cálculo del workbook a partir de los .txt fuente — clave para JOSS, que valora la reproducibilidad end-to-end.</w:t>
      </w:r>
    </w:p>
    <w:p>
      <w:pPr>
        <w:pStyle w:val="ListParagraph"/>
        <w:numPr>
          <w:ilvl w:val="0"/>
          <w:numId w:val="3"/>
        </w:numPr>
        <w:spacing w:after="80" w:line="280"/>
      </w:pPr>
      <w:r>
        <w:rPr>
          <w:rFonts w:ascii="Calibri" w:cs="Calibri" w:eastAsia="Calibri" w:hAnsi="Calibri"/>
          <w:sz w:val="22"/>
          <w:szCs w:val="22"/>
        </w:rPr>
        <w:t xml:space="preserve">Recalcular los 8 indicadores con los nuevos datos y comparar deltas frente a v2.0/29.1: ranking shifts, cambios de cuadrante GEE×IRA, evolución de α y VIF.</w:t>
      </w:r>
    </w:p>
    <w:p>
      <w:pPr>
        <w:pStyle w:val="ListParagraph"/>
        <w:numPr>
          <w:ilvl w:val="0"/>
          <w:numId w:val="3"/>
        </w:numPr>
        <w:spacing w:after="80" w:line="280"/>
      </w:pPr>
      <w:r>
        <w:rPr>
          <w:rFonts w:ascii="Calibri" w:cs="Calibri" w:eastAsia="Calibri" w:hAnsi="Calibri"/>
          <w:sz w:val="22"/>
          <w:szCs w:val="22"/>
        </w:rPr>
        <w:t xml:space="preserve">Si los rankings o las correlaciones críticas (ITEA-AEI, IRA-GEE) varían más de un umbral preacordado (sugerido: r de Spearman entre versiones &lt; 0,98), considerar el cambio como ruptura y bumpear a v3.0.</w:t>
      </w:r>
    </w:p>
    <w:p>
      <w:pPr>
        <w:pStyle w:val="ListParagraph"/>
        <w:numPr>
          <w:ilvl w:val="0"/>
          <w:numId w:val="3"/>
        </w:numPr>
        <w:spacing w:after="80" w:line="280"/>
      </w:pPr>
      <w:r>
        <w:rPr>
          <w:rFonts w:ascii="Calibri" w:cs="Calibri" w:eastAsia="Calibri" w:hAnsi="Calibri"/>
          <w:sz w:val="22"/>
          <w:szCs w:val="22"/>
        </w:rPr>
        <w:t xml:space="preserve">Actualizar el badge del README, el campo «Date published» de Zenodo y la sección «Data Sources».</w:t>
      </w:r>
    </w:p>
    <w:p>
      <w:r>
        <w:br w:type="page"/>
      </w:r>
    </w:p>
    <w:p>
      <w:pPr>
        <w:pStyle w:val="Heading1"/>
        <w:spacing w:after="200" w:before="320"/>
      </w:pPr>
      <w:r>
        <w:rPr>
          <w:rFonts w:ascii="Calibri" w:cs="Calibri" w:eastAsia="Calibri" w:hAnsi="Calibri"/>
          <w:b/>
          <w:bCs/>
          <w:color w:val="1F3864"/>
          <w:sz w:val="32"/>
          <w:szCs w:val="32"/>
        </w:rPr>
        <w:t xml:space="preserve">5. Plan de mejoras priorizado</w:t>
      </w:r>
    </w:p>
    <w:p>
      <w:pPr>
        <w:spacing w:after="120" w:line="280"/>
        <w:jc w:val="both"/>
      </w:pPr>
      <w:r>
        <w:rPr>
          <w:rFonts w:ascii="Calibri" w:cs="Calibri" w:eastAsia="Calibri" w:hAnsi="Calibri"/>
          <w:sz w:val="22"/>
          <w:szCs w:val="22"/>
        </w:rPr>
        <w:t xml:space="preserve">La priorización combina tres criterios: (i) coste de oportunidad (qué bloquea otra cosa), (ii) impacto sobre criterios JOSS/JORS, (iii) impacto sobre la integridad metodológica. Las acciones P0 son bloqueantes para cualquier resubmisión; las P1 fortalecen el caso editorial; las P2 son robustez incremental; las P3 son crecimiento.</w:t>
      </w:r>
    </w:p>
    <w:p>
      <w:pPr>
        <w:pStyle w:val="Heading2"/>
        <w:spacing w:after="140" w:before="240"/>
      </w:pPr>
      <w:r>
        <w:rPr>
          <w:rFonts w:ascii="Calibri" w:cs="Calibri" w:eastAsia="Calibri" w:hAnsi="Calibri"/>
          <w:b/>
          <w:bCs/>
          <w:color w:val="2E74B5"/>
          <w:sz w:val="26"/>
          <w:szCs w:val="26"/>
        </w:rPr>
        <w:t xml:space="preserve">5.1 P0 — Acciones bloqueantes (mayo, semanas 1–2)</w:t>
      </w:r>
    </w:p>
    <w:p>
      <w:pPr>
        <w:pStyle w:val="ListParagraph"/>
        <w:numPr>
          <w:ilvl w:val="0"/>
          <w:numId w:val="2"/>
        </w:numPr>
        <w:spacing w:after="80" w:line="280"/>
      </w:pPr>
      <w:r>
        <w:rPr>
          <w:rFonts w:ascii="Calibri" w:cs="Calibri" w:eastAsia="Calibri" w:hAnsi="Calibri"/>
          <w:b/>
          <w:bCs/>
          <w:sz w:val="22"/>
          <w:szCs w:val="22"/>
        </w:rPr>
        <w:t xml:space="preserve">Subir los datos al repo. </w:t>
      </w:r>
      <w:r>
        <w:rPr>
          <w:rFonts w:ascii="Calibri" w:cs="Calibri" w:eastAsia="Calibri" w:hAnsi="Calibri"/>
          <w:sz w:val="22"/>
          <w:szCs w:val="22"/>
        </w:rPr>
        <w:t xml:space="preserve">data/raw/onet_&lt;version&gt;/*.txt (con README y hashes), data/processed/Research_Data_Workbook_ITEA_v2_0.xlsx, data/processed/AEI_Unified_Analysis_v3_8.xlsx. Sin esto el repo no es ejecutable.</w:t>
      </w:r>
    </w:p>
    <w:p>
      <w:pPr>
        <w:pStyle w:val="ListParagraph"/>
        <w:numPr>
          <w:ilvl w:val="0"/>
          <w:numId w:val="2"/>
        </w:numPr>
        <w:spacing w:after="80" w:line="280"/>
      </w:pPr>
      <w:r>
        <w:rPr>
          <w:rFonts w:ascii="Calibri" w:cs="Calibri" w:eastAsia="Calibri" w:hAnsi="Calibri"/>
          <w:b/>
          <w:bCs/>
          <w:sz w:val="22"/>
          <w:szCs w:val="22"/>
        </w:rPr>
        <w:t xml:space="preserve">Subir la documentación al repo. </w:t>
      </w:r>
      <w:r>
        <w:rPr>
          <w:rFonts w:ascii="Calibri" w:cs="Calibri" w:eastAsia="Calibri" w:hAnsi="Calibri"/>
          <w:sz w:val="22"/>
          <w:szCs w:val="22"/>
        </w:rPr>
        <w:t xml:space="preserve">docs/methodology/ITEA_Metodologia_v2_0.docx (y la v1.35 como histórico), docs/guides/* (las cuatro guías), docs/analysis/* y docs/papers/*. Vaciar las carpetas vacías o llenarlas; no dejar el README mintiendo.</w:t>
      </w:r>
    </w:p>
    <w:p>
      <w:pPr>
        <w:pStyle w:val="ListParagraph"/>
        <w:numPr>
          <w:ilvl w:val="0"/>
          <w:numId w:val="2"/>
        </w:numPr>
        <w:spacing w:after="80" w:line="280"/>
      </w:pPr>
      <w:r>
        <w:rPr>
          <w:rFonts w:ascii="Calibri" w:cs="Calibri" w:eastAsia="Calibri" w:hAnsi="Calibri"/>
          <w:b/>
          <w:bCs/>
          <w:sz w:val="22"/>
          <w:szCs w:val="22"/>
        </w:rPr>
        <w:t xml:space="preserve">Crear directorio tests/ con cobertura inicial real. </w:t>
      </w:r>
      <w:r>
        <w:rPr>
          <w:rFonts w:ascii="Calibri" w:cs="Calibri" w:eastAsia="Calibri" w:hAnsi="Calibri"/>
          <w:sz w:val="22"/>
          <w:szCs w:val="22"/>
        </w:rPr>
        <w:t xml:space="preserve">Tests unitarios por indicador (R y Python), validación cross-language a seis decimales, casos límite (0,0,0), (1,1,1), valores negativos. Sin tests, el paper.md miente y JOSS lo va a marcar.</w:t>
      </w:r>
    </w:p>
    <w:p>
      <w:pPr>
        <w:pStyle w:val="ListParagraph"/>
        <w:numPr>
          <w:ilvl w:val="0"/>
          <w:numId w:val="2"/>
        </w:numPr>
        <w:spacing w:after="80" w:line="280"/>
      </w:pPr>
      <w:r>
        <w:rPr>
          <w:rFonts w:ascii="Calibri" w:cs="Calibri" w:eastAsia="Calibri" w:hAnsi="Calibri"/>
          <w:b/>
          <w:bCs/>
          <w:sz w:val="22"/>
          <w:szCs w:val="22"/>
        </w:rPr>
        <w:t xml:space="preserve">Configurar GitHub Actions. </w:t>
      </w:r>
      <w:r>
        <w:rPr>
          <w:rFonts w:ascii="Calibri" w:cs="Calibri" w:eastAsia="Calibri" w:hAnsi="Calibri"/>
          <w:sz w:val="22"/>
          <w:szCs w:val="22"/>
        </w:rPr>
        <w:t xml:space="preserve">.github/workflows/python-tests.yaml y r-cmd-check.yaml. Badges en README que reflejen el estado real de los tests, no estáticos.</w:t>
      </w:r>
    </w:p>
    <w:p>
      <w:pPr>
        <w:pStyle w:val="ListParagraph"/>
        <w:numPr>
          <w:ilvl w:val="0"/>
          <w:numId w:val="2"/>
        </w:numPr>
        <w:spacing w:after="80" w:line="280"/>
      </w:pPr>
      <w:r>
        <w:rPr>
          <w:rFonts w:ascii="Calibri" w:cs="Calibri" w:eastAsia="Calibri" w:hAnsi="Calibri"/>
          <w:b/>
          <w:bCs/>
          <w:sz w:val="22"/>
          <w:szCs w:val="22"/>
        </w:rPr>
        <w:t xml:space="preserve">Corregir incoherencias documentales. </w:t>
      </w:r>
      <w:r>
        <w:rPr>
          <w:rFonts w:ascii="Calibri" w:cs="Calibri" w:eastAsia="Calibri" w:hAnsi="Calibri"/>
          <w:sz w:val="22"/>
          <w:szCs w:val="22"/>
        </w:rPr>
        <w:t xml:space="preserve">Email y ORCID en README/CITATION; fecha de v1.45 (2026-04, no 2026-10); claim de tests en paper.md alineado con la realidad; tabla de versiones histórica que incluya la transición a v2.0.</w:t>
      </w:r>
    </w:p>
    <w:p>
      <w:pPr>
        <w:pStyle w:val="ListParagraph"/>
        <w:numPr>
          <w:ilvl w:val="0"/>
          <w:numId w:val="2"/>
        </w:numPr>
        <w:spacing w:after="80" w:line="280"/>
      </w:pPr>
      <w:r>
        <w:rPr>
          <w:rFonts w:ascii="Calibri" w:cs="Calibri" w:eastAsia="Calibri" w:hAnsi="Calibri"/>
          <w:b/>
          <w:bCs/>
          <w:sz w:val="22"/>
          <w:szCs w:val="22"/>
        </w:rPr>
        <w:t xml:space="preserve">Decidir y comunicar la doble vía editorial. </w:t>
      </w:r>
      <w:r>
        <w:rPr>
          <w:rFonts w:ascii="Calibri" w:cs="Calibri" w:eastAsia="Calibri" w:hAnsi="Calibri"/>
          <w:sz w:val="22"/>
          <w:szCs w:val="22"/>
        </w:rPr>
        <w:t xml:space="preserve">Documentar en README la estrategia: «el repo soporta dos artefactos editoriales — un metapaper en JORS [borrador en /paper/jors_metapaper.md] que describe la metodología, y un paper en JOSS [/paper/paper.md] que describe el software». Diferenciar para evitar self-plagiarism.</w:t>
      </w:r>
    </w:p>
    <w:p>
      <w:pPr>
        <w:pStyle w:val="Heading2"/>
        <w:spacing w:after="140" w:before="240"/>
      </w:pPr>
      <w:r>
        <w:rPr>
          <w:rFonts w:ascii="Calibri" w:cs="Calibri" w:eastAsia="Calibri" w:hAnsi="Calibri"/>
          <w:b/>
          <w:bCs/>
          <w:color w:val="2E74B5"/>
          <w:sz w:val="26"/>
          <w:szCs w:val="26"/>
        </w:rPr>
        <w:t xml:space="preserve">5.2 P1 — Fortalecimiento editorial (mayo–junio)</w:t>
      </w:r>
    </w:p>
    <w:p>
      <w:pPr>
        <w:pStyle w:val="ListParagraph"/>
        <w:numPr>
          <w:ilvl w:val="0"/>
          <w:numId w:val="2"/>
        </w:numPr>
        <w:spacing w:after="80" w:line="280"/>
      </w:pPr>
      <w:r>
        <w:rPr>
          <w:rFonts w:ascii="Calibri" w:cs="Calibri" w:eastAsia="Calibri" w:hAnsi="Calibri"/>
          <w:b/>
          <w:bCs/>
          <w:sz w:val="22"/>
          <w:szCs w:val="22"/>
        </w:rPr>
        <w:t xml:space="preserve">Bump v1.45 → v2.0.0. </w:t>
      </w:r>
      <w:r>
        <w:rPr>
          <w:rFonts w:ascii="Calibri" w:cs="Calibri" w:eastAsia="Calibri" w:hAnsi="Calibri"/>
          <w:sz w:val="22"/>
          <w:szCs w:val="22"/>
        </w:rPr>
        <w:t xml:space="preserve">Tag, release notes, nuevo DOI Zenodo. v1.45 queda accesible vía tag para reproducibilidad histórica.</w:t>
      </w:r>
    </w:p>
    <w:p>
      <w:pPr>
        <w:pStyle w:val="ListParagraph"/>
        <w:numPr>
          <w:ilvl w:val="0"/>
          <w:numId w:val="2"/>
        </w:numPr>
        <w:spacing w:after="80" w:line="280"/>
      </w:pPr>
      <w:r>
        <w:rPr>
          <w:rFonts w:ascii="Calibri" w:cs="Calibri" w:eastAsia="Calibri" w:hAnsi="Calibri"/>
          <w:b/>
          <w:bCs/>
          <w:sz w:val="22"/>
          <w:szCs w:val="22"/>
        </w:rPr>
        <w:t xml:space="preserve">Migrar paper.md a v2.0. </w:t>
      </w:r>
      <w:r>
        <w:rPr>
          <w:rFonts w:ascii="Calibri" w:cs="Calibri" w:eastAsia="Calibri" w:hAnsi="Calibri"/>
          <w:sz w:val="22"/>
          <w:szCs w:val="22"/>
        </w:rPr>
        <w:t xml:space="preserve">Tabla de validación con IRA en lugar de IRO; añadir el cuadrante GEE×IRA como hallazgo central; cambiar «1,016 occupations» por «1,016 published / 846 effective». Reescribir el «State of the Field» reflejando referencias 2025–2026 (Bain, McKinsey, IBM, Eloundou et al., Acemoglu &amp; Restrepo 2025) que ya están en la metodología v2.0.</w:t>
      </w:r>
    </w:p>
    <w:p>
      <w:pPr>
        <w:pStyle w:val="ListParagraph"/>
        <w:numPr>
          <w:ilvl w:val="0"/>
          <w:numId w:val="2"/>
        </w:numPr>
        <w:spacing w:after="80" w:line="280"/>
      </w:pPr>
      <w:r>
        <w:rPr>
          <w:rFonts w:ascii="Calibri" w:cs="Calibri" w:eastAsia="Calibri" w:hAnsi="Calibri"/>
          <w:b/>
          <w:bCs/>
          <w:sz w:val="22"/>
          <w:szCs w:val="22"/>
        </w:rPr>
        <w:t xml:space="preserve">Empaquetar R y Python. </w:t>
      </w:r>
      <w:r>
        <w:rPr>
          <w:rFonts w:ascii="Calibri" w:cs="Calibri" w:eastAsia="Calibri" w:hAnsi="Calibri"/>
          <w:sz w:val="22"/>
          <w:szCs w:val="22"/>
        </w:rPr>
        <w:t xml:space="preserve">R: DESCRIPTION + NAMESPACE + roxygen2 (instalable con devtools::install_github). Python: pyproject.toml con uv/poetry, módulo iteapy con __init__.py (instalable con pip install git+https). Esto es lo que JOSS realmente quiere ver.</w:t>
      </w:r>
    </w:p>
    <w:p>
      <w:pPr>
        <w:pStyle w:val="ListParagraph"/>
        <w:numPr>
          <w:ilvl w:val="0"/>
          <w:numId w:val="2"/>
        </w:numPr>
        <w:spacing w:after="80" w:line="280"/>
      </w:pPr>
      <w:r>
        <w:rPr>
          <w:rFonts w:ascii="Calibri" w:cs="Calibri" w:eastAsia="Calibri" w:hAnsi="Calibri"/>
          <w:b/>
          <w:bCs/>
          <w:sz w:val="22"/>
          <w:szCs w:val="22"/>
        </w:rPr>
        <w:t xml:space="preserve">Validación empírica del IRA. </w:t>
      </w:r>
      <w:r>
        <w:rPr>
          <w:rFonts w:ascii="Calibri" w:cs="Calibri" w:eastAsia="Calibri" w:hAnsi="Calibri"/>
          <w:sz w:val="22"/>
          <w:szCs w:val="22"/>
        </w:rPr>
        <w:t xml:space="preserve">Sección de docs/methodology/IRA_v2_validation.md con: comparativa α/VIF/correlaciones IRO v1.45 vs IRA v2.0, ANOVA del cuadrante, bootstrap de los pesos 60/40 sobre subsamples bootstrap.</w:t>
      </w:r>
    </w:p>
    <w:p>
      <w:pPr>
        <w:pStyle w:val="ListParagraph"/>
        <w:numPr>
          <w:ilvl w:val="0"/>
          <w:numId w:val="2"/>
        </w:numPr>
        <w:spacing w:after="80" w:line="280"/>
      </w:pPr>
      <w:r>
        <w:rPr>
          <w:rFonts w:ascii="Calibri" w:cs="Calibri" w:eastAsia="Calibri" w:hAnsi="Calibri"/>
          <w:b/>
          <w:bCs/>
          <w:sz w:val="22"/>
          <w:szCs w:val="22"/>
        </w:rPr>
        <w:t xml:space="preserve">Crosswalk SOC ↔ CNO ↔ ISCO-08. </w:t>
      </w:r>
      <w:r>
        <w:rPr>
          <w:rFonts w:ascii="Calibri" w:cs="Calibri" w:eastAsia="Calibri" w:hAnsi="Calibri"/>
          <w:sz w:val="22"/>
          <w:szCs w:val="22"/>
        </w:rPr>
        <w:t xml:space="preserve">data/crosswalks/SOC_CNO.csv y SOC_ISCO.csv. Es el activo que abre el framework al uso fuera de EE. UU.; relevante también para cualquier validación con Infoempleo-Adecco.</w:t>
      </w:r>
    </w:p>
    <w:p>
      <w:pPr>
        <w:pStyle w:val="Heading2"/>
        <w:spacing w:after="140" w:before="240"/>
      </w:pPr>
      <w:r>
        <w:rPr>
          <w:rFonts w:ascii="Calibri" w:cs="Calibri" w:eastAsia="Calibri" w:hAnsi="Calibri"/>
          <w:b/>
          <w:bCs/>
          <w:color w:val="2E74B5"/>
          <w:sz w:val="26"/>
          <w:szCs w:val="26"/>
        </w:rPr>
        <w:t xml:space="preserve">5.3 P2 — Robustez (julio–agosto)</w:t>
      </w:r>
    </w:p>
    <w:p>
      <w:pPr>
        <w:pStyle w:val="ListParagraph"/>
        <w:numPr>
          <w:ilvl w:val="0"/>
          <w:numId w:val="2"/>
        </w:numPr>
        <w:spacing w:after="80" w:line="280"/>
      </w:pPr>
      <w:r>
        <w:rPr>
          <w:rFonts w:ascii="Calibri" w:cs="Calibri" w:eastAsia="Calibri" w:hAnsi="Calibri"/>
          <w:b/>
          <w:bCs/>
          <w:sz w:val="22"/>
          <w:szCs w:val="22"/>
        </w:rPr>
        <w:t xml:space="preserve">Intervalos de confianza bootstrap. </w:t>
      </w:r>
      <w:r>
        <w:rPr>
          <w:rFonts w:ascii="Calibri" w:cs="Calibri" w:eastAsia="Calibri" w:hAnsi="Calibri"/>
          <w:sz w:val="22"/>
          <w:szCs w:val="22"/>
        </w:rPr>
        <w:t xml:space="preserve">IC 95% por ocupación para cada indicador. Añadir columnas IC_lower / IC_upper al workbook.</w:t>
      </w:r>
    </w:p>
    <w:p>
      <w:pPr>
        <w:pStyle w:val="ListParagraph"/>
        <w:numPr>
          <w:ilvl w:val="0"/>
          <w:numId w:val="2"/>
        </w:numPr>
        <w:spacing w:after="80" w:line="280"/>
      </w:pPr>
      <w:r>
        <w:rPr>
          <w:rFonts w:ascii="Calibri" w:cs="Calibri" w:eastAsia="Calibri" w:hAnsi="Calibri"/>
          <w:b/>
          <w:bCs/>
          <w:sz w:val="22"/>
          <w:szCs w:val="22"/>
        </w:rPr>
        <w:t xml:space="preserve">Análisis de sensibilidad de pesos. </w:t>
      </w:r>
      <w:r>
        <w:rPr>
          <w:rFonts w:ascii="Calibri" w:cs="Calibri" w:eastAsia="Calibri" w:hAnsi="Calibri"/>
          <w:sz w:val="22"/>
          <w:szCs w:val="22"/>
        </w:rPr>
        <w:t xml:space="preserve">Perturbación ±10 % en los pesos del ITEA, ICT, IFS, IEF, IPI; documentar la elasticidad de los rankings. Material para una sección «Robustness» en el paper.</w:t>
      </w:r>
    </w:p>
    <w:p>
      <w:pPr>
        <w:pStyle w:val="ListParagraph"/>
        <w:numPr>
          <w:ilvl w:val="0"/>
          <w:numId w:val="2"/>
        </w:numPr>
        <w:spacing w:after="80" w:line="280"/>
      </w:pPr>
      <w:r>
        <w:rPr>
          <w:rFonts w:ascii="Calibri" w:cs="Calibri" w:eastAsia="Calibri" w:hAnsi="Calibri"/>
          <w:b/>
          <w:bCs/>
          <w:sz w:val="22"/>
          <w:szCs w:val="22"/>
        </w:rPr>
        <w:t xml:space="preserve">Vignettes reproducibles. </w:t>
      </w:r>
      <w:r>
        <w:rPr>
          <w:rFonts w:ascii="Calibri" w:cs="Calibri" w:eastAsia="Calibri" w:hAnsi="Calibri"/>
          <w:sz w:val="22"/>
          <w:szCs w:val="22"/>
        </w:rPr>
        <w:t xml:space="preserve">Tres vignettes: Getting started · Comparar ocupaciones (Financial Analyst vs Emergency Medicine Physician) · Análisis de política pública (CCAA España).</w:t>
      </w:r>
    </w:p>
    <w:p>
      <w:pPr>
        <w:pStyle w:val="ListParagraph"/>
        <w:numPr>
          <w:ilvl w:val="0"/>
          <w:numId w:val="2"/>
        </w:numPr>
        <w:spacing w:after="80" w:line="280"/>
      </w:pPr>
      <w:r>
        <w:rPr>
          <w:rFonts w:ascii="Calibri" w:cs="Calibri" w:eastAsia="Calibri" w:hAnsi="Calibri"/>
          <w:b/>
          <w:bCs/>
          <w:sz w:val="22"/>
          <w:szCs w:val="22"/>
        </w:rPr>
        <w:t xml:space="preserve">Migrar workbook a Parquet/CSV en data/processed/. </w:t>
      </w:r>
      <w:r>
        <w:rPr>
          <w:rFonts w:ascii="Calibri" w:cs="Calibri" w:eastAsia="Calibri" w:hAnsi="Calibri"/>
          <w:sz w:val="22"/>
          <w:szCs w:val="22"/>
        </w:rPr>
        <w:t xml:space="preserve">Permite leer datos sin Excel y escapar de la dependencia binaria.</w:t>
      </w:r>
    </w:p>
    <w:p>
      <w:pPr>
        <w:pStyle w:val="Heading2"/>
        <w:spacing w:after="140" w:before="240"/>
      </w:pPr>
      <w:r>
        <w:rPr>
          <w:rFonts w:ascii="Calibri" w:cs="Calibri" w:eastAsia="Calibri" w:hAnsi="Calibri"/>
          <w:b/>
          <w:bCs/>
          <w:color w:val="2E74B5"/>
          <w:sz w:val="26"/>
          <w:szCs w:val="26"/>
        </w:rPr>
        <w:t xml:space="preserve">5.4 P3 — Crecimiento (septiembre–octubre)</w:t>
      </w:r>
    </w:p>
    <w:p>
      <w:pPr>
        <w:pStyle w:val="ListParagraph"/>
        <w:numPr>
          <w:ilvl w:val="0"/>
          <w:numId w:val="2"/>
        </w:numPr>
        <w:spacing w:after="80" w:line="280"/>
      </w:pPr>
      <w:r>
        <w:rPr>
          <w:rFonts w:ascii="Calibri" w:cs="Calibri" w:eastAsia="Calibri" w:hAnsi="Calibri"/>
          <w:sz w:val="22"/>
          <w:szCs w:val="22"/>
        </w:rPr>
        <w:t xml:space="preserve">Onboarding de un revisor externo (idealmente del directorio de 80 investigadores). Un PR del exterior, aunque sea pequeño, mueve la métrica de «contribuyentes» de 1 a 2 — uno de los indicadores que JOSS lee.</w:t>
      </w:r>
    </w:p>
    <w:p>
      <w:pPr>
        <w:pStyle w:val="ListParagraph"/>
        <w:numPr>
          <w:ilvl w:val="0"/>
          <w:numId w:val="2"/>
        </w:numPr>
        <w:spacing w:after="80" w:line="280"/>
      </w:pPr>
      <w:r>
        <w:rPr>
          <w:rFonts w:ascii="Calibri" w:cs="Calibri" w:eastAsia="Calibri" w:hAnsi="Calibri"/>
          <w:sz w:val="22"/>
          <w:szCs w:val="22"/>
        </w:rPr>
        <w:t xml:space="preserve">Activación de la estrategia de difusión: ResearchGate, LinkedIn (los tres posts ya redactados en la estrategia), hilo en Twitter/X, abstract a EALE/SOLE/AIEL/Jornadas.</w:t>
      </w:r>
    </w:p>
    <w:p>
      <w:pPr>
        <w:pStyle w:val="ListParagraph"/>
        <w:numPr>
          <w:ilvl w:val="0"/>
          <w:numId w:val="2"/>
        </w:numPr>
        <w:spacing w:after="80" w:line="280"/>
      </w:pPr>
      <w:r>
        <w:rPr>
          <w:rFonts w:ascii="Calibri" w:cs="Calibri" w:eastAsia="Calibri" w:hAnsi="Calibri"/>
          <w:sz w:val="22"/>
          <w:szCs w:val="22"/>
        </w:rPr>
        <w:t xml:space="preserve">Publicación de un blog post en Nada es Gratis o The Conversation España con el ángulo Quantitative Easing → prejubilaciones.</w:t>
      </w:r>
    </w:p>
    <w:p>
      <w:r>
        <w:br w:type="page"/>
      </w:r>
    </w:p>
    <w:p>
      <w:pPr>
        <w:pStyle w:val="Heading1"/>
        <w:spacing w:after="200" w:before="320"/>
      </w:pPr>
      <w:r>
        <w:rPr>
          <w:rFonts w:ascii="Calibri" w:cs="Calibri" w:eastAsia="Calibri" w:hAnsi="Calibri"/>
          <w:b/>
          <w:bCs/>
          <w:color w:val="1F3864"/>
          <w:sz w:val="32"/>
          <w:szCs w:val="32"/>
        </w:rPr>
        <w:t xml:space="preserve">6. Cronograma propuesto</w:t>
      </w:r>
    </w:p>
    <w:p>
      <w:pPr>
        <w:spacing w:after="120" w:line="280"/>
        <w:jc w:val="both"/>
      </w:pPr>
      <w:r>
        <w:rPr>
          <w:rFonts w:ascii="Calibri" w:cs="Calibri" w:eastAsia="Calibri" w:hAnsi="Calibri"/>
          <w:sz w:val="22"/>
          <w:szCs w:val="22"/>
        </w:rPr>
        <w:t xml:space="preserve">La cadencia mantiene el espíritu del roadmap original (4 commits/semana, 4 issues/mes, 1 release/mes), pero parte de v2.0 en lugar de v1.45 y reasigna las tareas para que cada release cierre un capítulo metodológico identificable.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300"/>
        <w:gridCol w:w="4660"/>
      </w:tblGrid>
      <w:tr>
        <w:tc>
          <w:tcPr>
            <w:tcW w:type="dxa" w:w="11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Mes</w:t>
            </w:r>
          </w:p>
        </w:tc>
        <w:tc>
          <w:tcPr>
            <w:tcW w:type="dxa" w:w="13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Release</w:t>
            </w:r>
          </w:p>
        </w:tc>
        <w:tc>
          <w:tcPr>
            <w:tcW w:type="dxa" w:w="23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Tema</w:t>
            </w:r>
          </w:p>
        </w:tc>
        <w:tc>
          <w:tcPr>
            <w:tcW w:type="dxa" w:w="46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Hitos clave</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Mayo</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v2.0.0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Consolidación</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Subir datos y docs al repo · publicar metodología v2.0 · DOI Zenodo nuevo · paper.md migrado · CITATION/README corregidos · primer round de tests R/Python · CI básico</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Junio</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v2.1.0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Validación IRA</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docs/methodology/IRA_v2_validation.md · ANOVA cuadrante · bootstrap pesos 60/40 · cobertura tests &gt;70 %</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Julio</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v2.2.0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Crosswalks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SOC↔CNO, SOC↔ISCO-08 · validación empírica con Infoempleo-Adecco · tab nuevo en dashboard (sectorial CNO)</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Agosto</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v2.3.0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Datos O*NET 30.x</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Ingestión reproducible desde .txt · recálculo · comparativa de robustez vs 29.1 · decisión sobre v3.0 si Spearman entre versiones &lt; 0,98</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Septiembre</w:t>
            </w:r>
          </w:p>
        </w:tc>
        <w:tc>
          <w:tcPr>
            <w:tcW w:type="dxa" w:w="13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v2.4.0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Empaquetado</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 DESCRIPTION/NAMESPACE/roxygen · Python: pyproject.toml/iteapy · install_github y pip git+https · vignettes 1 y 2</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Octubre</w:t>
            </w:r>
          </w:p>
        </w:tc>
        <w:tc>
          <w:tcPr>
            <w:tcW w:type="dxa" w:w="13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v2.5.0</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Submission</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Vignette 3 (policy) · IC bootstrap · sensibilidad de pesos · paper.md final · checklist JOSS · primera iteración del metapaper JORS · envío JORS</w:t>
            </w:r>
          </w:p>
        </w:tc>
      </w:tr>
      <w:tr>
        <w:tc>
          <w:tcPr>
            <w:tcW w:type="dxa" w:w="11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bCs/>
                <w:color w:val="000000"/>
                <w:sz w:val="20"/>
                <w:szCs w:val="20"/>
              </w:rPr>
              <w:t xml:space="preserve">Nov–Dic</w:t>
            </w:r>
          </w:p>
        </w:tc>
        <w:tc>
          <w:tcPr>
            <w:tcW w:type="dxa" w:w="130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v2.6.x</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Revisión JOSS</w:t>
            </w:r>
          </w:p>
        </w:tc>
        <w:tc>
          <w:tcPr>
            <w:tcW w:type="dxa" w:w="46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Resubmisión a JOSS con seis meses de actividad · responder a issues de revisores · seguimiento JORS</w:t>
            </w:r>
          </w:p>
        </w:tc>
      </w:tr>
    </w:tbl>
    <w:p>
      <w:pPr>
        <w:spacing w:after="120" w:line="280"/>
        <w:jc w:val="both"/>
      </w:pPr>
      <w:r>
        <w:rPr>
          <w:rFonts w:ascii="Calibri" w:cs="Calibri" w:eastAsia="Calibri" w:hAnsi="Calibri"/>
          <w:sz w:val="22"/>
          <w:szCs w:val="22"/>
        </w:rPr>
        <w:t xml:space="preserve"/>
      </w:r>
    </w:p>
    <w:p>
      <w:pPr>
        <w:pStyle w:val="Heading2"/>
        <w:spacing w:after="140" w:before="240"/>
      </w:pPr>
      <w:r>
        <w:rPr>
          <w:rFonts w:ascii="Calibri" w:cs="Calibri" w:eastAsia="Calibri" w:hAnsi="Calibri"/>
          <w:b/>
          <w:bCs/>
          <w:color w:val="2E74B5"/>
          <w:sz w:val="26"/>
          <w:szCs w:val="26"/>
        </w:rPr>
        <w:t xml:space="preserve">6.1 Métricas objetivo a 31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Métrica</w:t>
            </w:r>
          </w:p>
        </w:tc>
        <w:tc>
          <w:tcPr>
            <w:tcW w:type="dxa" w:w="30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Hoy (29/04/2026)</w:t>
            </w:r>
          </w:p>
        </w:tc>
        <w:tc>
          <w:tcPr>
            <w:tcW w:type="dxa" w:w="3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Objetivo 31/10/2026</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Commits totales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7</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&gt;90 (15/mes)</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Issues cerrados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0</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&gt;25</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Pull requests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0</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&gt;15</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Releases (tags)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0</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6 (v2.0.0 → v2.5.0)</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Tests automatizados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0</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&gt;60 (R + Python)</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Cobertura de tests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n/a</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&gt;80 %</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Vignettes / tutorials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0</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3</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Crosswalks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0</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2 (CNO, ISCO-08)</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Estrellas GitHub</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0</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&gt;10</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DOI Zenodo activos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1 (v1.45)</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≥3 (v1.45, v2.0, v2.5)</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Sumisiones editoriales</w:t>
            </w:r>
          </w:p>
        </w:tc>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0 (rechazo previo JOSS)</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JORS (en revisión) + JOSS (resubmitted)</w:t>
            </w:r>
          </w:p>
        </w:tc>
      </w:tr>
    </w:tbl>
    <w:p>
      <w:r>
        <w:br w:type="page"/>
      </w:r>
    </w:p>
    <w:p>
      <w:pPr>
        <w:pStyle w:val="Heading1"/>
        <w:spacing w:after="200" w:before="320"/>
      </w:pPr>
      <w:r>
        <w:rPr>
          <w:rFonts w:ascii="Calibri" w:cs="Calibri" w:eastAsia="Calibri" w:hAnsi="Calibri"/>
          <w:b/>
          <w:bCs/>
          <w:color w:val="1F3864"/>
          <w:sz w:val="32"/>
          <w:szCs w:val="32"/>
        </w:rP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Riesgo</w:t>
            </w:r>
          </w:p>
        </w:tc>
        <w:tc>
          <w:tcPr>
            <w:tcW w:type="dxa" w:w="1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Probabilidad</w:t>
            </w:r>
          </w:p>
        </w:tc>
        <w:tc>
          <w:tcPr>
            <w:tcW w:type="dxa" w:w="150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Impacto</w:t>
            </w:r>
          </w:p>
        </w:tc>
        <w:tc>
          <w:tcPr>
            <w:tcW w:type="dxa" w:w="3160"/>
            <w:tcBorders>
              <w:top w:val="single" w:color="BFBFBF" w:sz="6"/>
              <w:left w:val="single" w:color="BFBFBF" w:sz="6"/>
              <w:bottom w:val="single" w:color="BFBFBF" w:sz="6"/>
              <w:right w:val="single" w:color="BFBFBF" w:sz="6"/>
            </w:tcBorders>
            <w:shd w:fill="1F3864" w:val="clear"/>
            <w:tcMar>
              <w:top w:type="dxa" w:w="80"/>
              <w:left w:type="dxa" w:w="120"/>
              <w:bottom w:type="dxa" w:w="80"/>
              <w:right w:type="dxa" w:w="120"/>
            </w:tcMar>
            <w:vAlign w:val="center"/>
          </w:tcPr>
          <w:p>
            <w:pPr>
              <w:spacing w:after="0" w:line="260"/>
              <w:jc w:val="left"/>
            </w:pPr>
            <w:r>
              <w:rPr>
                <w:rFonts w:ascii="Calibri" w:cs="Calibri" w:eastAsia="Calibri" w:hAnsi="Calibri"/>
                <w:b/>
                <w:bCs/>
                <w:color w:val="FFFFFF"/>
                <w:sz w:val="20"/>
                <w:szCs w:val="20"/>
              </w:rPr>
              <w:t xml:space="preserve">Mitigación</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JOSS rechaza una segunda vez por dependencia excesiva de IA en commits</w:t>
            </w:r>
          </w:p>
        </w:tc>
        <w:tc>
          <w:tcPr>
            <w:tcW w:type="dxa" w:w="15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Media</w:t>
            </w:r>
          </w:p>
        </w:tc>
        <w:tc>
          <w:tcPr>
            <w:tcW w:type="dxa" w:w="15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Alto</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Mensajes de commit no narrativos (no «Claude added…»). Cada PR descrito desde el punto de vista del problema. Mantener AI Usage Disclosure honesta.</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Self-plagiarism JORS↔JOSS</w:t>
            </w:r>
          </w:p>
        </w:tc>
        <w:tc>
          <w:tcPr>
            <w:tcW w:type="dxa" w:w="15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Media</w:t>
            </w:r>
          </w:p>
        </w:tc>
        <w:tc>
          <w:tcPr>
            <w:tcW w:type="dxa" w:w="15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Alto</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Diferenciar artefactos: JORS describe metodología/datos; JOSS describe paquete software. Citas cruzadas explícitas. Carta de presentación a cada editor explicando la complementariedad.</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v2.0 rompe usuarios externos del v1.45</w:t>
            </w:r>
          </w:p>
        </w:tc>
        <w:tc>
          <w:tcPr>
            <w:tcW w:type="dxa" w:w="150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Baja</w:t>
            </w:r>
          </w:p>
        </w:tc>
        <w:tc>
          <w:tcPr>
            <w:tcW w:type="dxa" w:w="15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Medio</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Hoy hay 0 usuarios externos. Mantener tag v1.45 inmutable. CHANGELOG.md con sección de migración.</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O*NET 30.x rompe correlaciones críticas</w:t>
            </w:r>
          </w:p>
        </w:tc>
        <w:tc>
          <w:tcPr>
            <w:tcW w:type="dxa" w:w="15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Media</w:t>
            </w:r>
          </w:p>
        </w:tc>
        <w:tc>
          <w:tcPr>
            <w:tcW w:type="dxa" w:w="15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Medio</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Tratar el upgrade en rama separada, comparar con umbral preacordado, decidir entre v2.3.0 (compatible) o v3.0.0 (breaking) tras inspección.</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La aplicación Streamlit deja de funcionar al cambiar el CSV</w:t>
            </w:r>
          </w:p>
        </w:tc>
        <w:tc>
          <w:tcPr>
            <w:tcW w:type="dxa" w:w="1500"/>
            <w:tcBorders>
              <w:top w:val="single" w:color="BFBFBF" w:sz="6"/>
              <w:left w:val="single" w:color="BFBFBF" w:sz="6"/>
              <w:bottom w:val="single" w:color="BFBFBF" w:sz="6"/>
              <w:right w:val="single" w:color="BFBFBF" w:sz="6"/>
            </w:tcBorders>
            <w:shd w:fill="FFF2CC"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Media</w:t>
            </w:r>
          </w:p>
        </w:tc>
        <w:tc>
          <w:tcPr>
            <w:tcW w:type="dxa" w:w="1500"/>
            <w:tcBorders>
              <w:top w:val="single" w:color="BFBFBF" w:sz="6"/>
              <w:left w:val="single" w:color="BFBFBF" w:sz="6"/>
              <w:bottom w:val="single" w:color="BFBFBF" w:sz="6"/>
              <w:right w:val="single" w:color="BFBFBF" w:sz="6"/>
            </w:tcBorders>
            <w:shd w:fill="E2EFDA"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Bajo</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Versionar streamlit_app/itea_data.csv con tag, escribir un test smoke en CI que arranque la app en modo headless.</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Falta de tiempo: el cronograma asume ~10 h/semana</w:t>
            </w:r>
          </w:p>
        </w:tc>
        <w:tc>
          <w:tcPr>
            <w:tcW w:type="dxa" w:w="15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Alta</w:t>
            </w:r>
          </w:p>
        </w:tc>
        <w:tc>
          <w:tcPr>
            <w:tcW w:type="dxa" w:w="15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Alto</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Si se pierde un mes, posponer JOSS pero NO JORS (es el camino corto). Priorizar P0 sobre todo lo demás.</w:t>
            </w:r>
          </w:p>
        </w:tc>
      </w:tr>
      <w:tr>
        <w:tc>
          <w:tcPr>
            <w:tcW w:type="dxa" w:w="320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Filtración de credenciales (recovery codes en uploads)</w:t>
            </w:r>
          </w:p>
        </w:tc>
        <w:tc>
          <w:tcPr>
            <w:tcW w:type="dxa" w:w="15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Materializada</w:t>
            </w:r>
          </w:p>
        </w:tc>
        <w:tc>
          <w:tcPr>
            <w:tcW w:type="dxa" w:w="1500"/>
            <w:tcBorders>
              <w:top w:val="single" w:color="BFBFBF" w:sz="6"/>
              <w:left w:val="single" w:color="BFBFBF" w:sz="6"/>
              <w:bottom w:val="single" w:color="BFBFBF" w:sz="6"/>
              <w:right w:val="single" w:color="BFBFBF" w:sz="6"/>
            </w:tcBorders>
            <w:shd w:fill="F8CBAD" w:val="clear"/>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Crítico</w:t>
            </w:r>
          </w:p>
        </w:tc>
        <w:tc>
          <w:tcPr>
            <w:tcW w:type="dxa" w:w="3160"/>
            <w:tcBorders>
              <w:top w:val="single" w:color="BFBFBF" w:sz="6"/>
              <w:left w:val="single" w:color="BFBFBF" w:sz="6"/>
              <w:bottom w:val="single" w:color="BFBFBF" w:sz="6"/>
              <w:right w:val="single" w:color="BFBFBF" w:sz="6"/>
            </w:tcBorders>
            <w:tcMar>
              <w:top w:type="dxa" w:w="80"/>
              <w:left w:type="dxa" w:w="120"/>
              <w:bottom w:type="dxa" w:w="80"/>
              <w:right w:type="dxa" w:w="120"/>
            </w:tcMar>
            <w:vAlign w:val="center"/>
          </w:tcPr>
          <w:p>
            <w:pPr>
              <w:spacing w:after="0" w:line="260"/>
              <w:jc w:val="left"/>
            </w:pPr>
            <w:r>
              <w:rPr>
                <w:rFonts w:ascii="Calibri" w:cs="Calibri" w:eastAsia="Calibri" w:hAnsi="Calibri"/>
                <w:b w:val="false"/>
                <w:bCs w:val="false"/>
                <w:color w:val="000000"/>
                <w:sz w:val="20"/>
                <w:szCs w:val="20"/>
              </w:rPr>
              <w:t xml:space="preserve">Regenerar recovery codes en GitHub inmediatamente. Borrar el .txt local. Auditar Security log de la cuenta.</w:t>
            </w:r>
          </w:p>
        </w:tc>
      </w:tr>
    </w:tbl>
    <w:p>
      <w:r>
        <w:br w:type="page"/>
      </w:r>
    </w:p>
    <w:p>
      <w:pPr>
        <w:pStyle w:val="Heading1"/>
        <w:spacing w:after="200" w:before="320"/>
      </w:pPr>
      <w:r>
        <w:rPr>
          <w:rFonts w:ascii="Calibri" w:cs="Calibri" w:eastAsia="Calibri" w:hAnsi="Calibri"/>
          <w:b/>
          <w:bCs/>
          <w:color w:val="1F3864"/>
          <w:sz w:val="32"/>
          <w:szCs w:val="32"/>
        </w:rPr>
        <w:t xml:space="preserve">8. Decisiones que requiero confirmadas</w:t>
      </w:r>
    </w:p>
    <w:p>
      <w:pPr>
        <w:spacing w:after="120" w:line="280"/>
        <w:jc w:val="both"/>
      </w:pPr>
      <w:r>
        <w:rPr>
          <w:rFonts w:ascii="Calibri" w:cs="Calibri" w:eastAsia="Calibri" w:hAnsi="Calibri"/>
          <w:sz w:val="22"/>
          <w:szCs w:val="22"/>
        </w:rPr>
        <w:t xml:space="preserve">Antes de ejecutar el plan necesito tu validación sobre cinco bifurcaciones que cambian materialmente el alcance del trabajo.</w:t>
      </w:r>
    </w:p>
    <w:p>
      <w:pPr>
        <w:spacing w:after="120" w:line="280"/>
        <w:jc w:val="both"/>
      </w:pPr>
      <w:r>
        <w:rPr>
          <w:rFonts w:ascii="Calibri" w:cs="Calibri" w:eastAsia="Calibri" w:hAnsi="Calibri"/>
          <w:b/>
          <w:bCs/>
          <w:sz w:val="22"/>
          <w:szCs w:val="22"/>
        </w:rPr>
        <w:t xml:space="preserve">Decisión 1 — Estrategia editorial. </w:t>
      </w:r>
      <w:r>
        <w:rPr>
          <w:rFonts w:ascii="Calibri" w:cs="Calibri" w:eastAsia="Calibri" w:hAnsi="Calibri"/>
          <w:sz w:val="22"/>
          <w:szCs w:val="22"/>
        </w:rPr>
        <w:t xml:space="preserve">¿Confirmas la doble vía JORS (corto plazo, mayo–octubre) + JOSS (resubmisión post-octubre con seis meses de historial)? La alternativa A es solo JOSS (más impacto técnico, más lento); la alternativa B es solo JORS (más rápido, menor reconocimiento en la comunidad de software). La doble vía maximiza valor pero exige diferenciar bien los dos artefactos.</w:t>
      </w:r>
    </w:p>
    <w:p>
      <w:pPr>
        <w:spacing w:after="120" w:line="280"/>
        <w:jc w:val="both"/>
      </w:pPr>
      <w:r>
        <w:rPr>
          <w:rFonts w:ascii="Calibri" w:cs="Calibri" w:eastAsia="Calibri" w:hAnsi="Calibri"/>
          <w:b/>
          <w:bCs/>
          <w:sz w:val="22"/>
          <w:szCs w:val="22"/>
        </w:rPr>
        <w:t xml:space="preserve">Decisión 2 — Versionado. </w:t>
      </w:r>
      <w:r>
        <w:rPr>
          <w:rFonts w:ascii="Calibri" w:cs="Calibri" w:eastAsia="Calibri" w:hAnsi="Calibri"/>
          <w:sz w:val="22"/>
          <w:szCs w:val="22"/>
        </w:rPr>
        <w:t xml:space="preserve">¿Confirmas el bump a v2.0.0 ahora (con DOI Zenodo nuevo) y la reserva de v3.0.0 para la migración O*NET? Si prefieres mantener el DOI actual y publicar v2.0 como simple actualización dentro del mismo registro Zenodo, lo respeto pero pierdes la trazabilidad limpia.</w:t>
      </w:r>
    </w:p>
    <w:p>
      <w:pPr>
        <w:spacing w:after="120" w:line="280"/>
        <w:jc w:val="both"/>
      </w:pPr>
      <w:r>
        <w:rPr>
          <w:rFonts w:ascii="Calibri" w:cs="Calibri" w:eastAsia="Calibri" w:hAnsi="Calibri"/>
          <w:b/>
          <w:bCs/>
          <w:sz w:val="22"/>
          <w:szCs w:val="22"/>
        </w:rPr>
        <w:t xml:space="preserve">Decisión 3 — O*NET. </w:t>
      </w:r>
      <w:r>
        <w:rPr>
          <w:rFonts w:ascii="Calibri" w:cs="Calibri" w:eastAsia="Calibri" w:hAnsi="Calibri"/>
          <w:sz w:val="22"/>
          <w:szCs w:val="22"/>
        </w:rPr>
        <w:t xml:space="preserve">¿Quieres que abra onetcenter.org y verifique exactamente qué release son los .txt subidos antes de bloquear la cita? La alternativa es asumir 29.3 / 30.0 e ir corrigiendo si hace falta.</w:t>
      </w:r>
    </w:p>
    <w:p>
      <w:pPr>
        <w:spacing w:after="120" w:line="280"/>
        <w:jc w:val="both"/>
      </w:pPr>
      <w:r>
        <w:rPr>
          <w:rFonts w:ascii="Calibri" w:cs="Calibri" w:eastAsia="Calibri" w:hAnsi="Calibri"/>
          <w:b/>
          <w:bCs/>
          <w:sz w:val="22"/>
          <w:szCs w:val="22"/>
        </w:rPr>
        <w:t xml:space="preserve">Decisión 4 — Repo o nuevo repo. </w:t>
      </w:r>
      <w:r>
        <w:rPr>
          <w:rFonts w:ascii="Calibri" w:cs="Calibri" w:eastAsia="Calibri" w:hAnsi="Calibri"/>
          <w:sz w:val="22"/>
          <w:szCs w:val="22"/>
        </w:rPr>
        <w:t xml:space="preserve">¿Mantenemos el repo Aval22/ITEA actual (recomendado: la baja actividad es problema, pero existe historial mínimo y el DOI Zenodo lo enlaza) o creamos uno nuevo aval22/itea-framework? Mover de repo borraría el rechazo de JOSS pero también el (poco) historial existente.</w:t>
      </w:r>
    </w:p>
    <w:p>
      <w:pPr>
        <w:spacing w:after="120" w:line="280"/>
        <w:jc w:val="both"/>
      </w:pPr>
      <w:r>
        <w:rPr>
          <w:rFonts w:ascii="Calibri" w:cs="Calibri" w:eastAsia="Calibri" w:hAnsi="Calibri"/>
          <w:b/>
          <w:bCs/>
          <w:sz w:val="22"/>
          <w:szCs w:val="22"/>
        </w:rPr>
        <w:t xml:space="preserve">Decisión 5 — Ritmo. </w:t>
      </w:r>
      <w:r>
        <w:rPr>
          <w:rFonts w:ascii="Calibri" w:cs="Calibri" w:eastAsia="Calibri" w:hAnsi="Calibri"/>
          <w:sz w:val="22"/>
          <w:szCs w:val="22"/>
        </w:rPr>
        <w:t xml:space="preserve">¿Cuánto tiempo real puedes dedicar por semana? El plan asume 8–10 h. Si son 4–5 h, hay que recortar P2 y P3 y mover el envío JORS a julio.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Framework ITEA · Diagnóstico y Plan de Mejoras · 2026-04-29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pnawhcc34u2ooje6nkwj" Type="http://schemas.openxmlformats.org/officeDocument/2006/relationships/hyperlink" Target="https://github.com/Aval22/ITEA" TargetMode="External"/><Relationship Id="rIdl2cbnzwognupxewe77g-x" Type="http://schemas.openxmlformats.org/officeDocument/2006/relationships/hyperlink" Target="https://doi.org/10.5281/zenodo.19578916" TargetMode="External"/><Relationship Id="rIdueya-qvgjqsidd0h9xjbo" Type="http://schemas.openxmlformats.org/officeDocument/2006/relationships/hyperlink" Target="https://itea-framework.streamlit.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2026-04-29T09:11:15.098Z</dcterms:created>
  <dcterms:modified xsi:type="dcterms:W3CDTF">2026-04-29T09:11:15.098Z</dcterms:modified>
</cp:coreProperties>
</file>

<file path=docProps/custom.xml><?xml version="1.0" encoding="utf-8"?>
<Properties xmlns="http://schemas.openxmlformats.org/officeDocument/2006/custom-properties" xmlns:vt="http://schemas.openxmlformats.org/officeDocument/2006/docPropsVTypes"/>
</file>