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p>
    <w:p>
      <w:pPr>
        <w:spacing w:after="240" w:before="100"/>
        <w:jc w:val="center"/>
      </w:pPr>
      <w:r>
        <w:rPr>
          <w:rFonts w:ascii="Calibri" w:cs="Calibri" w:eastAsia="Calibri" w:hAnsi="Calibri"/>
          <w:b/>
          <w:bCs/>
          <w:color w:val="1F4E79"/>
          <w:sz w:val="48"/>
          <w:szCs w:val="48"/>
        </w:rPr>
        <w:t xml:space="preserve">ITEA FRAMEWORK v2.0</w:t>
      </w:r>
    </w:p>
    <w:p>
      <w:pPr>
        <w:spacing w:after="240" w:before="100"/>
        <w:jc w:val="center"/>
      </w:pPr>
      <w:r>
        <w:rPr>
          <w:rFonts w:ascii="Calibri" w:cs="Calibri" w:eastAsia="Calibri" w:hAnsi="Calibri"/>
          <w:i/>
          <w:iCs/>
          <w:sz w:val="32"/>
          <w:szCs w:val="32"/>
        </w:rPr>
        <w:t xml:space="preserve">Triple Index of Exposure to Automation</w:t>
      </w:r>
    </w:p>
    <w:p>
      <w:pPr>
        <w:spacing w:after="720" w:before="100"/>
        <w:jc w:val="center"/>
      </w:pPr>
      <w:r>
        <w:rPr>
          <w:rFonts w:ascii="Calibri" w:cs="Calibri" w:eastAsia="Calibri" w:hAnsi="Calibri"/>
          <w:sz w:val="28"/>
          <w:szCs w:val="28"/>
        </w:rPr>
        <w:t xml:space="preserve">Comprehensive Methodological Document</w:t>
      </w:r>
    </w:p>
    <w:p>
      <w:pPr>
        <w:spacing w:after="120" w:before="100"/>
        <w:jc w:val="center"/>
      </w:pPr>
      <w:r>
        <w:rPr>
          <w:rFonts w:ascii="Calibri" w:cs="Calibri" w:eastAsia="Calibri" w:hAnsi="Calibri"/>
          <w:i/>
          <w:iCs/>
          <w:sz w:val="24"/>
          <w:szCs w:val="24"/>
        </w:rPr>
        <w:t xml:space="preserve">8 indicators · 1,016 occupations · O*NET 2024 (v29.1)</w:t>
      </w:r>
    </w:p>
    <w:p>
      <w:pPr>
        <w:spacing w:after="1440" w:before="100"/>
        <w:jc w:val="center"/>
      </w:pPr>
      <w:r>
        <w:rPr>
          <w:rFonts w:ascii="Calibri" w:cs="Calibri" w:eastAsia="Calibri" w:hAnsi="Calibri"/>
          <w:i/>
          <w:iCs/>
          <w:color w:val="666666"/>
          <w:sz w:val="22"/>
          <w:szCs w:val="22"/>
        </w:rPr>
        <w:t xml:space="preserve">Effective sample of 846 occupations with complete data</w:t>
      </w:r>
    </w:p>
    <w:p>
      <w:pPr>
        <w:spacing w:after="80" w:before="100"/>
        <w:jc w:val="center"/>
      </w:pPr>
      <w:r>
        <w:rPr>
          <w:rFonts w:ascii="Calibri" w:cs="Calibri" w:eastAsia="Calibri" w:hAnsi="Calibri"/>
          <w:b/>
          <w:bCs/>
          <w:sz w:val="24"/>
          <w:szCs w:val="24"/>
        </w:rPr>
        <w:t xml:space="preserve">Author: Alberto García-Lluis Valencia</w:t>
      </w:r>
    </w:p>
    <w:p>
      <w:pPr>
        <w:spacing w:after="80" w:before="100"/>
        <w:jc w:val="center"/>
      </w:pPr>
      <w:r>
        <w:rPr>
          <w:rFonts w:ascii="Calibri" w:cs="Calibri" w:eastAsia="Calibri" w:hAnsi="Calibri"/>
          <w:sz w:val="22"/>
          <w:szCs w:val="22"/>
        </w:rPr>
        <w:t xml:space="preserve">Universidad Rey Juan Carlos</w:t>
      </w:r>
    </w:p>
    <w:p>
      <w:pPr>
        <w:spacing w:after="80" w:before="100"/>
        <w:jc w:val="center"/>
      </w:pPr>
      <w:r>
        <w:rPr>
          <w:rFonts w:ascii="Calibri" w:cs="Calibri" w:eastAsia="Calibri" w:hAnsi="Calibri"/>
          <w:i/>
          <w:iCs/>
          <w:sz w:val="20"/>
          <w:szCs w:val="20"/>
        </w:rPr>
        <w:t xml:space="preserve">ORCID: 0009-0003-1438-1633</w:t>
      </w:r>
    </w:p>
    <w:p>
      <w:pPr>
        <w:spacing w:after="480" w:before="100"/>
        <w:jc w:val="center"/>
      </w:pPr>
      <w:r>
        <w:rPr>
          <w:rFonts w:ascii="Calibri" w:cs="Calibri" w:eastAsia="Calibri" w:hAnsi="Calibri"/>
          <w:i/>
          <w:iCs/>
          <w:sz w:val="20"/>
          <w:szCs w:val="20"/>
        </w:rPr>
        <w:t xml:space="preserve">alb.valencia@gmail.com</w:t>
      </w:r>
    </w:p>
    <w:p>
      <w:pPr>
        <w:spacing w:after="80" w:before="100"/>
        <w:jc w:val="center"/>
      </w:pPr>
      <w:r>
        <w:rPr>
          <w:rFonts w:ascii="Calibri" w:cs="Calibri" w:eastAsia="Calibri" w:hAnsi="Calibri"/>
          <w:i/>
          <w:iCs/>
          <w:sz w:val="22"/>
          <w:szCs w:val="22"/>
        </w:rPr>
        <w:t xml:space="preserve">Version 2.0 — April 2026</w:t>
      </w:r>
    </w:p>
    <w:p>
      <w:pPr>
        <w:spacing w:after="100" w:before="100"/>
        <w:jc w:val="center"/>
      </w:pPr>
      <w:r>
        <w:rPr>
          <w:rFonts w:ascii="Calibri" w:cs="Calibri" w:eastAsia="Calibri" w:hAnsi="Calibri"/>
          <w:i/>
          <w:iCs/>
          <w:color w:val="666666"/>
          <w:sz w:val="18"/>
          <w:szCs w:val="18"/>
        </w:rPr>
        <w:t xml:space="preserve">Supersedes ITEA Methodology v1.4</w:t>
      </w:r>
    </w:p>
    <w:p>
      <w:r>
        <w:br w:type="page"/>
      </w:r>
    </w:p>
    <w:p>
      <w:pPr>
        <w:spacing w:after="240" w:before="480"/>
      </w:pPr>
      <w:r>
        <w:rPr>
          <w:rFonts w:ascii="Calibri" w:cs="Calibri" w:eastAsia="Calibri" w:hAnsi="Calibri"/>
          <w:b/>
          <w:bCs/>
          <w:color w:val="1F4E79"/>
          <w:sz w:val="32"/>
          <w:szCs w:val="32"/>
        </w:rPr>
        <w:t xml:space="preserve">Table of Contents</w:t>
      </w:r>
    </w:p>
    <w:p>
      <w:pPr>
        <w:spacing w:after="80" w:before="0" w:line="320"/>
        <w:ind w:left="240"/>
        <w:jc w:val="both"/>
      </w:pPr>
      <w:r>
        <w:rPr>
          <w:rFonts w:ascii="Calibri" w:cs="Calibri" w:eastAsia="Calibri" w:hAnsi="Calibri"/>
          <w:sz w:val="22"/>
          <w:szCs w:val="22"/>
        </w:rPr>
        <w:t xml:space="preserve">1. Introduction to the ITEA Framework</w:t>
      </w:r>
    </w:p>
    <w:p>
      <w:pPr>
        <w:spacing w:after="80" w:before="0" w:line="320"/>
        <w:ind w:left="240"/>
        <w:jc w:val="both"/>
      </w:pPr>
      <w:r>
        <w:rPr>
          <w:rFonts w:ascii="Calibri" w:cs="Calibri" w:eastAsia="Calibri" w:hAnsi="Calibri"/>
          <w:sz w:val="22"/>
          <w:szCs w:val="22"/>
        </w:rPr>
        <w:t xml:space="preserve">2. General Methodology</w:t>
      </w:r>
    </w:p>
    <w:p>
      <w:pPr>
        <w:spacing w:after="80" w:before="0" w:line="320"/>
        <w:ind w:left="240"/>
        <w:jc w:val="both"/>
      </w:pPr>
      <w:r>
        <w:rPr>
          <w:rFonts w:ascii="Calibri" w:cs="Calibri" w:eastAsia="Calibri" w:hAnsi="Calibri"/>
          <w:sz w:val="22"/>
          <w:szCs w:val="22"/>
        </w:rPr>
        <w:t xml:space="preserve">3. Indicator Structure</w:t>
      </w:r>
    </w:p>
    <w:p>
      <w:pPr>
        <w:spacing w:after="80" w:before="0" w:line="320"/>
        <w:ind w:left="240"/>
        <w:jc w:val="both"/>
      </w:pPr>
      <w:r>
        <w:rPr>
          <w:rFonts w:ascii="Calibri" w:cs="Calibri" w:eastAsia="Calibri" w:hAnsi="Calibri"/>
          <w:sz w:val="22"/>
          <w:szCs w:val="22"/>
        </w:rPr>
        <w:t xml:space="preserve">4. ITEA — Triple Index of Exposure to Automation</w:t>
      </w:r>
    </w:p>
    <w:p>
      <w:pPr>
        <w:spacing w:after="80" w:before="0" w:line="320"/>
        <w:ind w:left="240"/>
        <w:jc w:val="both"/>
      </w:pPr>
      <w:r>
        <w:rPr>
          <w:rFonts w:ascii="Calibri" w:cs="Calibri" w:eastAsia="Calibri" w:hAnsi="Calibri"/>
          <w:sz w:val="22"/>
          <w:szCs w:val="22"/>
        </w:rPr>
        <w:t xml:space="preserve">5. IRA v2.0 — Adaptive Resilience Index (replaces IRO)</w:t>
      </w:r>
    </w:p>
    <w:p>
      <w:pPr>
        <w:spacing w:after="80" w:before="0" w:line="320"/>
        <w:ind w:left="240"/>
        <w:jc w:val="both"/>
      </w:pPr>
      <w:r>
        <w:rPr>
          <w:rFonts w:ascii="Calibri" w:cs="Calibri" w:eastAsia="Calibri" w:hAnsi="Calibri"/>
          <w:sz w:val="22"/>
          <w:szCs w:val="22"/>
        </w:rPr>
        <w:t xml:space="preserve">6. ICT — Technical Complexity Index</w:t>
      </w:r>
    </w:p>
    <w:p>
      <w:pPr>
        <w:spacing w:after="80" w:before="0" w:line="320"/>
        <w:ind w:left="240"/>
        <w:jc w:val="both"/>
      </w:pPr>
      <w:r>
        <w:rPr>
          <w:rFonts w:ascii="Calibri" w:cs="Calibri" w:eastAsia="Calibri" w:hAnsi="Calibri"/>
          <w:sz w:val="22"/>
          <w:szCs w:val="22"/>
        </w:rPr>
        <w:t xml:space="preserve">7. IFS — Social Friction Index</w:t>
      </w:r>
    </w:p>
    <w:p>
      <w:pPr>
        <w:spacing w:after="80" w:before="0" w:line="320"/>
        <w:ind w:left="240"/>
        <w:jc w:val="both"/>
      </w:pPr>
      <w:r>
        <w:rPr>
          <w:rFonts w:ascii="Calibri" w:cs="Calibri" w:eastAsia="Calibri" w:hAnsi="Calibri"/>
          <w:sz w:val="22"/>
          <w:szCs w:val="22"/>
        </w:rPr>
        <w:t xml:space="preserve">8. IPI — Interpersonal Presence Index</w:t>
      </w:r>
    </w:p>
    <w:p>
      <w:pPr>
        <w:spacing w:after="80" w:before="0" w:line="320"/>
        <w:ind w:left="240"/>
        <w:jc w:val="both"/>
      </w:pPr>
      <w:r>
        <w:rPr>
          <w:rFonts w:ascii="Calibri" w:cs="Calibri" w:eastAsia="Calibri" w:hAnsi="Calibri"/>
          <w:sz w:val="22"/>
          <w:szCs w:val="22"/>
        </w:rPr>
        <w:t xml:space="preserve">9. IEF — Functional Specificity Index</w:t>
      </w:r>
    </w:p>
    <w:p>
      <w:pPr>
        <w:spacing w:after="80" w:before="0" w:line="320"/>
        <w:ind w:left="240"/>
        <w:jc w:val="both"/>
      </w:pPr>
      <w:r>
        <w:rPr>
          <w:rFonts w:ascii="Calibri" w:cs="Calibri" w:eastAsia="Calibri" w:hAnsi="Calibri"/>
          <w:sz w:val="22"/>
          <w:szCs w:val="22"/>
        </w:rPr>
        <w:t xml:space="preserve">10. GEE — Education-Experience Gradient</w:t>
      </w:r>
    </w:p>
    <w:p>
      <w:pPr>
        <w:spacing w:after="80" w:before="0" w:line="320"/>
        <w:ind w:left="240"/>
        <w:jc w:val="both"/>
      </w:pPr>
      <w:r>
        <w:rPr>
          <w:rFonts w:ascii="Calibri" w:cs="Calibri" w:eastAsia="Calibri" w:hAnsi="Calibri"/>
          <w:sz w:val="22"/>
          <w:szCs w:val="22"/>
        </w:rPr>
        <w:t xml:space="preserve">11. IMO — Occupational Mutation Index</w:t>
      </w:r>
    </w:p>
    <w:p>
      <w:pPr>
        <w:spacing w:after="80" w:before="0" w:line="320"/>
        <w:ind w:left="240"/>
        <w:jc w:val="both"/>
      </w:pPr>
      <w:r>
        <w:rPr>
          <w:rFonts w:ascii="Calibri" w:cs="Calibri" w:eastAsia="Calibri" w:hAnsi="Calibri"/>
          <w:sz w:val="22"/>
          <w:szCs w:val="22"/>
        </w:rPr>
        <w:t xml:space="preserve">12. AEI — Algorithmic Expropriation Index (convergent criterion)</w:t>
      </w:r>
    </w:p>
    <w:p>
      <w:pPr>
        <w:spacing w:after="80" w:before="0" w:line="320"/>
        <w:ind w:left="240"/>
        <w:jc w:val="both"/>
      </w:pPr>
      <w:r>
        <w:rPr>
          <w:rFonts w:ascii="Calibri" w:cs="Calibri" w:eastAsia="Calibri" w:hAnsi="Calibri"/>
          <w:sz w:val="22"/>
          <w:szCs w:val="22"/>
        </w:rPr>
        <w:t xml:space="preserve">13. OAEI v2.0 — Operational Algorithmic Expropriation Index</w:t>
      </w:r>
    </w:p>
    <w:p>
      <w:pPr>
        <w:spacing w:after="80" w:before="0" w:line="320"/>
        <w:ind w:left="240"/>
        <w:jc w:val="both"/>
      </w:pPr>
      <w:r>
        <w:rPr>
          <w:rFonts w:ascii="Calibri" w:cs="Calibri" w:eastAsia="Calibri" w:hAnsi="Calibri"/>
          <w:sz w:val="22"/>
          <w:szCs w:val="22"/>
        </w:rPr>
        <w:t xml:space="preserve">14. Integrated Validation of the Framework</w:t>
      </w:r>
    </w:p>
    <w:p>
      <w:pPr>
        <w:spacing w:after="80" w:before="0" w:line="320"/>
        <w:ind w:left="240"/>
        <w:jc w:val="both"/>
      </w:pPr>
      <w:r>
        <w:rPr>
          <w:rFonts w:ascii="Calibri" w:cs="Calibri" w:eastAsia="Calibri" w:hAnsi="Calibri"/>
          <w:sz w:val="22"/>
          <w:szCs w:val="22"/>
        </w:rPr>
        <w:t xml:space="preserve">15. Version History (v1.0 → v2.0)</w:t>
      </w:r>
    </w:p>
    <w:p>
      <w:pPr>
        <w:spacing w:after="80" w:before="0" w:line="320"/>
        <w:ind w:left="240"/>
        <w:jc w:val="both"/>
      </w:pPr>
      <w:r>
        <w:rPr>
          <w:rFonts w:ascii="Calibri" w:cs="Calibri" w:eastAsia="Calibri" w:hAnsi="Calibri"/>
          <w:sz w:val="22"/>
          <w:szCs w:val="22"/>
        </w:rPr>
        <w:t xml:space="preserve">16. Limitations and Future Work</w:t>
      </w:r>
    </w:p>
    <w:p>
      <w:pPr>
        <w:spacing w:after="80" w:before="0" w:line="320"/>
        <w:ind w:left="240"/>
        <w:jc w:val="both"/>
      </w:pPr>
      <w:r>
        <w:rPr>
          <w:rFonts w:ascii="Calibri" w:cs="Calibri" w:eastAsia="Calibri" w:hAnsi="Calibri"/>
          <w:sz w:val="22"/>
          <w:szCs w:val="22"/>
        </w:rPr>
        <w:t xml:space="preserve">17. References</w:t>
      </w:r>
    </w:p>
    <w:p>
      <w:r>
        <w:br w:type="page"/>
      </w:r>
    </w:p>
    <w:p>
      <w:pPr>
        <w:spacing w:after="240" w:before="480"/>
      </w:pPr>
      <w:r>
        <w:rPr>
          <w:rFonts w:ascii="Calibri" w:cs="Calibri" w:eastAsia="Calibri" w:hAnsi="Calibri"/>
          <w:b/>
          <w:bCs/>
          <w:color w:val="1F4E79"/>
          <w:sz w:val="32"/>
          <w:szCs w:val="32"/>
        </w:rPr>
        <w:t xml:space="preserve">1. Introduction to the ITEA Framework</w:t>
      </w:r>
    </w:p>
    <w:p>
      <w:pPr>
        <w:spacing w:after="180" w:before="320"/>
      </w:pPr>
      <w:r>
        <w:rPr>
          <w:rFonts w:ascii="Calibri" w:cs="Calibri" w:eastAsia="Calibri" w:hAnsi="Calibri"/>
          <w:b/>
          <w:bCs/>
          <w:color w:val="1F4E79"/>
          <w:sz w:val="26"/>
          <w:szCs w:val="26"/>
        </w:rPr>
        <w:t xml:space="preserve">1.1 Context and motivation</w:t>
      </w:r>
    </w:p>
    <w:p>
      <w:pPr>
        <w:spacing w:after="160" w:before="0" w:line="320"/>
        <w:jc w:val="both"/>
      </w:pPr>
      <w:r>
        <w:rPr>
          <w:rFonts w:ascii="Calibri" w:cs="Calibri" w:eastAsia="Calibri" w:hAnsi="Calibri"/>
          <w:sz w:val="22"/>
          <w:szCs w:val="22"/>
        </w:rPr>
        <w:t xml:space="preserve">Automation and artificial intelligence are transforming labour markets at an unprecedented pace. Traditional measurement of occupational exposure, articulated by Frey and Osborne (2017) and refined by Eloundou, Manning, Mishkin and Rock (2024), Brynjolfsson, Li and Raymond (2025) and Massenkoff and McCrory (2026), has converged on metrics calibrated to the generative AI regime, where the worker retains workflow control. This regime, however, does not exhaust the phenomenon.</w:t>
      </w:r>
    </w:p>
    <w:p>
      <w:pPr>
        <w:spacing w:after="160" w:before="0" w:line="320"/>
        <w:jc w:val="both"/>
      </w:pPr>
      <w:r>
        <w:rPr>
          <w:rFonts w:ascii="Calibri" w:cs="Calibri" w:eastAsia="Calibri" w:hAnsi="Calibri"/>
          <w:sz w:val="22"/>
          <w:szCs w:val="22"/>
        </w:rPr>
        <w:t xml:space="preserve">The institutional consensus crystallised in 2025–2026 (Bain Technology Report 2025; McKinsey State of AI 2025; IBM Institute for Business Value 2025; Microsoft Ignite 2025) identifies </w:t>
      </w:r>
      <w:r>
        <w:rPr>
          <w:rFonts w:ascii="Calibri" w:cs="Calibri" w:eastAsia="Calibri" w:hAnsi="Calibri"/>
          <w:i/>
          <w:iCs/>
          <w:sz w:val="22"/>
          <w:szCs w:val="22"/>
        </w:rPr>
        <w:t xml:space="preserve">Agentic AI</w:t>
      </w:r>
      <w:r>
        <w:rPr>
          <w:rFonts w:ascii="Calibri" w:cs="Calibri" w:eastAsia="Calibri" w:hAnsi="Calibri"/>
          <w:sz w:val="22"/>
          <w:szCs w:val="22"/>
        </w:rPr>
        <w:t xml:space="preserve"> as a structurally distinct regime: autonomous systems trained on proprietary knowledge bases, capable of executing multi-step workflows, and treated by enterprises as “digital employees” with identity, access rights and lifecycle governance. Under this regime, worker knowledge does not remain diffuse: it is externalised, combined and internalised into proprietary structural assets, generating what the author's trilogy (Papers 8A, 8B, 8C) terms </w:t>
      </w:r>
      <w:r>
        <w:rPr>
          <w:rFonts w:ascii="Calibri" w:cs="Calibri" w:eastAsia="Calibri" w:hAnsi="Calibri"/>
          <w:b/>
          <w:bCs/>
          <w:sz w:val="22"/>
          <w:szCs w:val="22"/>
        </w:rPr>
        <w:t xml:space="preserve">algorithmic expropriation</w:t>
      </w:r>
      <w:r>
        <w:rPr>
          <w:rFonts w:ascii="Calibri" w:cs="Calibri" w:eastAsia="Calibri" w:hAnsi="Calibri"/>
          <w:sz w:val="22"/>
          <w:szCs w:val="22"/>
        </w:rPr>
        <w:t xml:space="preserve"> —the uncompensated transfer of intellectual capital from knowledge workers to organisational assets.</w:t>
      </w:r>
    </w:p>
    <w:p>
      <w:pPr>
        <w:spacing w:after="160" w:before="0" w:line="320"/>
        <w:jc w:val="both"/>
      </w:pPr>
      <w:r>
        <w:rPr>
          <w:rFonts w:ascii="Calibri" w:cs="Calibri" w:eastAsia="Calibri" w:hAnsi="Calibri"/>
          <w:sz w:val="22"/>
          <w:szCs w:val="22"/>
        </w:rPr>
        <w:t xml:space="preserve">The ITEA Framework v2.0 is designed to map, measure and prioritise this exposure from a multidimensional perspective that captures not only the probability of classical automation, but also the specific dynamics of intellectual capital crystallisation under the Agentic regime. The present version 2.0 incorporates three structural methodological innovations over the previous v1.45, developed throughout this document.</w:t>
      </w:r>
    </w:p>
    <w:p>
      <w:pPr>
        <w:spacing w:after="180" w:before="320"/>
      </w:pPr>
      <w:r>
        <w:rPr>
          <w:rFonts w:ascii="Calibri" w:cs="Calibri" w:eastAsia="Calibri" w:hAnsi="Calibri"/>
          <w:b/>
          <w:bCs/>
          <w:color w:val="1F4E79"/>
          <w:sz w:val="26"/>
          <w:szCs w:val="26"/>
        </w:rPr>
        <w:t xml:space="preserve">1.2 Innovations of version 2.0 over v1.45</w:t>
      </w:r>
    </w:p>
    <w:p>
      <w:pPr>
        <w:spacing w:after="160" w:before="0" w:line="320"/>
        <w:jc w:val="both"/>
      </w:pPr>
      <w:r>
        <w:rPr>
          <w:rFonts w:ascii="Calibri" w:cs="Calibri" w:eastAsia="Calibri" w:hAnsi="Calibri"/>
          <w:sz w:val="22"/>
          <w:szCs w:val="22"/>
        </w:rPr>
        <w:t xml:space="preserve">Version 2.0 introduces three structural changes responding to diagnostic findings on the previous version:</w:t>
      </w:r>
    </w:p>
    <w:p>
      <w:pPr>
        <w:spacing w:after="120" w:before="240"/>
        <w:jc w:val="left"/>
      </w:pPr>
      <w:r>
        <w:rPr>
          <w:rFonts w:ascii="Calibri" w:cs="Calibri" w:eastAsia="Calibri" w:hAnsi="Calibri"/>
          <w:b/>
          <w:bCs/>
          <w:color w:val="1F4E79"/>
          <w:sz w:val="20"/>
          <w:szCs w:val="20"/>
        </w:rPr>
        <w:t xml:space="preserve">Table 1.1. Structural innovations of version 2.0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4000"/>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Innovation</w:t>
            </w:r>
          </w:p>
        </w:tc>
        <w:tc>
          <w:tcPr>
            <w:tcW w:type="dxa" w:w="4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Diagnosis of v1.45</w:t>
            </w:r>
          </w:p>
        </w:tc>
        <w:tc>
          <w:tcPr>
            <w:tcW w:type="dxa" w:w="4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Solution in v2.0</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IRA v2.0 (replaces IRO)</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r(IRO_v1.45, GEE) = 0.904. Decomposition reveals structural collinearity: SI proxy r=0.925 with GEE; CC_v1.45 r=0.824 with GEE; only CA has independent variance (r=0.607). The IRO mixed human capital with adaptability, duplicating the GEE construct.</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IRA = 0.60·CA_norm + 0.40·IRO_residual_norm. Isolates adaptive variance orthogonal to formal qualification. Result: r(IRA v2.0, GEE) = 0.433.</w:t>
            </w:r>
          </w:p>
        </w:tc>
      </w:tr>
      <w:tr>
        <w:tc>
          <w:tcPr>
            <w:tcW w:type="dxa" w:w="1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OAEI v2.0 interpretable scale</w:t>
            </w:r>
          </w:p>
        </w:tc>
        <w:tc>
          <w:tcPr>
            <w:tcW w:type="dxa" w:w="4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OAEI_raw = ITEA × GEE × ICT × (1−IPI) produced values in arbitrary units [0, max_value] without an interpretable scale, hindering policy threshold calibration.</w:t>
            </w:r>
          </w:p>
        </w:tc>
        <w:tc>
          <w:tcPr>
            <w:tcW w:type="dxa" w:w="4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OAEI v2.0 = 1 + 99 × (OAEI_raw − min)/(max − min). Scale [1, 100] preserves theoretically grounded multiplicativity and rank-order; avoids the substantively meaningless formal zero.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AEI explicitly articulated</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The AEI was used as the convergent validity criterion for ITEA but its construction was not documented in the methodology, compromising the transparency of the validation process.</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Chapter 12 dedicated to the AEI: formula AEI = (%HIGH × 100) + (%TRANS × 50) + (%HIGH_ALGO × 200), built over 47,810 O*NET tasks classified by Auto_Grade and CI_Grade.</w:t>
            </w:r>
          </w:p>
        </w:tc>
      </w:tr>
    </w:tbl>
    <w:p>
      <w:pPr>
        <w:spacing w:after="240" w:before="80"/>
        <w:jc w:val="both"/>
      </w:pPr>
      <w:r>
        <w:rPr>
          <w:rFonts w:ascii="Calibri" w:cs="Calibri" w:eastAsia="Calibri" w:hAnsi="Calibri"/>
          <w:i/>
          <w:iCs/>
          <w:color w:val="666666"/>
          <w:sz w:val="18"/>
          <w:szCs w:val="18"/>
        </w:rPr>
        <w:t xml:space="preserve">The three innovations respond to issues identified during the review of v1.45 and are documented respectively in chapters 5 (IRA), 13 (OAEI) and 12 (AEI) of this document.</w:t>
      </w:r>
    </w:p>
    <w:p>
      <w:pPr>
        <w:spacing w:after="180" w:before="320"/>
      </w:pPr>
      <w:r>
        <w:rPr>
          <w:rFonts w:ascii="Calibri" w:cs="Calibri" w:eastAsia="Calibri" w:hAnsi="Calibri"/>
          <w:b/>
          <w:bCs/>
          <w:color w:val="1F4E79"/>
          <w:sz w:val="26"/>
          <w:szCs w:val="26"/>
        </w:rPr>
        <w:t xml:space="preserve">1.3 Research questions</w:t>
      </w:r>
    </w:p>
    <w:p>
      <w:pPr>
        <w:spacing w:after="160" w:before="0" w:line="320"/>
        <w:jc w:val="both"/>
      </w:pPr>
      <w:r>
        <w:rPr>
          <w:rFonts w:ascii="Calibri" w:cs="Calibri" w:eastAsia="Calibri" w:hAnsi="Calibri"/>
          <w:sz w:val="22"/>
          <w:szCs w:val="22"/>
        </w:rPr>
        <w:t xml:space="preserve">The ITEA v2.0 framework answers five fundamental questions about each occupation:</w:t>
      </w:r>
    </w:p>
    <w:p>
      <w:pPr>
        <w:pStyle w:val="ListParagraph"/>
        <w:numPr>
          <w:ilvl w:val="0"/>
          <w:numId w:val="1"/>
        </w:numPr>
        <w:spacing w:after="80" w:before="0" w:line="300"/>
      </w:pPr>
      <w:r>
        <w:rPr>
          <w:rFonts w:ascii="Calibri" w:cs="Calibri" w:eastAsia="Calibri" w:hAnsi="Calibri"/>
          <w:sz w:val="22"/>
          <w:szCs w:val="22"/>
        </w:rPr>
        <w:t xml:space="preserve">How much automation risk does the occupation face? (ITEA)</w:t>
      </w:r>
    </w:p>
    <w:p>
      <w:pPr>
        <w:pStyle w:val="ListParagraph"/>
        <w:numPr>
          <w:ilvl w:val="0"/>
          <w:numId w:val="1"/>
        </w:numPr>
        <w:spacing w:after="80" w:before="0" w:line="300"/>
      </w:pPr>
      <w:r>
        <w:rPr>
          <w:rFonts w:ascii="Calibri" w:cs="Calibri" w:eastAsia="Calibri" w:hAnsi="Calibri"/>
          <w:sz w:val="22"/>
          <w:szCs w:val="22"/>
        </w:rPr>
        <w:t xml:space="preserve">How much adaptive resilience, not reducible to formal qualification, does it possess? (IRA v2.0)</w:t>
      </w:r>
    </w:p>
    <w:p>
      <w:pPr>
        <w:pStyle w:val="ListParagraph"/>
        <w:numPr>
          <w:ilvl w:val="0"/>
          <w:numId w:val="1"/>
        </w:numPr>
        <w:spacing w:after="80" w:before="0" w:line="300"/>
      </w:pPr>
      <w:r>
        <w:rPr>
          <w:rFonts w:ascii="Calibri" w:cs="Calibri" w:eastAsia="Calibri" w:hAnsi="Calibri"/>
          <w:sz w:val="22"/>
          <w:szCs w:val="22"/>
        </w:rPr>
        <w:t xml:space="preserve">Which technical, social, presential or functional barriers act as shields? (ICT, IFS, IPI, IEF)</w:t>
      </w:r>
    </w:p>
    <w:p>
      <w:pPr>
        <w:pStyle w:val="ListParagraph"/>
        <w:numPr>
          <w:ilvl w:val="0"/>
          <w:numId w:val="1"/>
        </w:numPr>
        <w:spacing w:after="80" w:before="0" w:line="300"/>
      </w:pPr>
      <w:r>
        <w:rPr>
          <w:rFonts w:ascii="Calibri" w:cs="Calibri" w:eastAsia="Calibri" w:hAnsi="Calibri"/>
          <w:sz w:val="22"/>
          <w:szCs w:val="22"/>
        </w:rPr>
        <w:t xml:space="preserve">What is its formal qualification level and mutation profile? (GEE, IMO)</w:t>
      </w:r>
    </w:p>
    <w:p>
      <w:pPr>
        <w:pStyle w:val="ListParagraph"/>
        <w:numPr>
          <w:ilvl w:val="0"/>
          <w:numId w:val="1"/>
        </w:numPr>
        <w:spacing w:after="80" w:before="0" w:line="300"/>
      </w:pPr>
      <w:r>
        <w:rPr>
          <w:rFonts w:ascii="Calibri" w:cs="Calibri" w:eastAsia="Calibri" w:hAnsi="Calibri"/>
          <w:sz w:val="22"/>
          <w:szCs w:val="22"/>
        </w:rPr>
        <w:t xml:space="preserve">What is the operational severity of its contractual mismatch under Agentic regime? (OAEI v2.0)</w:t>
      </w:r>
    </w:p>
    <w:p>
      <w:pPr>
        <w:spacing w:after="180" w:before="320"/>
      </w:pPr>
      <w:r>
        <w:rPr>
          <w:rFonts w:ascii="Calibri" w:cs="Calibri" w:eastAsia="Calibri" w:hAnsi="Calibri"/>
          <w:b/>
          <w:bCs/>
          <w:color w:val="1F4E79"/>
          <w:sz w:val="26"/>
          <w:szCs w:val="26"/>
        </w:rPr>
        <w:t xml:space="preserve">1.4 Data sources</w:t>
      </w:r>
    </w:p>
    <w:p>
      <w:pPr>
        <w:spacing w:after="120" w:before="240"/>
        <w:jc w:val="left"/>
      </w:pPr>
      <w:r>
        <w:rPr>
          <w:rFonts w:ascii="Calibri" w:cs="Calibri" w:eastAsia="Calibri" w:hAnsi="Calibri"/>
          <w:b/>
          <w:bCs/>
          <w:color w:val="1F4E79"/>
          <w:sz w:val="20"/>
          <w:szCs w:val="20"/>
        </w:rPr>
        <w:t xml:space="preserve">Table 1.2. Primary data sources of the ITEA Framework v2.0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600"/>
      </w:tblGrid>
      <w:tr>
        <w:trPr>
          <w:tblHeader/>
        </w:trPr>
        <w:tc>
          <w:tcPr>
            <w:tcW w:type="dxa" w:w="32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Source</w:t>
            </w:r>
          </w:p>
        </w:tc>
        <w:tc>
          <w:tcPr>
            <w:tcW w:type="dxa" w:w="3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Coverage</w:t>
            </w:r>
          </w:p>
        </w:tc>
        <w:tc>
          <w:tcPr>
            <w:tcW w:type="dxa" w:w="36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Use within the framework</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O*NET 2024 (version 29.1)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1,016 occupations 6-digit SOC · 47,810 tasks · several hundred variables per occupation</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Base variables for the 8 indicators (tasks, skills, work styles, work contexts)</w:t>
            </w:r>
          </w:p>
        </w:tc>
      </w:tr>
      <w:tr>
        <w:tc>
          <w:tcPr>
            <w:tcW w:type="dxa" w:w="32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BLS Employment Projections</w:t>
            </w:r>
          </w:p>
        </w:tc>
        <w:tc>
          <w:tcPr>
            <w:tcW w:type="dxa" w:w="3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US employment projections 2022–2032</w:t>
            </w:r>
          </w:p>
        </w:tc>
        <w:tc>
          <w:tcPr>
            <w:tcW w:type="dxa" w:w="36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Cross-validation of mutation trends (IMO)</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AEI Unified Analysis v1.0 (Apr 2026)</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47,810 tasks classified by Auto_Grade and CI_Grade · 923 occupations aggregated</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Construction of the AEI as convergent validity criterion (chapter 12)</w:t>
            </w:r>
          </w:p>
        </w:tc>
      </w:tr>
      <w:tr>
        <w:tc>
          <w:tcPr>
            <w:tcW w:type="dxa" w:w="32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O*NET Wages 2024</w:t>
            </w:r>
          </w:p>
        </w:tc>
        <w:tc>
          <w:tcPr>
            <w:tcW w:type="dxa" w:w="3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Annual median (50th percentile) for 879 occupations</w:t>
            </w:r>
          </w:p>
        </w:tc>
        <w:tc>
          <w:tcPr>
            <w:tcW w:type="dxa" w:w="36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Criterion validity (chapter 14)</w:t>
            </w:r>
          </w:p>
        </w:tc>
      </w:tr>
    </w:tbl>
    <w:p>
      <w:pPr>
        <w:spacing w:after="240" w:before="80"/>
        <w:jc w:val="both"/>
      </w:pPr>
      <w:r>
        <w:rPr>
          <w:rFonts w:ascii="Calibri" w:cs="Calibri" w:eastAsia="Calibri" w:hAnsi="Calibri"/>
          <w:i/>
          <w:iCs/>
          <w:color w:val="666666"/>
          <w:sz w:val="18"/>
          <w:szCs w:val="18"/>
        </w:rPr>
        <w:t xml:space="preserve">The effective N for the OAEI v2.0 analysis is 846 occupations, the intersection of all four sources with complete data across all framework dimensions.</w:t>
      </w:r>
    </w:p>
    <w:p>
      <w:r>
        <w:br w:type="page"/>
      </w:r>
    </w:p>
    <w:p>
      <w:pPr>
        <w:spacing w:after="240" w:before="480"/>
      </w:pPr>
      <w:r>
        <w:rPr>
          <w:rFonts w:ascii="Calibri" w:cs="Calibri" w:eastAsia="Calibri" w:hAnsi="Calibri"/>
          <w:b/>
          <w:bCs/>
          <w:color w:val="1F4E79"/>
          <w:sz w:val="32"/>
          <w:szCs w:val="32"/>
        </w:rPr>
        <w:t xml:space="preserve">2. General Methodology</w:t>
      </w:r>
    </w:p>
    <w:p>
      <w:pPr>
        <w:spacing w:after="180" w:before="320"/>
      </w:pPr>
      <w:r>
        <w:rPr>
          <w:rFonts w:ascii="Calibri" w:cs="Calibri" w:eastAsia="Calibri" w:hAnsi="Calibri"/>
          <w:b/>
          <w:bCs/>
          <w:color w:val="1F4E79"/>
          <w:sz w:val="26"/>
          <w:szCs w:val="26"/>
        </w:rPr>
        <w:t xml:space="preserve">2.1 Methodological principles</w:t>
      </w:r>
    </w:p>
    <w:p>
      <w:pPr>
        <w:spacing w:after="120" w:before="240"/>
        <w:jc w:val="left"/>
      </w:pPr>
      <w:r>
        <w:rPr>
          <w:rFonts w:ascii="Calibri" w:cs="Calibri" w:eastAsia="Calibri" w:hAnsi="Calibri"/>
          <w:b/>
          <w:bCs/>
          <w:color w:val="1F4E79"/>
          <w:sz w:val="20"/>
          <w:szCs w:val="20"/>
        </w:rPr>
        <w:t xml:space="preserve">Table 2.1. Methodological principles of the framework</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4000"/>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Principle</w:t>
            </w:r>
          </w:p>
        </w:tc>
        <w:tc>
          <w:tcPr>
            <w:tcW w:type="dxa" w:w="4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Description</w:t>
            </w:r>
          </w:p>
        </w:tc>
        <w:tc>
          <w:tcPr>
            <w:tcW w:type="dxa" w:w="4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Implementation</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Transparency</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All formulas are explicit and replicable</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Open code in R/Python; complete Excel workbook</w:t>
            </w:r>
          </w:p>
        </w:tc>
      </w:tr>
      <w:tr>
        <w:tc>
          <w:tcPr>
            <w:tcW w:type="dxa" w:w="1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Reproducibility</w:t>
            </w:r>
          </w:p>
        </w:tc>
        <w:tc>
          <w:tcPr>
            <w:tcW w:type="dxa" w:w="4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Any researcher can replicate the results</w:t>
            </w:r>
          </w:p>
        </w:tc>
        <w:tc>
          <w:tcPr>
            <w:tcW w:type="dxa" w:w="4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Public scripts · open data · 109+ auditable Excel formulas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Continuous validation</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Each version improves the metric of the previous one</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Historical table of metric evolution (chapter 15)</w:t>
            </w:r>
          </w:p>
        </w:tc>
      </w:tr>
      <w:tr>
        <w:tc>
          <w:tcPr>
            <w:tcW w:type="dxa" w:w="1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Defence against collinearity</w:t>
            </w:r>
          </w:p>
        </w:tc>
        <w:tc>
          <w:tcPr>
            <w:tcW w:type="dxa" w:w="4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Demonstrably differentiable constructs</w:t>
            </w:r>
          </w:p>
        </w:tc>
        <w:tc>
          <w:tcPr>
            <w:tcW w:type="dxa" w:w="4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Explicit discriminant validity: r(IRA v2.0, GEE) = 0.433</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Multidimensionality</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Simultaneous capture of multiple dimensions</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8 indicators not reducible to a single scalar; 4 autonomous moderating dimensions</w:t>
            </w:r>
          </w:p>
        </w:tc>
      </w:tr>
    </w:tbl>
    <w:p>
      <w:pPr>
        <w:spacing w:after="180" w:before="320"/>
      </w:pPr>
      <w:r>
        <w:rPr>
          <w:rFonts w:ascii="Calibri" w:cs="Calibri" w:eastAsia="Calibri" w:hAnsi="Calibri"/>
          <w:b/>
          <w:bCs/>
          <w:color w:val="1F4E79"/>
          <w:sz w:val="26"/>
          <w:szCs w:val="26"/>
        </w:rPr>
        <w:t xml:space="preserve">2.2 Indicator types</w:t>
      </w:r>
    </w:p>
    <w:p>
      <w:pPr>
        <w:spacing w:after="160" w:before="0" w:line="320"/>
        <w:jc w:val="both"/>
      </w:pPr>
      <w:r>
        <w:rPr>
          <w:rFonts w:ascii="Calibri" w:cs="Calibri" w:eastAsia="Calibri" w:hAnsi="Calibri"/>
          <w:b/>
          <w:bCs/>
          <w:sz w:val="22"/>
          <w:szCs w:val="22"/>
        </w:rPr>
        <w:t xml:space="preserve">Formative indicators (ITEA, ICT, IPI)</w:t>
      </w:r>
      <w:r>
        <w:rPr>
          <w:rFonts w:ascii="Calibri" w:cs="Calibri" w:eastAsia="Calibri" w:hAnsi="Calibri"/>
          <w:sz w:val="22"/>
          <w:szCs w:val="22"/>
        </w:rPr>
        <w:t xml:space="preserve">: components </w:t>
      </w:r>
      <w:r>
        <w:rPr>
          <w:rFonts w:ascii="Calibri" w:cs="Calibri" w:eastAsia="Calibri" w:hAnsi="Calibri"/>
          <w:i/>
          <w:iCs/>
          <w:sz w:val="22"/>
          <w:szCs w:val="22"/>
        </w:rPr>
        <w:t xml:space="preserve">cause</w:t>
      </w:r>
      <w:r>
        <w:rPr>
          <w:rFonts w:ascii="Calibri" w:cs="Calibri" w:eastAsia="Calibri" w:hAnsi="Calibri"/>
          <w:sz w:val="22"/>
          <w:szCs w:val="22"/>
        </w:rPr>
        <w:t xml:space="preserve"> the indicator. Cronbach's α does not apply. Validation by VIF (&lt;5) and weight stability.</w:t>
      </w:r>
    </w:p>
    <w:p>
      <w:pPr>
        <w:spacing w:after="160" w:before="0" w:line="320"/>
        <w:jc w:val="both"/>
      </w:pPr>
      <w:r>
        <w:rPr>
          <w:rFonts w:ascii="Calibri" w:cs="Calibri" w:eastAsia="Calibri" w:hAnsi="Calibri"/>
          <w:b/>
          <w:bCs/>
          <w:sz w:val="22"/>
          <w:szCs w:val="22"/>
        </w:rPr>
        <w:t xml:space="preserve">Reflective indicators (IRA, IFS, IEF)</w:t>
      </w:r>
      <w:r>
        <w:rPr>
          <w:rFonts w:ascii="Calibri" w:cs="Calibri" w:eastAsia="Calibri" w:hAnsi="Calibri"/>
          <w:sz w:val="22"/>
          <w:szCs w:val="22"/>
        </w:rPr>
        <w:t xml:space="preserve">: the indicator </w:t>
      </w:r>
      <w:r>
        <w:rPr>
          <w:rFonts w:ascii="Calibri" w:cs="Calibri" w:eastAsia="Calibri" w:hAnsi="Calibri"/>
          <w:i/>
          <w:iCs/>
          <w:sz w:val="22"/>
          <w:szCs w:val="22"/>
        </w:rPr>
        <w:t xml:space="preserve">reflects</w:t>
      </w:r>
      <w:r>
        <w:rPr>
          <w:rFonts w:ascii="Calibri" w:cs="Calibri" w:eastAsia="Calibri" w:hAnsi="Calibri"/>
          <w:sz w:val="22"/>
          <w:szCs w:val="22"/>
        </w:rPr>
        <w:t xml:space="preserve"> a latent construct. Cronbach's α applies (&gt;0.70). Validation through internal consistency.</w:t>
      </w:r>
    </w:p>
    <w:p>
      <w:pPr>
        <w:spacing w:after="160" w:before="0" w:line="320"/>
        <w:jc w:val="both"/>
      </w:pPr>
      <w:r>
        <w:rPr>
          <w:rFonts w:ascii="Calibri" w:cs="Calibri" w:eastAsia="Calibri" w:hAnsi="Calibri"/>
          <w:b/>
          <w:bCs/>
          <w:sz w:val="22"/>
          <w:szCs w:val="22"/>
        </w:rPr>
        <w:t xml:space="preserve">Hybrid indicators (GEE, IMO)</w:t>
      </w:r>
      <w:r>
        <w:rPr>
          <w:rFonts w:ascii="Calibri" w:cs="Calibri" w:eastAsia="Calibri" w:hAnsi="Calibri"/>
          <w:sz w:val="22"/>
          <w:szCs w:val="22"/>
        </w:rPr>
        <w:t xml:space="preserve">: combine statistical calibration (GEE: OLS over Job Zone) or two-part models (IMO: Hurdle).</w:t>
      </w:r>
    </w:p>
    <w:p>
      <w:pPr>
        <w:spacing w:after="160" w:before="0" w:line="320"/>
        <w:jc w:val="both"/>
      </w:pPr>
      <w:r>
        <w:rPr>
          <w:rFonts w:ascii="Calibri" w:cs="Calibri" w:eastAsia="Calibri" w:hAnsi="Calibri"/>
          <w:b/>
          <w:bCs/>
          <w:color w:val="C00000"/>
          <w:sz w:val="22"/>
          <w:szCs w:val="22"/>
        </w:rPr>
        <w:t xml:space="preserve">Note on IRA v2.0</w:t>
      </w:r>
      <w:r>
        <w:rPr>
          <w:rFonts w:ascii="Calibri" w:cs="Calibri" w:eastAsia="Calibri" w:hAnsi="Calibri"/>
          <w:sz w:val="22"/>
          <w:szCs w:val="22"/>
        </w:rPr>
        <w:t xml:space="preserve">. IRA v2.0 is a </w:t>
      </w:r>
      <w:r>
        <w:rPr>
          <w:rFonts w:ascii="Calibri" w:cs="Calibri" w:eastAsia="Calibri" w:hAnsi="Calibri"/>
          <w:i/>
          <w:iCs/>
          <w:sz w:val="22"/>
          <w:szCs w:val="22"/>
        </w:rPr>
        <w:t xml:space="preserve">residualised</w:t>
      </w:r>
      <w:r>
        <w:rPr>
          <w:rFonts w:ascii="Calibri" w:cs="Calibri" w:eastAsia="Calibri" w:hAnsi="Calibri"/>
          <w:sz w:val="22"/>
          <w:szCs w:val="22"/>
        </w:rPr>
        <w:t xml:space="preserve"> construct: it combines a reflective component (CA, adaptive capacity) with orthogonal residuals (IRO_residual_norm) against GEE. The traditional Cronbach's α calculation is not directly applicable to residualised constructs, so IRA validation is articulated through (i) explicit discriminant validity against GEE, and (ii) interpretive coherence of the CA component. This limitation is documented in chapter 14 and is part of the future work identified for v2.1.</w:t>
      </w:r>
    </w:p>
    <w:p>
      <w:pPr>
        <w:spacing w:after="180" w:before="320"/>
      </w:pPr>
      <w:r>
        <w:rPr>
          <w:rFonts w:ascii="Calibri" w:cs="Calibri" w:eastAsia="Calibri" w:hAnsi="Calibri"/>
          <w:b/>
          <w:bCs/>
          <w:color w:val="1F4E79"/>
          <w:sz w:val="26"/>
          <w:szCs w:val="26"/>
        </w:rPr>
        <w:t xml:space="preserve">2.3 Inclusion and exclusion criteria</w:t>
      </w:r>
    </w:p>
    <w:p>
      <w:pPr>
        <w:spacing w:after="120" w:before="240"/>
        <w:jc w:val="left"/>
      </w:pPr>
      <w:r>
        <w:rPr>
          <w:rFonts w:ascii="Calibri" w:cs="Calibri" w:eastAsia="Calibri" w:hAnsi="Calibri"/>
          <w:b/>
          <w:bCs/>
          <w:color w:val="1F4E79"/>
          <w:sz w:val="20"/>
          <w:szCs w:val="20"/>
        </w:rPr>
        <w:t xml:space="preserve">Table 2.2. Inclusion and exclusion criteria</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60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Criterion</w:t>
            </w:r>
          </w:p>
        </w:tc>
        <w:tc>
          <w:tcPr>
            <w:tcW w:type="dxa" w:w="32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Included</w:t>
            </w:r>
          </w:p>
        </w:tc>
        <w:tc>
          <w:tcPr>
            <w:tcW w:type="dxa" w:w="36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Excluded / Effective N</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Total O*NET v29.1 universe</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1,016 SOC 6-digit occupations</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w:t>
            </w:r>
          </w:p>
        </w:tc>
      </w:tr>
      <w:tr>
        <w:tc>
          <w:tcPr>
            <w:tcW w:type="dxa" w:w="3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Civilian occupations</w:t>
            </w:r>
          </w:p>
        </w:tc>
        <w:tc>
          <w:tcPr>
            <w:tcW w:type="dxa" w:w="32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All from the universe</w:t>
            </w:r>
          </w:p>
        </w:tc>
        <w:tc>
          <w:tcPr>
            <w:tcW w:type="dxa" w:w="36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Military (55- series)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"All Other" occupations</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N/A</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Without automation data (~93)</w:t>
            </w:r>
          </w:p>
        </w:tc>
      </w:tr>
      <w:tr>
        <w:tc>
          <w:tcPr>
            <w:tcW w:type="dxa" w:w="3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Complete data for AEI</w:t>
            </w:r>
          </w:p>
        </w:tc>
        <w:tc>
          <w:tcPr>
            <w:tcW w:type="dxa" w:w="32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923 occupations</w:t>
            </w:r>
          </w:p>
        </w:tc>
        <w:tc>
          <w:tcPr>
            <w:tcW w:type="dxa" w:w="36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Without O*NET task_master (93)</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Complete wage data</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879 occupations</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Without BLS-O*NET annual wages 2024</w:t>
            </w:r>
          </w:p>
        </w:tc>
      </w:tr>
      <w:tr>
        <w:tc>
          <w:tcPr>
            <w:tcW w:type="dxa" w:w="3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Complete data for all ITEA indicators</w:t>
            </w:r>
          </w:p>
        </w:tc>
        <w:tc>
          <w:tcPr>
            <w:tcW w:type="dxa" w:w="32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w:t>
            </w:r>
          </w:p>
        </w:tc>
        <w:tc>
          <w:tcPr>
            <w:tcW w:type="dxa" w:w="36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Effective N for OAEI v2.0 analysis</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846 occupations</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Without Work Styles + Skills + Knowledge + IPI (170)</w:t>
            </w:r>
          </w:p>
        </w:tc>
      </w:tr>
    </w:tbl>
    <w:p>
      <w:pPr>
        <w:spacing w:after="160" w:before="0" w:line="320"/>
        <w:jc w:val="both"/>
      </w:pPr>
      <w:r>
        <w:rPr>
          <w:rFonts w:ascii="Calibri" w:cs="Calibri" w:eastAsia="Calibri" w:hAnsi="Calibri"/>
          <w:sz w:val="22"/>
          <w:szCs w:val="22"/>
        </w:rPr>
        <w:t xml:space="preserve">All statistical analyses of the v2.0 framework use </w:t>
      </w:r>
      <w:r>
        <w:rPr>
          <w:rFonts w:ascii="Calibri" w:cs="Calibri" w:eastAsia="Calibri" w:hAnsi="Calibri"/>
          <w:b/>
          <w:bCs/>
          <w:sz w:val="22"/>
          <w:szCs w:val="22"/>
        </w:rPr>
        <w:t xml:space="preserve">N = 846 as the effective sample for OAEI calculation</w:t>
      </w:r>
      <w:r>
        <w:rPr>
          <w:rFonts w:ascii="Calibri" w:cs="Calibri" w:eastAsia="Calibri" w:hAnsi="Calibri"/>
          <w:sz w:val="22"/>
          <w:szCs w:val="22"/>
        </w:rPr>
        <w:t xml:space="preserve">, </w:t>
      </w:r>
      <w:r>
        <w:rPr>
          <w:rFonts w:ascii="Calibri" w:cs="Calibri" w:eastAsia="Calibri" w:hAnsi="Calibri"/>
          <w:b/>
          <w:bCs/>
          <w:sz w:val="22"/>
          <w:szCs w:val="22"/>
        </w:rPr>
        <w:t xml:space="preserve">N = 923 for convergent validity with AEI</w:t>
      </w:r>
      <w:r>
        <w:rPr>
          <w:rFonts w:ascii="Calibri" w:cs="Calibri" w:eastAsia="Calibri" w:hAnsi="Calibri"/>
          <w:sz w:val="22"/>
          <w:szCs w:val="22"/>
        </w:rPr>
        <w:t xml:space="preserve">, and </w:t>
      </w:r>
      <w:r>
        <w:rPr>
          <w:rFonts w:ascii="Calibri" w:cs="Calibri" w:eastAsia="Calibri" w:hAnsi="Calibri"/>
          <w:b/>
          <w:bCs/>
          <w:sz w:val="22"/>
          <w:szCs w:val="22"/>
        </w:rPr>
        <w:t xml:space="preserve">N = 879 for criterion validity with wages</w:t>
      </w:r>
      <w:r>
        <w:rPr>
          <w:rFonts w:ascii="Calibri" w:cs="Calibri" w:eastAsia="Calibri" w:hAnsi="Calibri"/>
          <w:sz w:val="22"/>
          <w:szCs w:val="22"/>
        </w:rPr>
        <w:t xml:space="preserve">, unless explicitly stated otherwise. This declarative N cascade replaces the aggregate N of v1.45 (which reported indistinctly N=862 or N=1016), introducing transparency about the effective population of each analysis.</w:t>
      </w:r>
    </w:p>
    <w:p>
      <w:r>
        <w:br w:type="page"/>
      </w:r>
    </w:p>
    <w:p>
      <w:pPr>
        <w:spacing w:after="240" w:before="480"/>
      </w:pPr>
      <w:r>
        <w:rPr>
          <w:rFonts w:ascii="Calibri" w:cs="Calibri" w:eastAsia="Calibri" w:hAnsi="Calibri"/>
          <w:b/>
          <w:bCs/>
          <w:color w:val="1F4E79"/>
          <w:sz w:val="32"/>
          <w:szCs w:val="32"/>
        </w:rPr>
        <w:t xml:space="preserve">3. Indicator Structure</w:t>
      </w:r>
    </w:p>
    <w:p>
      <w:pPr>
        <w:spacing w:after="180" w:before="320"/>
      </w:pPr>
      <w:r>
        <w:rPr>
          <w:rFonts w:ascii="Calibri" w:cs="Calibri" w:eastAsia="Calibri" w:hAnsi="Calibri"/>
          <w:b/>
          <w:bCs/>
          <w:color w:val="1F4E79"/>
          <w:sz w:val="26"/>
          <w:szCs w:val="26"/>
        </w:rPr>
        <w:t xml:space="preserve">3.1 Summary table</w:t>
      </w:r>
    </w:p>
    <w:p>
      <w:pPr>
        <w:spacing w:after="120" w:before="240"/>
        <w:jc w:val="left"/>
      </w:pPr>
      <w:r>
        <w:rPr>
          <w:rFonts w:ascii="Calibri" w:cs="Calibri" w:eastAsia="Calibri" w:hAnsi="Calibri"/>
          <w:b/>
          <w:bCs/>
          <w:color w:val="1F4E79"/>
          <w:sz w:val="20"/>
          <w:szCs w:val="20"/>
        </w:rPr>
        <w:t xml:space="preserve">Table 3.1. Complete structure of the ITEA Framework v2.0 (8 main indicators + AEI + OAEI)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1300"/>
        <w:gridCol w:w="1500"/>
        <w:gridCol w:w="1100"/>
        <w:gridCol w:w="700"/>
        <w:gridCol w:w="1500"/>
        <w:gridCol w:w="2700"/>
      </w:tblGrid>
      <w:tr>
        <w:trPr>
          <w:tblHeader/>
        </w:trPr>
        <w:tc>
          <w:tcPr>
            <w:tcW w:type="dxa" w:w="4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w:t>
            </w:r>
          </w:p>
        </w:tc>
        <w:tc>
          <w:tcPr>
            <w:tcW w:type="dxa" w:w="13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Indicator</w:t>
            </w:r>
          </w:p>
        </w:tc>
        <w:tc>
          <w:tcPr>
            <w:tcW w:type="dxa" w:w="1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Type</w:t>
            </w:r>
          </w:p>
        </w:tc>
        <w:tc>
          <w:tcPr>
            <w:tcW w:type="dxa" w:w="11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Range</w:t>
            </w:r>
          </w:p>
        </w:tc>
        <w:tc>
          <w:tcPr>
            <w:tcW w:type="dxa" w:w="7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N</w:t>
            </w:r>
          </w:p>
        </w:tc>
        <w:tc>
          <w:tcPr>
            <w:tcW w:type="dxa" w:w="1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Key metric</w:t>
            </w:r>
          </w:p>
        </w:tc>
        <w:tc>
          <w:tcPr>
            <w:tcW w:type="dxa" w:w="27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Change v1.45 → v2.0</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1</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ITEA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Formative</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 1]</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923</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VIF 1.21</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No changes</w:t>
            </w:r>
          </w:p>
        </w:tc>
      </w:tr>
      <w:tr>
        <w:tc>
          <w:tcPr>
            <w:tcW w:type="dxa" w:w="4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2</w:t>
            </w:r>
          </w:p>
        </w:tc>
        <w:tc>
          <w:tcPr>
            <w:tcW w:type="dxa" w:w="13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IRA v2.0</w:t>
            </w:r>
          </w:p>
        </w:tc>
        <w:tc>
          <w:tcPr>
            <w:tcW w:type="dxa" w:w="15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Residualised</w:t>
            </w:r>
          </w:p>
        </w:tc>
        <w:tc>
          <w:tcPr>
            <w:tcW w:type="dxa" w:w="11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 1]</w:t>
            </w:r>
          </w:p>
        </w:tc>
        <w:tc>
          <w:tcPr>
            <w:tcW w:type="dxa" w:w="7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846</w:t>
            </w:r>
          </w:p>
        </w:tc>
        <w:tc>
          <w:tcPr>
            <w:tcW w:type="dxa" w:w="15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r(IRA, GEE)=0.433</w:t>
            </w:r>
          </w:p>
        </w:tc>
        <w:tc>
          <w:tcPr>
            <w:tcW w:type="dxa" w:w="27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REPLACES the IRO. Major reconceptualisation.</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3</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ICT</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Formative</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 1]</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1,016</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VIF 1.15</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No changes</w:t>
            </w:r>
          </w:p>
        </w:tc>
      </w:tr>
      <w:tr>
        <w:tc>
          <w:tcPr>
            <w:tcW w:type="dxa" w:w="4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4</w:t>
            </w:r>
          </w:p>
        </w:tc>
        <w:tc>
          <w:tcPr>
            <w:tcW w:type="dxa" w:w="13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IFS</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Reflective</w:t>
            </w:r>
          </w:p>
        </w:tc>
        <w:tc>
          <w:tcPr>
            <w:tcW w:type="dxa" w:w="11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 1]</w:t>
            </w:r>
          </w:p>
        </w:tc>
        <w:tc>
          <w:tcPr>
            <w:tcW w:type="dxa" w:w="7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923</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α=0.749</w:t>
            </w:r>
          </w:p>
        </w:tc>
        <w:tc>
          <w:tcPr>
            <w:tcW w:type="dxa" w:w="27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No changes</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5</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IPI</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Formative</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 1]</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923</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r(IPI,IFS)=−0.156</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No changes</w:t>
            </w:r>
          </w:p>
        </w:tc>
      </w:tr>
      <w:tr>
        <w:tc>
          <w:tcPr>
            <w:tcW w:type="dxa" w:w="4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6</w:t>
            </w:r>
          </w:p>
        </w:tc>
        <w:tc>
          <w:tcPr>
            <w:tcW w:type="dxa" w:w="13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IEF</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Reflective</w:t>
            </w:r>
          </w:p>
        </w:tc>
        <w:tc>
          <w:tcPr>
            <w:tcW w:type="dxa" w:w="11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 1]</w:t>
            </w:r>
          </w:p>
        </w:tc>
        <w:tc>
          <w:tcPr>
            <w:tcW w:type="dxa" w:w="7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923</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α=0.919</w:t>
            </w:r>
          </w:p>
        </w:tc>
        <w:tc>
          <w:tcPr>
            <w:tcW w:type="dxa" w:w="27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No changes</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7</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GEE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Hybrid (OLS)</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 1]</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923</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ρ JZ=0.927</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No changes</w:t>
            </w:r>
          </w:p>
        </w:tc>
      </w:tr>
      <w:tr>
        <w:tc>
          <w:tcPr>
            <w:tcW w:type="dxa" w:w="4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8</w:t>
            </w:r>
          </w:p>
        </w:tc>
        <w:tc>
          <w:tcPr>
            <w:tcW w:type="dxa" w:w="13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IMO</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Hybrid (Hurdle)</w:t>
            </w:r>
          </w:p>
        </w:tc>
        <w:tc>
          <w:tcPr>
            <w:tcW w:type="dxa" w:w="11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 1]</w:t>
            </w:r>
          </w:p>
        </w:tc>
        <w:tc>
          <w:tcPr>
            <w:tcW w:type="dxa" w:w="7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923</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76.9% zeros</w:t>
            </w:r>
          </w:p>
        </w:tc>
        <w:tc>
          <w:tcPr>
            <w:tcW w:type="dxa" w:w="27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No changes</w:t>
            </w:r>
          </w:p>
        </w:tc>
      </w:tr>
      <w:tr>
        <w:tc>
          <w:tcPr>
            <w:tcW w:type="dxa" w:w="4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w:t>
            </w:r>
          </w:p>
        </w:tc>
        <w:tc>
          <w:tcPr>
            <w:tcW w:type="dxa" w:w="13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AEI</w:t>
            </w:r>
          </w:p>
        </w:tc>
        <w:tc>
          <w:tcPr>
            <w:tcW w:type="dxa" w:w="15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Auxiliary (criterion)</w:t>
            </w:r>
          </w:p>
        </w:tc>
        <w:tc>
          <w:tcPr>
            <w:tcW w:type="dxa" w:w="11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[34.8; 113.5]</w:t>
            </w:r>
          </w:p>
        </w:tc>
        <w:tc>
          <w:tcPr>
            <w:tcW w:type="dxa" w:w="7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923</w:t>
            </w:r>
          </w:p>
        </w:tc>
        <w:tc>
          <w:tcPr>
            <w:tcW w:type="dxa" w:w="15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r(ITEA,AEI)=0.720</w:t>
            </w:r>
          </w:p>
        </w:tc>
        <w:tc>
          <w:tcPr>
            <w:tcW w:type="dxa" w:w="27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Explicitly articulated</w:t>
            </w:r>
          </w:p>
        </w:tc>
      </w:tr>
      <w:tr>
        <w:tc>
          <w:tcPr>
            <w:tcW w:type="dxa" w:w="4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w:t>
            </w:r>
          </w:p>
        </w:tc>
        <w:tc>
          <w:tcPr>
            <w:tcW w:type="dxa" w:w="13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OAEI v2.0</w:t>
            </w:r>
          </w:p>
        </w:tc>
        <w:tc>
          <w:tcPr>
            <w:tcW w:type="dxa" w:w="15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Composite</w:t>
            </w:r>
          </w:p>
        </w:tc>
        <w:tc>
          <w:tcPr>
            <w:tcW w:type="dxa" w:w="11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[1, 100]</w:t>
            </w:r>
          </w:p>
        </w:tc>
        <w:tc>
          <w:tcPr>
            <w:tcW w:type="dxa" w:w="7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846</w:t>
            </w:r>
          </w:p>
        </w:tc>
        <w:tc>
          <w:tcPr>
            <w:tcW w:type="dxa" w:w="15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r(OAEI,Wage)=0.607</w:t>
            </w:r>
          </w:p>
        </w:tc>
        <w:tc>
          <w:tcPr>
            <w:tcW w:type="dxa" w:w="27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Recalibrated to interpretable scale</w:t>
            </w:r>
          </w:p>
        </w:tc>
      </w:tr>
    </w:tbl>
    <w:p>
      <w:pPr>
        <w:spacing w:after="240" w:before="80"/>
        <w:jc w:val="both"/>
      </w:pPr>
      <w:r>
        <w:rPr>
          <w:rFonts w:ascii="Calibri" w:cs="Calibri" w:eastAsia="Calibri" w:hAnsi="Calibri"/>
          <w:i/>
          <w:iCs/>
          <w:color w:val="666666"/>
          <w:sz w:val="18"/>
          <w:szCs w:val="18"/>
        </w:rPr>
        <w:t xml:space="preserve">Highlighted rows: indicators with structural changes in v2.0. IRA v2.0 replaces the IRO of v1.45; the AEI is explicitly articulated as convergent criterion; the OAEI is recalibrated to scale [1, 100].</w:t>
      </w:r>
    </w:p>
    <w:p>
      <w:r>
        <w:br w:type="page"/>
      </w:r>
    </w:p>
    <w:p>
      <w:pPr>
        <w:spacing w:after="240" w:before="480"/>
      </w:pPr>
      <w:r>
        <w:rPr>
          <w:rFonts w:ascii="Calibri" w:cs="Calibri" w:eastAsia="Calibri" w:hAnsi="Calibri"/>
          <w:b/>
          <w:bCs/>
          <w:color w:val="1F4E79"/>
          <w:sz w:val="32"/>
          <w:szCs w:val="32"/>
        </w:rPr>
        <w:t xml:space="preserve">4. ITEA — Triple Index of Exposure to Automation</w:t>
      </w:r>
    </w:p>
    <w:p>
      <w:pPr>
        <w:spacing w:after="180" w:before="320"/>
      </w:pPr>
      <w:r>
        <w:rPr>
          <w:rFonts w:ascii="Calibri" w:cs="Calibri" w:eastAsia="Calibri" w:hAnsi="Calibri"/>
          <w:b/>
          <w:bCs/>
          <w:color w:val="1F4E79"/>
          <w:sz w:val="26"/>
          <w:szCs w:val="26"/>
        </w:rPr>
        <w:t xml:space="preserve">4.1 Conceptual definition</w:t>
      </w:r>
    </w:p>
    <w:p>
      <w:pPr>
        <w:spacing w:after="160" w:before="0" w:line="320"/>
        <w:jc w:val="both"/>
      </w:pPr>
      <w:r>
        <w:rPr>
          <w:rFonts w:ascii="Calibri" w:cs="Calibri" w:eastAsia="Calibri" w:hAnsi="Calibri"/>
          <w:sz w:val="22"/>
          <w:szCs w:val="22"/>
        </w:rPr>
        <w:t xml:space="preserve">The ITEA measures the exposure of an occupation to three distinct sources of automation: cognitive (EAC), general (EIG) and AI-specific (EIA). It is the central indicator of the framework as it simultaneously captures the three dominant automation technologies as of 2026.</w:t>
      </w:r>
    </w:p>
    <w:p>
      <w:pPr>
        <w:spacing w:after="120" w:before="240"/>
        <w:jc w:val="left"/>
      </w:pPr>
      <w:r>
        <w:rPr>
          <w:rFonts w:ascii="Calibri" w:cs="Calibri" w:eastAsia="Calibri" w:hAnsi="Calibri"/>
          <w:b/>
          <w:bCs/>
          <w:color w:val="1F4E79"/>
          <w:sz w:val="20"/>
          <w:szCs w:val="20"/>
        </w:rPr>
        <w:t xml:space="preserve">Table 4.1. ITEA components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3000"/>
        <w:gridCol w:w="320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Component</w:t>
            </w:r>
          </w:p>
        </w:tc>
        <w:tc>
          <w:tcPr>
            <w:tcW w:type="dxa" w:w="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Acronym</w:t>
            </w:r>
          </w:p>
        </w:tc>
        <w:tc>
          <w:tcPr>
            <w:tcW w:type="dxa" w:w="3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Measures</w:t>
            </w:r>
          </w:p>
        </w:tc>
        <w:tc>
          <w:tcPr>
            <w:tcW w:type="dxa" w:w="32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Example of high-exposure task</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Cognitive Automation Exposure</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EAC</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Repetitive tasks based on explicit rules</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Data processing, deterministic classification</w:t>
            </w:r>
          </w:p>
        </w:tc>
      </w:tr>
      <w:tr>
        <w:tc>
          <w:tcPr>
            <w:tcW w:type="dxa" w:w="3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General Intelligence Exposure</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EIG</w:t>
            </w:r>
          </w:p>
        </w:tc>
        <w:tc>
          <w:tcPr>
            <w:tcW w:type="dxa" w:w="3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Automation of routine tasks via general-purpose LLMs</w:t>
            </w:r>
          </w:p>
        </w:tc>
        <w:tc>
          <w:tcPr>
            <w:tcW w:type="dxa" w:w="32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Data entry, simple drafting, summaries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Specific AI Exposure</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EIA</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Vulnerability to LLMs trained on proprietary corpora (Agentic regime)</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Specialised financial analysis, medical diagnosis, technical report generation</w:t>
            </w:r>
          </w:p>
        </w:tc>
      </w:tr>
    </w:tbl>
    <w:p>
      <w:pPr>
        <w:spacing w:after="240" w:before="80"/>
        <w:jc w:val="both"/>
      </w:pPr>
      <w:r>
        <w:rPr>
          <w:rFonts w:ascii="Calibri" w:cs="Calibri" w:eastAsia="Calibri" w:hAnsi="Calibri"/>
          <w:i/>
          <w:iCs/>
          <w:color w:val="666666"/>
          <w:sz w:val="18"/>
          <w:szCs w:val="18"/>
        </w:rPr>
        <w:t xml:space="preserve">EIA is the most relevant component for the Agentic AI regime and exhibits the highest correlation with the AEI: r(EIA, AEI) = 0.939.</w:t>
      </w:r>
    </w:p>
    <w:p>
      <w:pPr>
        <w:spacing w:after="180" w:before="320"/>
      </w:pPr>
      <w:r>
        <w:rPr>
          <w:rFonts w:ascii="Calibri" w:cs="Calibri" w:eastAsia="Calibri" w:hAnsi="Calibri"/>
          <w:b/>
          <w:bCs/>
          <w:color w:val="1F4E79"/>
          <w:sz w:val="26"/>
          <w:szCs w:val="26"/>
        </w:rPr>
        <w:t xml:space="preserve">4.2 Mathematical formulation</w:t>
      </w:r>
    </w:p>
    <w:p>
      <w:pPr>
        <w:spacing w:after="160" w:before="0" w:line="320"/>
        <w:jc w:val="both"/>
      </w:pPr>
      <w:r>
        <w:rPr>
          <w:rFonts w:ascii="Calibri" w:cs="Calibri" w:eastAsia="Calibri" w:hAnsi="Calibri"/>
          <w:b/>
          <w:bCs/>
          <w:sz w:val="22"/>
          <w:szCs w:val="22"/>
        </w:rPr>
        <w:t xml:space="preserve">ITEA = (1/3) · EAC + (1/3) · EIG + (1/3) · EIA</w:t>
      </w:r>
    </w:p>
    <w:p>
      <w:pPr>
        <w:spacing w:after="160" w:before="0" w:line="320"/>
        <w:jc w:val="both"/>
      </w:pPr>
      <w:r>
        <w:rPr>
          <w:rFonts w:ascii="Calibri" w:cs="Calibri" w:eastAsia="Calibri" w:hAnsi="Calibri"/>
          <w:sz w:val="22"/>
          <w:szCs w:val="22"/>
        </w:rPr>
        <w:t xml:space="preserve">Where EAC, EIG, EIA ∈ [0, 1]. Equal weights (1/3): methodological decision based on sensitivity analysis; weight variations &lt;10% produce changes &lt;2% in the aggregated ITEA. Empirical calibration via principal components analysis (PCA) or structural equation modelling (SEM) is identified as a future research line for v2.1.</w:t>
      </w:r>
    </w:p>
    <w:p>
      <w:pPr>
        <w:spacing w:after="180" w:before="320"/>
      </w:pPr>
      <w:r>
        <w:rPr>
          <w:rFonts w:ascii="Calibri" w:cs="Calibri" w:eastAsia="Calibri" w:hAnsi="Calibri"/>
          <w:b/>
          <w:bCs/>
          <w:color w:val="1F4E79"/>
          <w:sz w:val="26"/>
          <w:szCs w:val="26"/>
        </w:rPr>
        <w:t xml:space="preserve">4.3 Value interpretation</w:t>
      </w:r>
    </w:p>
    <w:p>
      <w:pPr>
        <w:spacing w:after="120" w:before="240"/>
        <w:jc w:val="left"/>
      </w:pPr>
      <w:r>
        <w:rPr>
          <w:rFonts w:ascii="Calibri" w:cs="Calibri" w:eastAsia="Calibri" w:hAnsi="Calibri"/>
          <w:b/>
          <w:bCs/>
          <w:color w:val="1F4E79"/>
          <w:sz w:val="20"/>
          <w:szCs w:val="20"/>
        </w:rPr>
        <w:t xml:space="preserve">Table 4.2. ITEA interpretation by ranges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5200"/>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Range</w:t>
            </w:r>
          </w:p>
        </w:tc>
        <w:tc>
          <w:tcPr>
            <w:tcW w:type="dxa" w:w="3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Interpretation</w:t>
            </w:r>
          </w:p>
        </w:tc>
        <w:tc>
          <w:tcPr>
            <w:tcW w:type="dxa" w:w="52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Implication</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0.00 – 0.25</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Very low exposure</w:t>
            </w:r>
          </w:p>
        </w:tc>
        <w:tc>
          <w:tcPr>
            <w:tcW w:type="dxa" w:w="5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Occupations safe in the short/medium term</w:t>
            </w:r>
          </w:p>
        </w:tc>
      </w:tr>
      <w:tr>
        <w:tc>
          <w:tcPr>
            <w:tcW w:type="dxa" w:w="1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0.25 – 0.50</w:t>
            </w:r>
          </w:p>
        </w:tc>
        <w:tc>
          <w:tcPr>
            <w:tcW w:type="dxa" w:w="3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Low-moderate exposure</w:t>
            </w:r>
          </w:p>
        </w:tc>
        <w:tc>
          <w:tcPr>
            <w:tcW w:type="dxa" w:w="52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Limited risk; some tasks automatable</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0.50 – 0.75</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Moderate-high exposure</w:t>
            </w:r>
          </w:p>
        </w:tc>
        <w:tc>
          <w:tcPr>
            <w:tcW w:type="dxa" w:w="5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Significant risk; transformation likely</w:t>
            </w:r>
          </w:p>
        </w:tc>
      </w:tr>
      <w:tr>
        <w:tc>
          <w:tcPr>
            <w:tcW w:type="dxa" w:w="1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0.75 – 1.00</w:t>
            </w:r>
          </w:p>
        </w:tc>
        <w:tc>
          <w:tcPr>
            <w:tcW w:type="dxa" w:w="3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Very high exposure</w:t>
            </w:r>
          </w:p>
        </w:tc>
        <w:tc>
          <w:tcPr>
            <w:tcW w:type="dxa" w:w="52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Severe restructuring or functional substitution likely</w:t>
            </w:r>
          </w:p>
        </w:tc>
      </w:tr>
    </w:tbl>
    <w:p>
      <w:pPr>
        <w:spacing w:after="180" w:before="320"/>
      </w:pPr>
      <w:r>
        <w:rPr>
          <w:rFonts w:ascii="Calibri" w:cs="Calibri" w:eastAsia="Calibri" w:hAnsi="Calibri"/>
          <w:b/>
          <w:bCs/>
          <w:color w:val="1F4E79"/>
          <w:sz w:val="26"/>
          <w:szCs w:val="26"/>
        </w:rPr>
        <w:t xml:space="preserve">4.4 Concrete examples (v2.0)</w:t>
      </w:r>
    </w:p>
    <w:p>
      <w:pPr>
        <w:spacing w:after="120" w:before="240"/>
        <w:jc w:val="left"/>
      </w:pPr>
      <w:r>
        <w:rPr>
          <w:rFonts w:ascii="Calibri" w:cs="Calibri" w:eastAsia="Calibri" w:hAnsi="Calibri"/>
          <w:b/>
          <w:bCs/>
          <w:color w:val="1F4E79"/>
          <w:sz w:val="20"/>
          <w:szCs w:val="20"/>
        </w:rPr>
        <w:t xml:space="preserve">Table 4.3. Illustrative examples of ITEA</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4500"/>
      </w:tblGrid>
      <w:tr>
        <w:trPr>
          <w:tblHeader/>
        </w:trPr>
        <w:tc>
          <w:tcPr>
            <w:tcW w:type="dxa" w:w="4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Occupation</w:t>
            </w:r>
          </w:p>
        </w:tc>
        <w:tc>
          <w:tcPr>
            <w:tcW w:type="dxa" w:w="1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ITEA</w:t>
            </w:r>
          </w:p>
        </w:tc>
        <w:tc>
          <w:tcPr>
            <w:tcW w:type="dxa" w:w="4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Main reason</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Market Research Analysts (13-1161.00)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0.540</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High EIG (1.000) and EIA (0.300)</w:t>
            </w:r>
          </w:p>
        </w:tc>
      </w:tr>
      <w:tr>
        <w:tc>
          <w:tcPr>
            <w:tcW w:type="dxa" w:w="4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Credit Analysts (13-2041.00)</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0.535</w:t>
            </w:r>
          </w:p>
        </w:tc>
        <w:tc>
          <w:tcPr>
            <w:tcW w:type="dxa" w:w="4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High exposure to automated financial analysis</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Physicians, Pathologists (29-1222.00)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0.525</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High EIG (0.955) and EIA (0.318); diagnostics vulnerable</w:t>
            </w:r>
          </w:p>
        </w:tc>
      </w:tr>
      <w:tr>
        <w:tc>
          <w:tcPr>
            <w:tcW w:type="dxa" w:w="4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Emergency Medicine Physicians (29-1214.00)</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0.491</w:t>
            </w:r>
          </w:p>
        </w:tc>
        <w:tc>
          <w:tcPr>
            <w:tcW w:type="dxa" w:w="4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High EIG; modulated by high in-person presence</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Roofers (47-2181.00)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0.230</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Very low; non-routine physical tasks</w:t>
            </w:r>
          </w:p>
        </w:tc>
      </w:tr>
    </w:tbl>
    <w:p>
      <w:pPr>
        <w:spacing w:after="180" w:before="320"/>
      </w:pPr>
      <w:r>
        <w:rPr>
          <w:rFonts w:ascii="Calibri" w:cs="Calibri" w:eastAsia="Calibri" w:hAnsi="Calibri"/>
          <w:b/>
          <w:bCs/>
          <w:color w:val="1F4E79"/>
          <w:sz w:val="26"/>
          <w:szCs w:val="26"/>
        </w:rPr>
        <w:t xml:space="preserve">4.5 R implementation</w:t>
      </w:r>
    </w:p>
    <w:p>
      <w:pPr>
        <w:shd w:fill="F5F5F5" w:val="clear"/>
        <w:spacing w:after="80" w:before="80" w:line="280"/>
        <w:ind w:left="240"/>
      </w:pPr>
      <w:r>
        <w:rPr>
          <w:rFonts w:ascii="Consolas" w:cs="Consolas" w:eastAsia="Consolas" w:hAnsi="Consolas"/>
          <w:sz w:val="18"/>
          <w:szCs w:val="18"/>
        </w:rPr>
        <w:t xml:space="preserve">calcular_itea &lt;- function(eac, eig, eia) {</w:t>
      </w:r>
    </w:p>
    <w:p>
      <w:pPr>
        <w:shd w:fill="F5F5F5" w:val="clear"/>
        <w:spacing w:after="80" w:before="80" w:line="280"/>
        <w:ind w:left="240"/>
      </w:pPr>
      <w:r>
        <w:rPr>
          <w:rFonts w:ascii="Consolas" w:cs="Consolas" w:eastAsia="Consolas" w:hAnsi="Consolas"/>
          <w:sz w:val="18"/>
          <w:szCs w:val="18"/>
        </w:rPr>
        <w:t xml:space="preserve">  if(any(c(eac, eig, eia) &lt; 0 | c(eac, eig, eia) &gt; 1))</w:t>
      </w:r>
    </w:p>
    <w:p>
      <w:pPr>
        <w:shd w:fill="F5F5F5" w:val="clear"/>
        <w:spacing w:after="80" w:before="80" w:line="280"/>
        <w:ind w:left="240"/>
      </w:pPr>
      <w:r>
        <w:rPr>
          <w:rFonts w:ascii="Consolas" w:cs="Consolas" w:eastAsia="Consolas" w:hAnsi="Consolas"/>
          <w:sz w:val="18"/>
          <w:szCs w:val="18"/>
        </w:rPr>
        <w:t xml:space="preserve">    warning("Values must be in [0,1]")</w:t>
      </w:r>
    </w:p>
    <w:p>
      <w:pPr>
        <w:shd w:fill="F5F5F5" w:val="clear"/>
        <w:spacing w:after="80" w:before="80" w:line="280"/>
        <w:ind w:left="240"/>
      </w:pPr>
      <w:r>
        <w:rPr>
          <w:rFonts w:ascii="Consolas" w:cs="Consolas" w:eastAsia="Consolas" w:hAnsi="Consolas"/>
          <w:sz w:val="18"/>
          <w:szCs w:val="18"/>
        </w:rPr>
        <w:t xml:space="preserve">  itea &lt;- (eac + eig + eia) / 3</w:t>
      </w:r>
    </w:p>
    <w:p>
      <w:pPr>
        <w:shd w:fill="F5F5F5" w:val="clear"/>
        <w:spacing w:after="80" w:before="80" w:line="280"/>
        <w:ind w:left="240"/>
      </w:pPr>
      <w:r>
        <w:rPr>
          <w:rFonts w:ascii="Consolas" w:cs="Consolas" w:eastAsia="Consolas" w:hAnsi="Consolas"/>
          <w:sz w:val="18"/>
          <w:szCs w:val="18"/>
        </w:rPr>
        <w:t xml:space="preserve">  return(itea)</w:t>
      </w:r>
    </w:p>
    <w:p>
      <w:pPr>
        <w:shd w:fill="F5F5F5" w:val="clear"/>
        <w:spacing w:after="80" w:before="80" w:line="280"/>
        <w:ind w:left="240"/>
      </w:pPr>
      <w:r>
        <w:rPr>
          <w:rFonts w:ascii="Consolas" w:cs="Consolas" w:eastAsia="Consolas" w:hAnsi="Consolas"/>
          <w:sz w:val="18"/>
          <w:szCs w:val="18"/>
        </w:rPr>
        <w:t xml:space="preserve">}</w:t>
      </w:r>
    </w:p>
    <w:p>
      <w:pPr>
        <w:spacing w:after="180" w:before="320"/>
      </w:pPr>
      <w:r>
        <w:rPr>
          <w:rFonts w:ascii="Calibri" w:cs="Calibri" w:eastAsia="Calibri" w:hAnsi="Calibri"/>
          <w:b/>
          <w:bCs/>
          <w:color w:val="1F4E79"/>
          <w:sz w:val="26"/>
          <w:szCs w:val="26"/>
        </w:rPr>
        <w:t xml:space="preserve">4.6 Python implementation</w:t>
      </w:r>
    </w:p>
    <w:p>
      <w:pPr>
        <w:shd w:fill="F5F5F5" w:val="clear"/>
        <w:spacing w:after="80" w:before="80" w:line="280"/>
        <w:ind w:left="240"/>
      </w:pPr>
      <w:r>
        <w:rPr>
          <w:rFonts w:ascii="Consolas" w:cs="Consolas" w:eastAsia="Consolas" w:hAnsi="Consolas"/>
          <w:sz w:val="18"/>
          <w:szCs w:val="18"/>
        </w:rPr>
        <w:t xml:space="preserve">def calcular_itea(eac, eig, eia):</w:t>
      </w:r>
    </w:p>
    <w:p>
      <w:pPr>
        <w:shd w:fill="F5F5F5" w:val="clear"/>
        <w:spacing w:after="80" w:before="80" w:line="280"/>
        <w:ind w:left="240"/>
      </w:pPr>
      <w:r>
        <w:rPr>
          <w:rFonts w:ascii="Consolas" w:cs="Consolas" w:eastAsia="Consolas" w:hAnsi="Consolas"/>
          <w:sz w:val="18"/>
          <w:szCs w:val="18"/>
        </w:rPr>
        <w:t xml:space="preserve">    eac, eig, eia = np.asarray(eac), np.asarray(eig), np.asarray(eia)</w:t>
      </w:r>
    </w:p>
    <w:p>
      <w:pPr>
        <w:shd w:fill="F5F5F5" w:val="clear"/>
        <w:spacing w:after="80" w:before="80" w:line="280"/>
        <w:ind w:left="240"/>
      </w:pPr>
      <w:r>
        <w:rPr>
          <w:rFonts w:ascii="Consolas" w:cs="Consolas" w:eastAsia="Consolas" w:hAnsi="Consolas"/>
          <w:sz w:val="18"/>
          <w:szCs w:val="18"/>
        </w:rPr>
        <w:t xml:space="preserve">    return (eac + eig + eia) / 3</w:t>
      </w:r>
    </w:p>
    <w:p>
      <w:pPr>
        <w:spacing w:after="180" w:before="320"/>
      </w:pPr>
      <w:r>
        <w:rPr>
          <w:rFonts w:ascii="Calibri" w:cs="Calibri" w:eastAsia="Calibri" w:hAnsi="Calibri"/>
          <w:b/>
          <w:bCs/>
          <w:color w:val="1F4E79"/>
          <w:sz w:val="26"/>
          <w:szCs w:val="26"/>
        </w:rPr>
        <w:t xml:space="preserve">4.7 Evolution v1.0 → v2.0</w:t>
      </w:r>
    </w:p>
    <w:p>
      <w:pPr>
        <w:spacing w:after="120" w:before="240"/>
        <w:jc w:val="left"/>
      </w:pPr>
      <w:r>
        <w:rPr>
          <w:rFonts w:ascii="Calibri" w:cs="Calibri" w:eastAsia="Calibri" w:hAnsi="Calibri"/>
          <w:b/>
          <w:bCs/>
          <w:color w:val="1F4E79"/>
          <w:sz w:val="20"/>
          <w:szCs w:val="20"/>
        </w:rPr>
        <w:t xml:space="preserve">Table 4.4. ITEA version history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1500"/>
        <w:gridCol w:w="1500"/>
        <w:gridCol w:w="1500"/>
      </w:tblGrid>
      <w:tr>
        <w:trPr>
          <w:tblHeader/>
        </w:trPr>
        <w:tc>
          <w:tcPr>
            <w:tcW w:type="dxa" w:w="11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Version</w:t>
            </w:r>
          </w:p>
        </w:tc>
        <w:tc>
          <w:tcPr>
            <w:tcW w:type="dxa" w:w="4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Main change</w:t>
            </w:r>
          </w:p>
        </w:tc>
        <w:tc>
          <w:tcPr>
            <w:tcW w:type="dxa" w:w="1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r(ITEA,AEI)</w:t>
            </w:r>
          </w:p>
        </w:tc>
        <w:tc>
          <w:tcPr>
            <w:tcW w:type="dxa" w:w="1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Max VIF</w:t>
            </w:r>
          </w:p>
        </w:tc>
        <w:tc>
          <w:tcPr>
            <w:tcW w:type="dxa" w:w="1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Weight stability</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v1.0</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Theoretical weights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0.487</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1.45</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0.923</w:t>
            </w:r>
          </w:p>
        </w:tc>
      </w:tr>
      <w:tr>
        <w:tc>
          <w:tcPr>
            <w:tcW w:type="dxa" w:w="11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v1.1</w:t>
            </w:r>
          </w:p>
        </w:tc>
        <w:tc>
          <w:tcPr>
            <w:tcW w:type="dxa" w:w="4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Additive aggregation</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0.543</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1.18</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0.965</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v1.2</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Component refinement</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0.561</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1.15</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0.979</w:t>
            </w:r>
          </w:p>
        </w:tc>
      </w:tr>
      <w:tr>
        <w:tc>
          <w:tcPr>
            <w:tcW w:type="dxa" w:w="11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v1.3</w:t>
            </w:r>
          </w:p>
        </w:tc>
        <w:tc>
          <w:tcPr>
            <w:tcW w:type="dxa" w:w="4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CC reformulation</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0.572</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1.21</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0.981</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v1.45</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Optimised reduced CC</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0.720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1.21</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0.983</w:t>
            </w:r>
          </w:p>
        </w:tc>
      </w:tr>
      <w:tr>
        <w:tc>
          <w:tcPr>
            <w:tcW w:type="dxa" w:w="11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v2.0</w:t>
            </w:r>
          </w:p>
        </w:tc>
        <w:tc>
          <w:tcPr>
            <w:tcW w:type="dxa" w:w="40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No structural changes from v1.45</w:t>
            </w:r>
          </w:p>
        </w:tc>
        <w:tc>
          <w:tcPr>
            <w:tcW w:type="dxa" w:w="15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0.720</w:t>
            </w:r>
          </w:p>
        </w:tc>
        <w:tc>
          <w:tcPr>
            <w:tcW w:type="dxa" w:w="15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1.21</w:t>
            </w:r>
          </w:p>
        </w:tc>
        <w:tc>
          <w:tcPr>
            <w:tcW w:type="dxa" w:w="15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0.983</w:t>
            </w:r>
          </w:p>
        </w:tc>
      </w:tr>
    </w:tbl>
    <w:p>
      <w:r>
        <w:br w:type="page"/>
      </w:r>
    </w:p>
    <w:p>
      <w:pPr>
        <w:spacing w:after="240" w:before="480"/>
      </w:pPr>
      <w:r>
        <w:rPr>
          <w:rFonts w:ascii="Calibri" w:cs="Calibri" w:eastAsia="Calibri" w:hAnsi="Calibri"/>
          <w:b/>
          <w:bCs/>
          <w:color w:val="1F4E79"/>
          <w:sz w:val="32"/>
          <w:szCs w:val="32"/>
        </w:rPr>
        <w:t xml:space="preserve">5. IRA v2.0 — Adaptive Resilience Index (replaces IRO)</w:t>
      </w:r>
    </w:p>
    <w:p>
      <w:pPr>
        <w:spacing w:after="160" w:before="0" w:line="320"/>
        <w:jc w:val="both"/>
      </w:pPr>
      <w:r>
        <w:rPr>
          <w:rFonts w:ascii="Calibri" w:cs="Calibri" w:eastAsia="Calibri" w:hAnsi="Calibri"/>
          <w:b/>
          <w:bCs/>
          <w:color w:val="C00000"/>
          <w:sz w:val="22"/>
          <w:szCs w:val="22"/>
        </w:rPr>
        <w:t xml:space="preserve">ATTENTION: major structural change in v2.0</w:t>
      </w:r>
      <w:r>
        <w:rPr>
          <w:rFonts w:ascii="Calibri" w:cs="Calibri" w:eastAsia="Calibri" w:hAnsi="Calibri"/>
          <w:sz w:val="22"/>
          <w:szCs w:val="22"/>
        </w:rPr>
        <w:t xml:space="preserve">. This chapter documents the replacement of the Occupational Resilience Index (IRO) with the Adaptive Resilience Index (IRA v2.0). The change responds to the structural collinearity diagnosis identified in v1.45 and constitutes the central innovation of the version transition.</w:t>
      </w:r>
    </w:p>
    <w:p>
      <w:pPr>
        <w:spacing w:after="180" w:before="320"/>
      </w:pPr>
      <w:r>
        <w:rPr>
          <w:rFonts w:ascii="Calibri" w:cs="Calibri" w:eastAsia="Calibri" w:hAnsi="Calibri"/>
          <w:b/>
          <w:bCs/>
          <w:color w:val="1F4E79"/>
          <w:sz w:val="26"/>
          <w:szCs w:val="26"/>
        </w:rPr>
        <w:t xml:space="preserve">5.1 Diagnosis of the v1.45 problem</w:t>
      </w:r>
    </w:p>
    <w:p>
      <w:pPr>
        <w:spacing w:after="160" w:before="0" w:line="320"/>
        <w:jc w:val="both"/>
      </w:pPr>
      <w:r>
        <w:rPr>
          <w:rFonts w:ascii="Calibri" w:cs="Calibri" w:eastAsia="Calibri" w:hAnsi="Calibri"/>
          <w:sz w:val="22"/>
          <w:szCs w:val="22"/>
        </w:rPr>
        <w:t xml:space="preserve">Version 1.45 articulated the IRO as a linear combination of three components: adaptive capacity (CA, weight 0.35), cognitive complexity reduced to two items (CC_v1.45 = Critical Thinking + Problem Solving, weight 0.35) and institutional security (SI proxy, weight 0.30). In the cross-validation analysis with the rest of the framework, this construction exhibited:</w:t>
      </w:r>
    </w:p>
    <w:p>
      <w:pPr>
        <w:spacing w:after="160" w:before="0" w:line="320"/>
        <w:jc w:val="both"/>
      </w:pPr>
      <w:r>
        <w:rPr>
          <w:rFonts w:ascii="Calibri" w:cs="Calibri" w:eastAsia="Calibri" w:hAnsi="Calibri"/>
          <w:b/>
          <w:bCs/>
          <w:color w:val="C00000"/>
          <w:sz w:val="22"/>
          <w:szCs w:val="22"/>
        </w:rPr>
        <w:t xml:space="preserve">r(IRO_v1.45, GEE) = 0.904</w:t>
      </w:r>
    </w:p>
    <w:p>
      <w:pPr>
        <w:spacing w:after="160" w:before="0" w:line="320"/>
        <w:jc w:val="both"/>
      </w:pPr>
      <w:r>
        <w:rPr>
          <w:rFonts w:ascii="Calibri" w:cs="Calibri" w:eastAsia="Calibri" w:hAnsi="Calibri"/>
          <w:sz w:val="22"/>
          <w:szCs w:val="22"/>
        </w:rPr>
        <w:t xml:space="preserve">A structural collinearity that compromised the interpretation of IRO as an autonomous moderating dimension. Decomposition of IRO_v1.45 by components reveals the structural origin of the problem:</w:t>
      </w:r>
    </w:p>
    <w:p>
      <w:pPr>
        <w:spacing w:after="120" w:before="240"/>
        <w:jc w:val="left"/>
      </w:pPr>
      <w:r>
        <w:rPr>
          <w:rFonts w:ascii="Calibri" w:cs="Calibri" w:eastAsia="Calibri" w:hAnsi="Calibri"/>
          <w:b/>
          <w:bCs/>
          <w:color w:val="1F4E79"/>
          <w:sz w:val="20"/>
          <w:szCs w:val="20"/>
        </w:rPr>
        <w:t xml:space="preserve">Table 5.1. Decomposition of IRO_v1.45 collinearity with GEE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500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Component</w:t>
            </w:r>
          </w:p>
        </w:tc>
        <w:tc>
          <w:tcPr>
            <w:tcW w:type="dxa" w:w="2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r with GEE</w:t>
            </w:r>
          </w:p>
        </w:tc>
        <w:tc>
          <w:tcPr>
            <w:tcW w:type="dxa" w:w="5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Diagnosis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CA (Adaptive Capacity)</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0.607</w:t>
            </w:r>
          </w:p>
        </w:tc>
        <w:tc>
          <w:tcPr>
            <w:tcW w:type="dxa" w:w="5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Most independent component. Measures knowledge updating, active learning and adaptability/flexibility. Its natural correlation with GEE reflects that certain qualified profiles do operationally require high adaptability.</w:t>
            </w:r>
          </w:p>
        </w:tc>
      </w:tr>
      <w:tr>
        <w:tc>
          <w:tcPr>
            <w:tcW w:type="dxa" w:w="3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CC_v1.45 (Critical Thinking + Problem Solving)</w:t>
            </w:r>
          </w:p>
        </w:tc>
        <w:tc>
          <w:tcPr>
            <w:tcW w:type="dxa" w:w="2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0.824</w:t>
            </w:r>
          </w:p>
        </w:tc>
        <w:tc>
          <w:tcPr>
            <w:tcW w:type="dxa" w:w="5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Measures cognitive ability, which naturally correlates with formal education. The reduction from 4 to 2 items in v1.45 did not resolve the duplication with GEE.</w:t>
            </w:r>
          </w:p>
        </w:tc>
      </w:tr>
      <w:tr>
        <w:tc>
          <w:tcPr>
            <w:tcW w:type="dxa" w:w="30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SI proxy (Institutional Security)</w:t>
            </w:r>
          </w:p>
        </w:tc>
        <w:tc>
          <w:tcPr>
            <w:tcW w:type="dxa" w:w="20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0.925</w:t>
            </w:r>
          </w:p>
        </w:tc>
        <w:tc>
          <w:tcPr>
            <w:tcW w:type="dxa" w:w="50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Quasi-clone of GEE. The SI is constructed as a proxy from Job Zone, which is precisely the basis on which GEE is calibrated. Direct instrumental duplication.</w:t>
            </w:r>
          </w:p>
        </w:tc>
      </w:tr>
      <w:tr>
        <w:tc>
          <w:tcPr>
            <w:tcW w:type="dxa" w:w="30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IRO_v1.45 aggregated</w:t>
            </w:r>
          </w:p>
        </w:tc>
        <w:tc>
          <w:tcPr>
            <w:tcW w:type="dxa" w:w="20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0.904</w:t>
            </w:r>
          </w:p>
        </w:tc>
        <w:tc>
          <w:tcPr>
            <w:tcW w:type="dxa" w:w="50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Product of the three components; the combination reinforces the duplication rather than diluting it.</w:t>
            </w:r>
          </w:p>
        </w:tc>
      </w:tr>
    </w:tbl>
    <w:p>
      <w:pPr>
        <w:spacing w:after="240" w:before="80"/>
        <w:jc w:val="both"/>
      </w:pPr>
      <w:r>
        <w:rPr>
          <w:rFonts w:ascii="Calibri" w:cs="Calibri" w:eastAsia="Calibri" w:hAnsi="Calibri"/>
          <w:i/>
          <w:iCs/>
          <w:color w:val="666666"/>
          <w:sz w:val="18"/>
          <w:szCs w:val="18"/>
        </w:rPr>
        <w:t xml:space="preserve">Decomposition reveals that the IRO_v1.45 was not an autonomous "resilience" construct but a partial recombination of formal human capital already captured by GEE. The duplication is structural, not methodologically correctable through weight recalibration.</w:t>
      </w:r>
    </w:p>
    <w:p>
      <w:pPr>
        <w:spacing w:after="160" w:before="0" w:line="320"/>
        <w:jc w:val="both"/>
      </w:pPr>
      <w:r>
        <w:rPr>
          <w:rFonts w:ascii="Calibri" w:cs="Calibri" w:eastAsia="Calibri" w:hAnsi="Calibri"/>
          <w:b/>
          <w:bCs/>
          <w:sz w:val="22"/>
          <w:szCs w:val="22"/>
        </w:rPr>
        <w:t xml:space="preserve">Diagnostic conclusion</w:t>
      </w:r>
      <w:r>
        <w:rPr>
          <w:rFonts w:ascii="Calibri" w:cs="Calibri" w:eastAsia="Calibri" w:hAnsi="Calibri"/>
          <w:sz w:val="22"/>
          <w:szCs w:val="22"/>
        </w:rPr>
        <w:t xml:space="preserve">. The IRO_v1.45 mixed </w:t>
      </w:r>
      <w:r>
        <w:rPr>
          <w:rFonts w:ascii="Calibri" w:cs="Calibri" w:eastAsia="Calibri" w:hAnsi="Calibri"/>
          <w:i/>
          <w:iCs/>
          <w:sz w:val="22"/>
          <w:szCs w:val="22"/>
        </w:rPr>
        <w:t xml:space="preserve">human capital</w:t>
      </w:r>
      <w:r>
        <w:rPr>
          <w:rFonts w:ascii="Calibri" w:cs="Calibri" w:eastAsia="Calibri" w:hAnsi="Calibri"/>
          <w:sz w:val="22"/>
          <w:szCs w:val="22"/>
        </w:rPr>
        <w:t xml:space="preserve"> (CC, SI) with </w:t>
      </w:r>
      <w:r>
        <w:rPr>
          <w:rFonts w:ascii="Calibri" w:cs="Calibri" w:eastAsia="Calibri" w:hAnsi="Calibri"/>
          <w:i/>
          <w:iCs/>
          <w:sz w:val="22"/>
          <w:szCs w:val="22"/>
        </w:rPr>
        <w:t xml:space="preserve">adaptability</w:t>
      </w:r>
      <w:r>
        <w:rPr>
          <w:rFonts w:ascii="Calibri" w:cs="Calibri" w:eastAsia="Calibri" w:hAnsi="Calibri"/>
          <w:sz w:val="22"/>
          <w:szCs w:val="22"/>
        </w:rPr>
        <w:t xml:space="preserve">. Since GEE already measures human capital, the duplication was structural and compromised any interpretation of IRO as an autonomous moderating dimension. The solution required reconceptualisation, not recalibration.</w:t>
      </w:r>
    </w:p>
    <w:p>
      <w:pPr>
        <w:spacing w:after="180" w:before="320"/>
      </w:pPr>
      <w:r>
        <w:rPr>
          <w:rFonts w:ascii="Calibri" w:cs="Calibri" w:eastAsia="Calibri" w:hAnsi="Calibri"/>
          <w:b/>
          <w:bCs/>
          <w:color w:val="1F4E79"/>
          <w:sz w:val="26"/>
          <w:szCs w:val="26"/>
        </w:rPr>
        <w:t xml:space="preserve">5.2 Conceptual definition of IRA v2.0</w:t>
      </w:r>
    </w:p>
    <w:p>
      <w:pPr>
        <w:spacing w:after="160" w:before="0" w:line="320"/>
        <w:jc w:val="both"/>
      </w:pPr>
      <w:r>
        <w:rPr>
          <w:rFonts w:ascii="Calibri" w:cs="Calibri" w:eastAsia="Calibri" w:hAnsi="Calibri"/>
          <w:b/>
          <w:bCs/>
          <w:sz w:val="22"/>
          <w:szCs w:val="22"/>
        </w:rPr>
        <w:t xml:space="preserve">Definition. </w:t>
      </w:r>
      <w:r>
        <w:rPr>
          <w:rFonts w:ascii="Calibri" w:cs="Calibri" w:eastAsia="Calibri" w:hAnsi="Calibri"/>
          <w:sz w:val="22"/>
          <w:szCs w:val="22"/>
        </w:rPr>
        <w:t xml:space="preserve">The IRA v2.0 (Adaptive Resilience Index) measures the capacity of an occupation to reconfigure and adapt to disruptive technological changes, defined operationally as the </w:t>
      </w:r>
      <w:r>
        <w:rPr>
          <w:rFonts w:ascii="Calibri" w:cs="Calibri" w:eastAsia="Calibri" w:hAnsi="Calibri"/>
          <w:b/>
          <w:bCs/>
          <w:i/>
          <w:iCs/>
          <w:sz w:val="22"/>
          <w:szCs w:val="22"/>
        </w:rPr>
        <w:t xml:space="preserve">variance of adaptability orthogonal to formal qualification</w:t>
      </w:r>
      <w:r>
        <w:rPr>
          <w:rFonts w:ascii="Calibri" w:cs="Calibri" w:eastAsia="Calibri" w:hAnsi="Calibri"/>
          <w:sz w:val="22"/>
          <w:szCs w:val="22"/>
        </w:rPr>
        <w:t xml:space="preserve">. By construction, the IRA captures what qualification (GEE) does not predict on its own.</w:t>
      </w:r>
    </w:p>
    <w:p>
      <w:pPr>
        <w:spacing w:after="160" w:before="0" w:line="320"/>
        <w:jc w:val="both"/>
      </w:pPr>
      <w:r>
        <w:rPr>
          <w:rFonts w:ascii="Calibri" w:cs="Calibri" w:eastAsia="Calibri" w:hAnsi="Calibri"/>
          <w:sz w:val="22"/>
          <w:szCs w:val="22"/>
        </w:rPr>
        <w:t xml:space="preserve">The reconceptualisation IRO → IRA reflects a substantive change in the construct definition: version 1.45 understood resilience as a mixture of adaptability, cognitive ability and institutional security; version 2.0 defines it as pure adaptability, isolated from the human capital dimensions that GEE captures separately. This allows empirical testing of the GEE × IRA interaction —impossible under the v1.45 formulation due to instrumental duplication— and articulates discriminant hypotheses about the Insider-Outsider inversion under Agentic regime.</w:t>
      </w:r>
    </w:p>
    <w:p>
      <w:pPr>
        <w:spacing w:after="180" w:before="320"/>
      </w:pPr>
      <w:r>
        <w:rPr>
          <w:rFonts w:ascii="Calibri" w:cs="Calibri" w:eastAsia="Calibri" w:hAnsi="Calibri"/>
          <w:b/>
          <w:bCs/>
          <w:color w:val="1F4E79"/>
          <w:sz w:val="26"/>
          <w:szCs w:val="26"/>
        </w:rPr>
        <w:t xml:space="preserve">5.3 Mathematical formulation</w:t>
      </w:r>
    </w:p>
    <w:p>
      <w:pPr>
        <w:spacing w:after="160" w:before="0" w:line="320"/>
        <w:jc w:val="both"/>
      </w:pPr>
      <w:r>
        <w:rPr>
          <w:rFonts w:ascii="Calibri" w:cs="Calibri" w:eastAsia="Calibri" w:hAnsi="Calibri"/>
          <w:b/>
          <w:bCs/>
          <w:sz w:val="22"/>
          <w:szCs w:val="22"/>
        </w:rPr>
        <w:t xml:space="preserve">The construction of IRA v2.0 proceeds in three sequential steps.</w:t>
      </w:r>
    </w:p>
    <w:p>
      <w:pPr>
        <w:spacing w:after="160" w:before="0" w:line="320"/>
        <w:jc w:val="both"/>
      </w:pPr>
      <w:r>
        <w:rPr>
          <w:rFonts w:ascii="Calibri" w:cs="Calibri" w:eastAsia="Calibri" w:hAnsi="Calibri"/>
          <w:b/>
          <w:bCs/>
          <w:sz w:val="22"/>
          <w:szCs w:val="22"/>
        </w:rPr>
        <w:t xml:space="preserve">Step 1. </w:t>
      </w:r>
      <w:r>
        <w:rPr>
          <w:rFonts w:ascii="Calibri" w:cs="Calibri" w:eastAsia="Calibri" w:hAnsi="Calibri"/>
          <w:sz w:val="22"/>
          <w:szCs w:val="22"/>
        </w:rPr>
        <w:t xml:space="preserve">Residualisation of IRO_v1.45 against GEE.</w:t>
      </w:r>
    </w:p>
    <w:p>
      <w:pPr>
        <w:spacing w:after="160" w:before="0" w:line="320"/>
        <w:jc w:val="both"/>
      </w:pPr>
      <w:r>
        <w:rPr>
          <w:rFonts w:ascii="Calibri" w:cs="Calibri" w:eastAsia="Calibri" w:hAnsi="Calibri"/>
          <w:sz w:val="22"/>
          <w:szCs w:val="22"/>
        </w:rPr>
        <w:t xml:space="preserve">The univariate OLS regression is computed:</w:t>
      </w:r>
    </w:p>
    <w:p>
      <w:pPr>
        <w:spacing w:after="160" w:before="0" w:line="320"/>
        <w:jc w:val="both"/>
      </w:pPr>
      <w:r>
        <w:rPr>
          <w:rFonts w:ascii="Calibri" w:cs="Calibri" w:eastAsia="Calibri" w:hAnsi="Calibri"/>
          <w:b/>
          <w:bCs/>
          <w:sz w:val="22"/>
          <w:szCs w:val="22"/>
        </w:rPr>
        <w:t xml:space="preserve">    IRO_v1.45 = α + β · GEE + ε</w:t>
      </w:r>
    </w:p>
    <w:p>
      <w:pPr>
        <w:spacing w:after="160" w:before="0" w:line="320"/>
        <w:jc w:val="both"/>
      </w:pPr>
      <w:r>
        <w:rPr>
          <w:rFonts w:ascii="Calibri" w:cs="Calibri" w:eastAsia="Calibri" w:hAnsi="Calibri"/>
          <w:sz w:val="22"/>
          <w:szCs w:val="22"/>
        </w:rPr>
        <w:t xml:space="preserve">The residuals ε are extracted as “variance of IRO not explained by GEE”. These residuals, normalised to [0, 1] via min-max transformation, constitute IRO_residual_norm. By analytical construction, r(IRO_residual_norm, GEE) = 0 exact.</w:t>
      </w:r>
    </w:p>
    <w:p>
      <w:pPr>
        <w:spacing w:after="160" w:before="0" w:line="320"/>
        <w:jc w:val="both"/>
      </w:pPr>
      <w:r>
        <w:rPr>
          <w:rFonts w:ascii="Calibri" w:cs="Calibri" w:eastAsia="Calibri" w:hAnsi="Calibri"/>
          <w:b/>
          <w:bCs/>
          <w:sz w:val="22"/>
          <w:szCs w:val="22"/>
        </w:rPr>
        <w:t xml:space="preserve">Step 2. </w:t>
      </w:r>
      <w:r>
        <w:rPr>
          <w:rFonts w:ascii="Calibri" w:cs="Calibri" w:eastAsia="Calibri" w:hAnsi="Calibri"/>
          <w:sz w:val="22"/>
          <w:szCs w:val="22"/>
        </w:rPr>
        <w:t xml:space="preserve">Identification of the most independent component.</w:t>
      </w:r>
    </w:p>
    <w:p>
      <w:pPr>
        <w:spacing w:after="160" w:before="0" w:line="320"/>
        <w:jc w:val="both"/>
      </w:pPr>
      <w:r>
        <w:rPr>
          <w:rFonts w:ascii="Calibri" w:cs="Calibri" w:eastAsia="Calibri" w:hAnsi="Calibri"/>
          <w:sz w:val="22"/>
          <w:szCs w:val="22"/>
        </w:rPr>
        <w:t xml:space="preserve">Adaptive capacity (CA), defined as the average of five O*NET items (Innovation, Adaptability, Tolerance, Curiosity, Initiative), exhibits the lowest correlation with GEE among the three components of IRO_v1.45 (r = 0.607). CA is normalised to [0, 1]:</w:t>
      </w:r>
    </w:p>
    <w:p>
      <w:pPr>
        <w:spacing w:after="160" w:before="0" w:line="320"/>
        <w:jc w:val="both"/>
      </w:pPr>
      <w:r>
        <w:rPr>
          <w:rFonts w:ascii="Calibri" w:cs="Calibri" w:eastAsia="Calibri" w:hAnsi="Calibri"/>
          <w:b/>
          <w:bCs/>
          <w:sz w:val="22"/>
          <w:szCs w:val="22"/>
        </w:rPr>
        <w:t xml:space="preserve">    CA_norm = (CA − min(CA)) / (max(CA) − min(CA))</w:t>
      </w:r>
    </w:p>
    <w:p>
      <w:pPr>
        <w:spacing w:after="160" w:before="0" w:line="320"/>
        <w:jc w:val="both"/>
      </w:pPr>
      <w:r>
        <w:rPr>
          <w:rFonts w:ascii="Calibri" w:cs="Calibri" w:eastAsia="Calibri" w:hAnsi="Calibri"/>
          <w:b/>
          <w:bCs/>
          <w:sz w:val="22"/>
          <w:szCs w:val="22"/>
        </w:rPr>
        <w:t xml:space="preserve">Step 3. </w:t>
      </w:r>
      <w:r>
        <w:rPr>
          <w:rFonts w:ascii="Calibri" w:cs="Calibri" w:eastAsia="Calibri" w:hAnsi="Calibri"/>
          <w:sz w:val="22"/>
          <w:szCs w:val="22"/>
        </w:rPr>
        <w:t xml:space="preserve">Construction of IRA v2.0 via weighted combination.</w:t>
      </w:r>
    </w:p>
    <w:p>
      <w:pPr>
        <w:spacing w:after="160" w:before="0" w:line="320"/>
        <w:jc w:val="both"/>
      </w:pPr>
      <w:r>
        <w:rPr>
          <w:rFonts w:ascii="Calibri" w:cs="Calibri" w:eastAsia="Calibri" w:hAnsi="Calibri"/>
          <w:b/>
          <w:bCs/>
          <w:color w:val="1F4E79"/>
          <w:sz w:val="22"/>
          <w:szCs w:val="22"/>
        </w:rPr>
        <w:t xml:space="preserve">    IRA_v2.0 = 0.60 · CA_norm + 0.40 · IRO_residual_norm</w:t>
      </w:r>
    </w:p>
    <w:p>
      <w:pPr>
        <w:spacing w:after="120" w:before="240"/>
        <w:jc w:val="left"/>
      </w:pPr>
      <w:r>
        <w:rPr>
          <w:rFonts w:ascii="Calibri" w:cs="Calibri" w:eastAsia="Calibri" w:hAnsi="Calibri"/>
          <w:b/>
          <w:bCs/>
          <w:color w:val="1F4E79"/>
          <w:sz w:val="20"/>
          <w:szCs w:val="20"/>
        </w:rPr>
        <w:t xml:space="preserve">Table 5.2. Justification of the IRA v2.0 weights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7200"/>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Component</w:t>
            </w:r>
          </w:p>
        </w:tc>
        <w:tc>
          <w:tcPr>
            <w:tcW w:type="dxa" w:w="1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Weight</w:t>
            </w:r>
          </w:p>
        </w:tc>
        <w:tc>
          <w:tcPr>
            <w:tcW w:type="dxa" w:w="72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Justification</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CA_norm</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0.60</w:t>
            </w:r>
          </w:p>
        </w:tc>
        <w:tc>
          <w:tcPr>
            <w:tcW w:type="dxa" w:w="7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Component conceptually most aligned with the notion of pure adaptability. It is the empirically most independent dimension (r=0.607 with GEE, versus 0.824 for CC and 0.925 for SI). Its higher weight reflects its greater robustness as a measure of operational adaptability.</w:t>
            </w:r>
          </w:p>
        </w:tc>
      </w:tr>
      <w:tr>
        <w:tc>
          <w:tcPr>
            <w:tcW w:type="dxa" w:w="1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IRO_residual_norm</w:t>
            </w:r>
          </w:p>
        </w:tc>
        <w:tc>
          <w:tcPr>
            <w:tcW w:type="dxa" w:w="1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0.40</w:t>
            </w:r>
          </w:p>
        </w:tc>
        <w:tc>
          <w:tcPr>
            <w:tcW w:type="dxa" w:w="72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Captures the variance of resilience orthogonal to qualification that CA does not directly include. By construction, these residuals are perfectly orthogonal to GEE; they complement CA by capturing dimensions of adaptability that pure CA does not explicitly include (e.g., aspects of cognitive complexity or institutional security exceeding the prediction of educational level).</w:t>
            </w:r>
          </w:p>
        </w:tc>
      </w:tr>
    </w:tbl>
    <w:p>
      <w:pPr>
        <w:spacing w:after="240" w:before="80"/>
        <w:jc w:val="both"/>
      </w:pPr>
      <w:r>
        <w:rPr>
          <w:rFonts w:ascii="Calibri" w:cs="Calibri" w:eastAsia="Calibri" w:hAnsi="Calibri"/>
          <w:i/>
          <w:iCs/>
          <w:color w:val="666666"/>
          <w:sz w:val="18"/>
          <w:szCs w:val="18"/>
        </w:rPr>
        <w:t xml:space="preserve">The 60/40 weighting is a methodological decision calibrated to preserve the conceptual centrality of pure adaptive capacity (CA) without discarding the residual information from the other two IRO_v1.45 dimensions exceeding the duplication with GEE. Sensitivity analysis on the weighting (50/50 or 70/30) produces variations in r(IRA, GEE) less than 0.05, indicating construction robustness.</w:t>
      </w:r>
    </w:p>
    <w:p>
      <w:pPr>
        <w:spacing w:after="180" w:before="320"/>
      </w:pPr>
      <w:r>
        <w:rPr>
          <w:rFonts w:ascii="Calibri" w:cs="Calibri" w:eastAsia="Calibri" w:hAnsi="Calibri"/>
          <w:b/>
          <w:bCs/>
          <w:color w:val="1F4E79"/>
          <w:sz w:val="26"/>
          <w:szCs w:val="26"/>
        </w:rPr>
        <w:t xml:space="preserve">5.4 Validation of the construction</w:t>
      </w:r>
    </w:p>
    <w:p>
      <w:pPr>
        <w:spacing w:after="160" w:before="0" w:line="320"/>
        <w:jc w:val="both"/>
      </w:pPr>
      <w:r>
        <w:rPr>
          <w:rFonts w:ascii="Calibri" w:cs="Calibri" w:eastAsia="Calibri" w:hAnsi="Calibri"/>
          <w:sz w:val="22"/>
          <w:szCs w:val="22"/>
        </w:rPr>
        <w:t xml:space="preserve">The validity of the IRA v2.0 construction is evaluated against three criteria:</w:t>
      </w:r>
    </w:p>
    <w:p>
      <w:pPr>
        <w:spacing w:after="120" w:before="240"/>
        <w:jc w:val="left"/>
      </w:pPr>
      <w:r>
        <w:rPr>
          <w:rFonts w:ascii="Calibri" w:cs="Calibri" w:eastAsia="Calibri" w:hAnsi="Calibri"/>
          <w:b/>
          <w:bCs/>
          <w:color w:val="1F4E79"/>
          <w:sz w:val="20"/>
          <w:szCs w:val="20"/>
        </w:rPr>
        <w:t xml:space="preserve">Table 5.3. Validation of IRA v2.0</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500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Criterion</w:t>
            </w:r>
          </w:p>
        </w:tc>
        <w:tc>
          <w:tcPr>
            <w:tcW w:type="dxa" w:w="2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Result</w:t>
            </w:r>
          </w:p>
        </w:tc>
        <w:tc>
          <w:tcPr>
            <w:tcW w:type="dxa" w:w="5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Interpretation</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Discriminant validity (r with GEE)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0.433</w:t>
            </w:r>
          </w:p>
        </w:tc>
        <w:tc>
          <w:tcPr>
            <w:tcW w:type="dxa" w:w="5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Substantially reduced from 0.904 in v1.45. The residual correlation of 0.433 —not perfect orthogonality— is expected: CA maintains its natural correlation of 0.607 with GEE because certain high-qualification occupational profiles do operationally require high adaptability. The transition v1.45 → v2.0 eliminates instrumental duplication, not natural association.</w:t>
            </w:r>
          </w:p>
        </w:tc>
      </w:tr>
      <w:tr>
        <w:tc>
          <w:tcPr>
            <w:tcW w:type="dxa" w:w="3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Distribution (effective range)</w:t>
            </w:r>
          </w:p>
        </w:tc>
        <w:tc>
          <w:tcPr>
            <w:tcW w:type="dxa" w:w="2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[0.000; 0.975]</w:t>
            </w:r>
          </w:p>
        </w:tc>
        <w:tc>
          <w:tcPr>
            <w:tcW w:type="dxa" w:w="5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Wide distribution, with significant presence in all four GEE × IRA quadrants. Median 0.180; mean 0.222; std 0.151. Moderate positive skewness.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Interpretive coherence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w:t>
            </w:r>
          </w:p>
        </w:tc>
        <w:tc>
          <w:tcPr>
            <w:tcW w:type="dxa" w:w="5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Occupations with high IRA are those whose O*NET profile explicitly reflects high adaptability (scientists, healthcare professionals, IT specialists), regardless of the exact level of formal qualification.</w:t>
            </w:r>
          </w:p>
        </w:tc>
      </w:tr>
    </w:tbl>
    <w:p>
      <w:pPr>
        <w:spacing w:after="180" w:before="320"/>
      </w:pPr>
      <w:r>
        <w:rPr>
          <w:rFonts w:ascii="Calibri" w:cs="Calibri" w:eastAsia="Calibri" w:hAnsi="Calibri"/>
          <w:b/>
          <w:bCs/>
          <w:color w:val="1F4E79"/>
          <w:sz w:val="26"/>
          <w:szCs w:val="26"/>
        </w:rPr>
        <w:t xml:space="preserve">5.5 Interpretation by ranges</w:t>
      </w:r>
    </w:p>
    <w:p>
      <w:pPr>
        <w:spacing w:after="120" w:before="240"/>
        <w:jc w:val="left"/>
      </w:pPr>
      <w:r>
        <w:rPr>
          <w:rFonts w:ascii="Calibri" w:cs="Calibri" w:eastAsia="Calibri" w:hAnsi="Calibri"/>
          <w:b/>
          <w:bCs/>
          <w:color w:val="1F4E79"/>
          <w:sz w:val="20"/>
          <w:szCs w:val="20"/>
        </w:rPr>
        <w:t xml:space="preserve">Table 5.4. IRA v2.0 interpretation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5200"/>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Range</w:t>
            </w:r>
          </w:p>
        </w:tc>
        <w:tc>
          <w:tcPr>
            <w:tcW w:type="dxa" w:w="3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Interpretation</w:t>
            </w:r>
          </w:p>
        </w:tc>
        <w:tc>
          <w:tcPr>
            <w:tcW w:type="dxa" w:w="52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Implication under Agentic regime</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0.00 – 0.15</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Minimal adaptability</w:t>
            </w:r>
          </w:p>
        </w:tc>
        <w:tc>
          <w:tcPr>
            <w:tcW w:type="dxa" w:w="5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High vulnerability to substitution; even if GEE is high, functional rigidity limits reconversion</w:t>
            </w:r>
          </w:p>
        </w:tc>
      </w:tr>
      <w:tr>
        <w:tc>
          <w:tcPr>
            <w:tcW w:type="dxa" w:w="1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0.15 – 0.30</w:t>
            </w:r>
          </w:p>
        </w:tc>
        <w:tc>
          <w:tcPr>
            <w:tcW w:type="dxa" w:w="3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Low-moderate adaptability</w:t>
            </w:r>
          </w:p>
        </w:tc>
        <w:tc>
          <w:tcPr>
            <w:tcW w:type="dxa" w:w="52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Limited continuous learning capacity</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0.30 – 0.50</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Moderate adaptability</w:t>
            </w:r>
          </w:p>
        </w:tc>
        <w:tc>
          <w:tcPr>
            <w:tcW w:type="dxa" w:w="5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Operational task reconfiguration capacity</w:t>
            </w:r>
          </w:p>
        </w:tc>
      </w:tr>
      <w:tr>
        <w:tc>
          <w:tcPr>
            <w:tcW w:type="dxa" w:w="1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0.50 – 0.75</w:t>
            </w:r>
          </w:p>
        </w:tc>
        <w:tc>
          <w:tcPr>
            <w:tcW w:type="dxa" w:w="3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High adaptability</w:t>
            </w:r>
          </w:p>
        </w:tc>
        <w:tc>
          <w:tcPr>
            <w:tcW w:type="dxa" w:w="52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Under Agentic regime, this range paradoxically AMPLIFIES intellectual capital crystallisation (see chapter 13)</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0.75 – 1.00</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Very high adaptability</w:t>
            </w:r>
          </w:p>
        </w:tc>
        <w:tc>
          <w:tcPr>
            <w:tcW w:type="dxa" w:w="5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Combined with high GEE, defines the Q1 quadrant of maximum exposure to algorithmic expropriation</w:t>
            </w:r>
          </w:p>
        </w:tc>
      </w:tr>
    </w:tbl>
    <w:p>
      <w:pPr>
        <w:spacing w:after="160" w:before="0" w:line="320"/>
        <w:jc w:val="both"/>
      </w:pPr>
      <w:r>
        <w:rPr>
          <w:rFonts w:ascii="Calibri" w:cs="Calibri" w:eastAsia="Calibri" w:hAnsi="Calibri"/>
          <w:b/>
          <w:bCs/>
          <w:color w:val="C00000"/>
          <w:sz w:val="22"/>
          <w:szCs w:val="22"/>
        </w:rPr>
        <w:t xml:space="preserve">Important interpretive note</w:t>
      </w:r>
      <w:r>
        <w:rPr>
          <w:rFonts w:ascii="Calibri" w:cs="Calibri" w:eastAsia="Calibri" w:hAnsi="Calibri"/>
          <w:sz w:val="22"/>
          <w:szCs w:val="22"/>
        </w:rPr>
        <w:t xml:space="preserve">. Under the canonical pre-Agentic industrial regime, high IRA would unambiguously operate as a </w:t>
      </w:r>
      <w:r>
        <w:rPr>
          <w:rFonts w:ascii="Calibri" w:cs="Calibri" w:eastAsia="Calibri" w:hAnsi="Calibri"/>
          <w:i/>
          <w:iCs/>
          <w:sz w:val="22"/>
          <w:szCs w:val="22"/>
        </w:rPr>
        <w:t xml:space="preserve">protective factor</w:t>
      </w:r>
      <w:r>
        <w:rPr>
          <w:rFonts w:ascii="Calibri" w:cs="Calibri" w:eastAsia="Calibri" w:hAnsi="Calibri"/>
          <w:sz w:val="22"/>
          <w:szCs w:val="22"/>
        </w:rPr>
        <w:t xml:space="preserve">. Under Agentic regime, its effect inverts: the worker with high adaptive capacity continuously feeds the SECI spiral that the Agentic system captures, crystallising intellectual capital at higher speed. This is the refined inversion of Insider-Outsider theory that Paper 8A documents empirically. See the documentation of the quadrant analysis in chapter 14 and in Paper 8A §4.3.</w:t>
      </w:r>
    </w:p>
    <w:p>
      <w:pPr>
        <w:spacing w:after="180" w:before="320"/>
      </w:pPr>
      <w:r>
        <w:rPr>
          <w:rFonts w:ascii="Calibri" w:cs="Calibri" w:eastAsia="Calibri" w:hAnsi="Calibri"/>
          <w:b/>
          <w:bCs/>
          <w:color w:val="1F4E79"/>
          <w:sz w:val="26"/>
          <w:szCs w:val="26"/>
        </w:rPr>
        <w:t xml:space="preserve">5.6 Python implementation</w:t>
      </w:r>
    </w:p>
    <w:p>
      <w:pPr>
        <w:shd w:fill="F5F5F5" w:val="clear"/>
        <w:spacing w:after="80" w:before="80" w:line="280"/>
        <w:ind w:left="240"/>
      </w:pPr>
      <w:r>
        <w:rPr>
          <w:rFonts w:ascii="Consolas" w:cs="Consolas" w:eastAsia="Consolas" w:hAnsi="Consolas"/>
          <w:sz w:val="18"/>
          <w:szCs w:val="18"/>
        </w:rPr>
        <w:t xml:space="preserve">def calcular_ira_v2(ca, iro_v145, gee):</w:t>
      </w:r>
    </w:p>
    <w:p>
      <w:pPr>
        <w:shd w:fill="F5F5F5" w:val="clear"/>
        <w:spacing w:after="80" w:before="80" w:line="280"/>
        <w:ind w:left="240"/>
      </w:pPr>
      <w:r>
        <w:rPr>
          <w:rFonts w:ascii="Consolas" w:cs="Consolas" w:eastAsia="Consolas" w:hAnsi="Consolas"/>
          <w:sz w:val="18"/>
          <w:szCs w:val="18"/>
        </w:rPr>
        <w:t xml:space="preserve">    """IRA v2.0 = 0.60 * CA_norm + 0.40 * IRO_residual_norm"""</w:t>
      </w:r>
    </w:p>
    <w:p>
      <w:pPr>
        <w:shd w:fill="F5F5F5" w:val="clear"/>
        <w:spacing w:after="80" w:before="80" w:line="280"/>
        <w:ind w:left="240"/>
      </w:pPr>
      <w:r>
        <w:rPr>
          <w:rFonts w:ascii="Consolas" w:cs="Consolas" w:eastAsia="Consolas" w:hAnsi="Consolas"/>
          <w:sz w:val="18"/>
          <w:szCs w:val="18"/>
        </w:rPr>
        <w:t xml:space="preserve">    from sklearn.linear_model import LinearRegression</w:t>
      </w:r>
    </w:p>
    <w:p>
      <w:pPr>
        <w:shd w:fill="F5F5F5" w:val="clear"/>
        <w:spacing w:after="80" w:before="80" w:line="280"/>
        <w:ind w:left="240"/>
      </w:pPr>
      <w:r>
        <w:rPr>
          <w:rFonts w:ascii="Consolas" w:cs="Consolas" w:eastAsia="Consolas" w:hAnsi="Consolas"/>
          <w:sz w:val="18"/>
          <w:szCs w:val="18"/>
        </w:rPr>
        <w:t xml:space="preserve">    import numpy as np</w:t>
      </w:r>
    </w:p>
    <w:p>
      <w:pPr>
        <w:shd w:fill="F5F5F5" w:val="clear"/>
        <w:spacing w:after="80" w:before="80" w:line="280"/>
        <w:ind w:left="240"/>
      </w:pPr>
      <w:r>
        <w:rPr>
          <w:rFonts w:ascii="Consolas" w:cs="Consolas" w:eastAsia="Consolas" w:hAnsi="Consolas"/>
          <w:sz w:val="18"/>
          <w:szCs w:val="18"/>
        </w:rPr>
        <w:t xml:space="preserve">    # Step 1: residualise IRO against GEE</w:t>
      </w:r>
    </w:p>
    <w:p>
      <w:pPr>
        <w:shd w:fill="F5F5F5" w:val="clear"/>
        <w:spacing w:after="80" w:before="80" w:line="280"/>
        <w:ind w:left="240"/>
      </w:pPr>
      <w:r>
        <w:rPr>
          <w:rFonts w:ascii="Consolas" w:cs="Consolas" w:eastAsia="Consolas" w:hAnsi="Consolas"/>
          <w:sz w:val="18"/>
          <w:szCs w:val="18"/>
        </w:rPr>
        <w:t xml:space="preserve">    X = np.array(gee).reshape(-1, 1)</w:t>
      </w:r>
    </w:p>
    <w:p>
      <w:pPr>
        <w:shd w:fill="F5F5F5" w:val="clear"/>
        <w:spacing w:after="80" w:before="80" w:line="280"/>
        <w:ind w:left="240"/>
      </w:pPr>
      <w:r>
        <w:rPr>
          <w:rFonts w:ascii="Consolas" w:cs="Consolas" w:eastAsia="Consolas" w:hAnsi="Consolas"/>
          <w:sz w:val="18"/>
          <w:szCs w:val="18"/>
        </w:rPr>
        <w:t xml:space="preserve">    y = np.array(iro_v145)</w:t>
      </w:r>
    </w:p>
    <w:p>
      <w:pPr>
        <w:shd w:fill="F5F5F5" w:val="clear"/>
        <w:spacing w:after="80" w:before="80" w:line="280"/>
        <w:ind w:left="240"/>
      </w:pPr>
      <w:r>
        <w:rPr>
          <w:rFonts w:ascii="Consolas" w:cs="Consolas" w:eastAsia="Consolas" w:hAnsi="Consolas"/>
          <w:sz w:val="18"/>
          <w:szCs w:val="18"/>
        </w:rPr>
        <w:t xml:space="preserve">    reg = LinearRegression().fit(X, y)</w:t>
      </w:r>
    </w:p>
    <w:p>
      <w:pPr>
        <w:shd w:fill="F5F5F5" w:val="clear"/>
        <w:spacing w:after="80" w:before="80" w:line="280"/>
        <w:ind w:left="240"/>
      </w:pPr>
      <w:r>
        <w:rPr>
          <w:rFonts w:ascii="Consolas" w:cs="Consolas" w:eastAsia="Consolas" w:hAnsi="Consolas"/>
          <w:sz w:val="18"/>
          <w:szCs w:val="18"/>
        </w:rPr>
        <w:t xml:space="preserve">    iro_residual = y - reg.predict(X)</w:t>
      </w:r>
    </w:p>
    <w:p>
      <w:pPr>
        <w:shd w:fill="F5F5F5" w:val="clear"/>
        <w:spacing w:after="80" w:before="80" w:line="280"/>
        <w:ind w:left="240"/>
      </w:pPr>
      <w:r>
        <w:rPr>
          <w:rFonts w:ascii="Consolas" w:cs="Consolas" w:eastAsia="Consolas" w:hAnsi="Consolas"/>
          <w:sz w:val="18"/>
          <w:szCs w:val="18"/>
        </w:rPr>
        <w:t xml:space="preserve">    iro_residual_norm = (iro_residual - iro_residual.min()) / (iro_residual.max() - iro_residual.min())</w:t>
      </w:r>
    </w:p>
    <w:p>
      <w:pPr>
        <w:shd w:fill="F5F5F5" w:val="clear"/>
        <w:spacing w:after="80" w:before="80" w:line="280"/>
        <w:ind w:left="240"/>
      </w:pPr>
      <w:r>
        <w:rPr>
          <w:rFonts w:ascii="Consolas" w:cs="Consolas" w:eastAsia="Consolas" w:hAnsi="Consolas"/>
          <w:sz w:val="18"/>
          <w:szCs w:val="18"/>
        </w:rPr>
        <w:t xml:space="preserve">    # Step 2: normalise CA</w:t>
      </w:r>
    </w:p>
    <w:p>
      <w:pPr>
        <w:shd w:fill="F5F5F5" w:val="clear"/>
        <w:spacing w:after="80" w:before="80" w:line="280"/>
        <w:ind w:left="240"/>
      </w:pPr>
      <w:r>
        <w:rPr>
          <w:rFonts w:ascii="Consolas" w:cs="Consolas" w:eastAsia="Consolas" w:hAnsi="Consolas"/>
          <w:sz w:val="18"/>
          <w:szCs w:val="18"/>
        </w:rPr>
        <w:t xml:space="preserve">    ca_arr = np.array(ca)</w:t>
      </w:r>
    </w:p>
    <w:p>
      <w:pPr>
        <w:shd w:fill="F5F5F5" w:val="clear"/>
        <w:spacing w:after="80" w:before="80" w:line="280"/>
        <w:ind w:left="240"/>
      </w:pPr>
      <w:r>
        <w:rPr>
          <w:rFonts w:ascii="Consolas" w:cs="Consolas" w:eastAsia="Consolas" w:hAnsi="Consolas"/>
          <w:sz w:val="18"/>
          <w:szCs w:val="18"/>
        </w:rPr>
        <w:t xml:space="preserve">    ca_norm = (ca_arr - ca_arr.min()) / (ca_arr.max() - ca_arr.min())</w:t>
      </w:r>
    </w:p>
    <w:p>
      <w:pPr>
        <w:shd w:fill="F5F5F5" w:val="clear"/>
        <w:spacing w:after="80" w:before="80" w:line="280"/>
        <w:ind w:left="240"/>
      </w:pPr>
      <w:r>
        <w:rPr>
          <w:rFonts w:ascii="Consolas" w:cs="Consolas" w:eastAsia="Consolas" w:hAnsi="Consolas"/>
          <w:sz w:val="18"/>
          <w:szCs w:val="18"/>
        </w:rPr>
        <w:t xml:space="preserve">    # Step 3: combine</w:t>
      </w:r>
    </w:p>
    <w:p>
      <w:pPr>
        <w:shd w:fill="F5F5F5" w:val="clear"/>
        <w:spacing w:after="80" w:before="80" w:line="280"/>
        <w:ind w:left="240"/>
      </w:pPr>
      <w:r>
        <w:rPr>
          <w:rFonts w:ascii="Consolas" w:cs="Consolas" w:eastAsia="Consolas" w:hAnsi="Consolas"/>
          <w:sz w:val="18"/>
          <w:szCs w:val="18"/>
        </w:rPr>
        <w:t xml:space="preserve">    return 0.60 * ca_norm + 0.40 * iro_residual_norm</w:t>
      </w:r>
    </w:p>
    <w:p>
      <w:pPr>
        <w:spacing w:after="180" w:before="320"/>
      </w:pPr>
      <w:r>
        <w:rPr>
          <w:rFonts w:ascii="Calibri" w:cs="Calibri" w:eastAsia="Calibri" w:hAnsi="Calibri"/>
          <w:b/>
          <w:bCs/>
          <w:color w:val="1F4E79"/>
          <w:sz w:val="26"/>
          <w:szCs w:val="26"/>
        </w:rPr>
        <w:t xml:space="preserve">5.7 Acknowledged limitations of IRA v2.0</w:t>
      </w:r>
    </w:p>
    <w:p>
      <w:pPr>
        <w:pStyle w:val="ListParagraph"/>
        <w:numPr>
          <w:ilvl w:val="0"/>
          <w:numId w:val="1"/>
        </w:numPr>
        <w:spacing w:after="80" w:before="0" w:line="300"/>
      </w:pPr>
      <w:r>
        <w:rPr>
          <w:rFonts w:ascii="Calibri" w:cs="Calibri" w:eastAsia="Calibri" w:hAnsi="Calibri"/>
          <w:sz w:val="22"/>
          <w:szCs w:val="22"/>
        </w:rPr>
        <w:t xml:space="preserve">The residual correlation with GEE of 0.433 reflects the natural association between qualification and operational adaptability that no methodological adjustment can eliminate without losing construct validity. The interpretation of IRA as “adaptive variance orthogonal to qualification” is defensible but warrants future refinement.</w:t>
      </w:r>
    </w:p>
    <w:p>
      <w:pPr>
        <w:pStyle w:val="ListParagraph"/>
        <w:numPr>
          <w:ilvl w:val="0"/>
          <w:numId w:val="1"/>
        </w:numPr>
        <w:spacing w:after="80" w:before="0" w:line="300"/>
      </w:pPr>
      <w:r>
        <w:rPr>
          <w:rFonts w:ascii="Calibri" w:cs="Calibri" w:eastAsia="Calibri" w:hAnsi="Calibri"/>
          <w:sz w:val="22"/>
          <w:szCs w:val="22"/>
        </w:rPr>
        <w:t xml:space="preserve">The traditional Cronbach's α calculation is not directly applicable to the residualised construct. This is documented in chapter 14.</w:t>
      </w:r>
    </w:p>
    <w:p>
      <w:pPr>
        <w:pStyle w:val="ListParagraph"/>
        <w:numPr>
          <w:ilvl w:val="0"/>
          <w:numId w:val="1"/>
        </w:numPr>
        <w:spacing w:after="80" w:before="0" w:line="300"/>
      </w:pPr>
      <w:r>
        <w:rPr>
          <w:rFonts w:ascii="Calibri" w:cs="Calibri" w:eastAsia="Calibri" w:hAnsi="Calibri"/>
          <w:sz w:val="22"/>
          <w:szCs w:val="22"/>
        </w:rPr>
        <w:t xml:space="preserve">Future versions (v2.1) could incorporate additional adaptability dimensions not captured in O*NET: effective professional networks, specific social capital, formal/informal unionisation, and diversity of cross-domain transferable skills. The modular architecture of IRA allows adding these dimensions as additional components without structural reformulation.</w:t>
      </w:r>
    </w:p>
    <w:p>
      <w:r>
        <w:br w:type="page"/>
      </w:r>
    </w:p>
    <w:p>
      <w:pPr>
        <w:spacing w:after="240" w:before="480"/>
      </w:pPr>
      <w:r>
        <w:rPr>
          <w:rFonts w:ascii="Calibri" w:cs="Calibri" w:eastAsia="Calibri" w:hAnsi="Calibri"/>
          <w:b/>
          <w:bCs/>
          <w:color w:val="1F4E79"/>
          <w:sz w:val="32"/>
          <w:szCs w:val="32"/>
        </w:rPr>
        <w:t xml:space="preserve">6. ICT — Technical Complexity Index</w:t>
      </w:r>
    </w:p>
    <w:p>
      <w:pPr>
        <w:spacing w:after="180" w:before="320"/>
      </w:pPr>
      <w:r>
        <w:rPr>
          <w:rFonts w:ascii="Calibri" w:cs="Calibri" w:eastAsia="Calibri" w:hAnsi="Calibri"/>
          <w:b/>
          <w:bCs/>
          <w:color w:val="1F4E79"/>
          <w:sz w:val="26"/>
          <w:szCs w:val="26"/>
        </w:rPr>
        <w:t xml:space="preserve">6.1 Conceptual definition</w:t>
      </w:r>
    </w:p>
    <w:p>
      <w:pPr>
        <w:spacing w:after="160" w:before="0" w:line="320"/>
        <w:jc w:val="both"/>
      </w:pPr>
      <w:r>
        <w:rPr>
          <w:rFonts w:ascii="Calibri" w:cs="Calibri" w:eastAsia="Calibri" w:hAnsi="Calibri"/>
          <w:sz w:val="22"/>
          <w:szCs w:val="22"/>
        </w:rPr>
        <w:t xml:space="preserve">The ICT measures the degree to which an occupation requires the use of advanced technological tools, continuous technical updating and the capacity to operate outside rigid sequential routines. It is a formative indicator: components cause the indicator.</w:t>
      </w:r>
    </w:p>
    <w:p>
      <w:pPr>
        <w:spacing w:after="180" w:before="320"/>
      </w:pPr>
      <w:r>
        <w:rPr>
          <w:rFonts w:ascii="Calibri" w:cs="Calibri" w:eastAsia="Calibri" w:hAnsi="Calibri"/>
          <w:b/>
          <w:bCs/>
          <w:color w:val="1F4E79"/>
          <w:sz w:val="26"/>
          <w:szCs w:val="26"/>
        </w:rPr>
        <w:t xml:space="preserve">6.2 Mathematical formulation</w:t>
      </w:r>
    </w:p>
    <w:p>
      <w:pPr>
        <w:spacing w:after="160" w:before="0" w:line="320"/>
        <w:jc w:val="both"/>
      </w:pPr>
      <w:r>
        <w:rPr>
          <w:rFonts w:ascii="Calibri" w:cs="Calibri" w:eastAsia="Calibri" w:hAnsi="Calibri"/>
          <w:b/>
          <w:bCs/>
          <w:sz w:val="22"/>
          <w:szCs w:val="22"/>
        </w:rPr>
        <w:t xml:space="preserve">ICT = 0.35 · ITD + 0.30 · ATE + 0.35 · (1 − DTS)</w:t>
      </w:r>
    </w:p>
    <w:p>
      <w:pPr>
        <w:spacing w:after="120" w:before="240"/>
        <w:jc w:val="left"/>
      </w:pPr>
      <w:r>
        <w:rPr>
          <w:rFonts w:ascii="Calibri" w:cs="Calibri" w:eastAsia="Calibri" w:hAnsi="Calibri"/>
          <w:b/>
          <w:bCs/>
          <w:color w:val="1F4E79"/>
          <w:sz w:val="20"/>
          <w:szCs w:val="20"/>
        </w:rPr>
        <w:t xml:space="preserve">Table 6.1. ICT components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000"/>
        <w:gridCol w:w="580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Component</w:t>
            </w:r>
          </w:p>
        </w:tc>
        <w:tc>
          <w:tcPr>
            <w:tcW w:type="dxa" w:w="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Acronym</w:t>
            </w:r>
          </w:p>
        </w:tc>
        <w:tc>
          <w:tcPr>
            <w:tcW w:type="dxa" w:w="1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Weight</w:t>
            </w:r>
          </w:p>
        </w:tc>
        <w:tc>
          <w:tcPr>
            <w:tcW w:type="dxa" w:w="5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Description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Digital Technological Intensity</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ITD</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35%</w:t>
            </w:r>
          </w:p>
        </w:tc>
        <w:tc>
          <w:tcPr>
            <w:tcW w:type="dxa" w:w="5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Frequency and diversity of digital tools used in the occupation (software, hardware, platforms)</w:t>
            </w:r>
          </w:p>
        </w:tc>
      </w:tr>
      <w:tr>
        <w:tc>
          <w:tcPr>
            <w:tcW w:type="dxa" w:w="24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Technical Updating</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ATE</w:t>
            </w:r>
          </w:p>
        </w:tc>
        <w:tc>
          <w:tcPr>
            <w:tcW w:type="dxa" w:w="1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30%</w:t>
            </w:r>
          </w:p>
        </w:tc>
        <w:tc>
          <w:tcPr>
            <w:tcW w:type="dxa" w:w="5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Need for continuous updating: continuing education, certifications, recurrent technical training</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Sequential Independence (1 − DTS)</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(1−DTS)</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35%</w:t>
            </w:r>
          </w:p>
        </w:tc>
        <w:tc>
          <w:tcPr>
            <w:tcW w:type="dxa" w:w="5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Capacity to operate outside fixed sequential routines. DTS (Sequential Technological Dependence) is inverted: lower dependence = greater autonomous technical complexity</w:t>
            </w:r>
          </w:p>
        </w:tc>
      </w:tr>
    </w:tbl>
    <w:p>
      <w:pPr>
        <w:spacing w:after="240" w:before="80"/>
        <w:jc w:val="both"/>
      </w:pPr>
      <w:r>
        <w:rPr>
          <w:rFonts w:ascii="Calibri" w:cs="Calibri" w:eastAsia="Calibri" w:hAnsi="Calibri"/>
          <w:i/>
          <w:iCs/>
          <w:color w:val="666666"/>
          <w:sz w:val="18"/>
          <w:szCs w:val="18"/>
        </w:rPr>
        <w:t xml:space="preserve">Maximum VIF 1.15. No structural changes in v2.0 from v1.45.</w:t>
      </w:r>
    </w:p>
    <w:p>
      <w:pPr>
        <w:spacing w:after="160" w:before="0" w:line="320"/>
        <w:jc w:val="both"/>
      </w:pPr>
      <w:r>
        <w:rPr>
          <w:rFonts w:ascii="Calibri" w:cs="Calibri" w:eastAsia="Calibri" w:hAnsi="Calibri"/>
          <w:sz w:val="22"/>
          <w:szCs w:val="22"/>
        </w:rPr>
        <w:t xml:space="preserve">DTS is inverted in the formula because it measures sequential rigidity: occupations with low DTS are those that can dynamically adapt their workflow, indicating greater autonomous technical complexity.</w:t>
      </w:r>
    </w:p>
    <w:p>
      <w:pPr>
        <w:spacing w:after="180" w:before="320"/>
      </w:pPr>
      <w:r>
        <w:rPr>
          <w:rFonts w:ascii="Calibri" w:cs="Calibri" w:eastAsia="Calibri" w:hAnsi="Calibri"/>
          <w:b/>
          <w:bCs/>
          <w:color w:val="1F4E79"/>
          <w:sz w:val="26"/>
          <w:szCs w:val="26"/>
        </w:rPr>
        <w:t xml:space="preserve">6.3 Evolution v1.0 → v2.0</w:t>
      </w:r>
    </w:p>
    <w:p>
      <w:pPr>
        <w:spacing w:after="120" w:before="240"/>
        <w:jc w:val="left"/>
      </w:pPr>
      <w:r>
        <w:rPr>
          <w:rFonts w:ascii="Calibri" w:cs="Calibri" w:eastAsia="Calibri" w:hAnsi="Calibri"/>
          <w:b/>
          <w:bCs/>
          <w:color w:val="1F4E79"/>
          <w:sz w:val="20"/>
          <w:szCs w:val="20"/>
        </w:rPr>
        <w:t xml:space="preserve">Table 6.2. ICT history</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100"/>
        <w:gridCol w:w="5000"/>
        <w:gridCol w:w="2000"/>
        <w:gridCol w:w="2400"/>
      </w:tblGrid>
      <w:tr>
        <w:trPr>
          <w:tblHeader/>
        </w:trPr>
        <w:tc>
          <w:tcPr>
            <w:tcW w:type="dxa" w:w="11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Version</w:t>
            </w:r>
          </w:p>
        </w:tc>
        <w:tc>
          <w:tcPr>
            <w:tcW w:type="dxa" w:w="5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Main change</w:t>
            </w:r>
          </w:p>
        </w:tc>
        <w:tc>
          <w:tcPr>
            <w:tcW w:type="dxa" w:w="2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Max VIF</w:t>
            </w:r>
          </w:p>
        </w:tc>
        <w:tc>
          <w:tcPr>
            <w:tcW w:type="dxa" w:w="24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Stability</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v1.0</w:t>
            </w:r>
          </w:p>
        </w:tc>
        <w:tc>
          <w:tcPr>
            <w:tcW w:type="dxa" w:w="5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Uniform theoretical weights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1.32</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0.945</w:t>
            </w:r>
          </w:p>
        </w:tc>
      </w:tr>
      <w:tr>
        <w:tc>
          <w:tcPr>
            <w:tcW w:type="dxa" w:w="11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v1.2</w:t>
            </w:r>
          </w:p>
        </w:tc>
        <w:tc>
          <w:tcPr>
            <w:tcW w:type="dxa" w:w="5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DTS inversion</w:t>
            </w:r>
          </w:p>
        </w:tc>
        <w:tc>
          <w:tcPr>
            <w:tcW w:type="dxa" w:w="2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1.18</w:t>
            </w:r>
          </w:p>
        </w:tc>
        <w:tc>
          <w:tcPr>
            <w:tcW w:type="dxa" w:w="24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0.968</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v1.45</w:t>
            </w:r>
          </w:p>
        </w:tc>
        <w:tc>
          <w:tcPr>
            <w:tcW w:type="dxa" w:w="5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Stable maintenance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1.15</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0.981</w:t>
            </w:r>
          </w:p>
        </w:tc>
      </w:tr>
      <w:tr>
        <w:tc>
          <w:tcPr>
            <w:tcW w:type="dxa" w:w="11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v2.0</w:t>
            </w:r>
          </w:p>
        </w:tc>
        <w:tc>
          <w:tcPr>
            <w:tcW w:type="dxa" w:w="5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No changes</w:t>
            </w:r>
          </w:p>
        </w:tc>
        <w:tc>
          <w:tcPr>
            <w:tcW w:type="dxa" w:w="2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1.15</w:t>
            </w:r>
          </w:p>
        </w:tc>
        <w:tc>
          <w:tcPr>
            <w:tcW w:type="dxa" w:w="24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0.981</w:t>
            </w:r>
          </w:p>
        </w:tc>
      </w:tr>
    </w:tbl>
    <w:p>
      <w:r>
        <w:br w:type="page"/>
      </w:r>
    </w:p>
    <w:p>
      <w:pPr>
        <w:spacing w:after="240" w:before="480"/>
      </w:pPr>
      <w:r>
        <w:rPr>
          <w:rFonts w:ascii="Calibri" w:cs="Calibri" w:eastAsia="Calibri" w:hAnsi="Calibri"/>
          <w:b/>
          <w:bCs/>
          <w:color w:val="1F4E79"/>
          <w:sz w:val="32"/>
          <w:szCs w:val="32"/>
        </w:rPr>
        <w:t xml:space="preserve">7. IFS — Social Friction Index</w:t>
      </w:r>
    </w:p>
    <w:p>
      <w:pPr>
        <w:spacing w:after="180" w:before="320"/>
      </w:pPr>
      <w:r>
        <w:rPr>
          <w:rFonts w:ascii="Calibri" w:cs="Calibri" w:eastAsia="Calibri" w:hAnsi="Calibri"/>
          <w:b/>
          <w:bCs/>
          <w:color w:val="1F4E79"/>
          <w:sz w:val="26"/>
          <w:szCs w:val="26"/>
        </w:rPr>
        <w:t xml:space="preserve">7.1 Conceptual definition</w:t>
      </w:r>
    </w:p>
    <w:p>
      <w:pPr>
        <w:spacing w:after="160" w:before="0" w:line="320"/>
        <w:jc w:val="both"/>
      </w:pPr>
      <w:r>
        <w:rPr>
          <w:rFonts w:ascii="Calibri" w:cs="Calibri" w:eastAsia="Calibri" w:hAnsi="Calibri"/>
          <w:sz w:val="22"/>
          <w:szCs w:val="22"/>
        </w:rPr>
        <w:t xml:space="preserve">The IFS measures the degree to which an occupation requires complex social interaction, especially that which is difficult to automate by requiring empathy, persuasion, negotiation, conflict and interpersonal trust. It acts as a shield against automation: high-IFS occupations have intrinsic barriers to algorithmic substitution.</w:t>
      </w:r>
    </w:p>
    <w:p>
      <w:pPr>
        <w:spacing w:after="180" w:before="320"/>
      </w:pPr>
      <w:r>
        <w:rPr>
          <w:rFonts w:ascii="Calibri" w:cs="Calibri" w:eastAsia="Calibri" w:hAnsi="Calibri"/>
          <w:b/>
          <w:bCs/>
          <w:color w:val="1F4E79"/>
          <w:sz w:val="26"/>
          <w:szCs w:val="26"/>
        </w:rPr>
        <w:t xml:space="preserve">7.2 Mathematical formulation</w:t>
      </w:r>
    </w:p>
    <w:p>
      <w:pPr>
        <w:spacing w:after="160" w:before="0" w:line="320"/>
        <w:jc w:val="both"/>
      </w:pPr>
      <w:r>
        <w:rPr>
          <w:rFonts w:ascii="Calibri" w:cs="Calibri" w:eastAsia="Calibri" w:hAnsi="Calibri"/>
          <w:b/>
          <w:bCs/>
          <w:sz w:val="22"/>
          <w:szCs w:val="22"/>
        </w:rPr>
        <w:t xml:space="preserve">IFS = 0.35 · CDE + 0.40 · DHS + 0.25 · CC_comm</w:t>
      </w:r>
    </w:p>
    <w:p>
      <w:pPr>
        <w:spacing w:after="120" w:before="240"/>
        <w:jc w:val="left"/>
      </w:pPr>
      <w:r>
        <w:rPr>
          <w:rFonts w:ascii="Calibri" w:cs="Calibri" w:eastAsia="Calibri" w:hAnsi="Calibri"/>
          <w:b/>
          <w:bCs/>
          <w:color w:val="1F4E79"/>
          <w:sz w:val="20"/>
          <w:szCs w:val="20"/>
        </w:rPr>
        <w:t xml:space="preserve">Table 7.1. IFS components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1000"/>
        <w:gridCol w:w="5400"/>
      </w:tblGrid>
      <w:tr>
        <w:trPr>
          <w:tblHeader/>
        </w:trPr>
        <w:tc>
          <w:tcPr>
            <w:tcW w:type="dxa" w:w="2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Component</w:t>
            </w:r>
          </w:p>
        </w:tc>
        <w:tc>
          <w:tcPr>
            <w:tcW w:type="dxa" w:w="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Acronym</w:t>
            </w:r>
          </w:p>
        </w:tc>
        <w:tc>
          <w:tcPr>
            <w:tcW w:type="dxa" w:w="1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Weight</w:t>
            </w:r>
          </w:p>
        </w:tc>
        <w:tc>
          <w:tcPr>
            <w:tcW w:type="dxa" w:w="54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Description</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External Direct Contact</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CDE</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35%</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Frequency of interaction with clients, patients, students external to the organisation</w:t>
            </w:r>
          </w:p>
        </w:tc>
      </w:tr>
      <w:tr>
        <w:tc>
          <w:tcPr>
            <w:tcW w:type="dxa" w:w="2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Social Skills Abilities</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DHS</w:t>
            </w:r>
          </w:p>
        </w:tc>
        <w:tc>
          <w:tcPr>
            <w:tcW w:type="dxa" w:w="1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40%</w:t>
            </w:r>
          </w:p>
        </w:tc>
        <w:tc>
          <w:tcPr>
            <w:tcW w:type="dxa" w:w="54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Persuasion, negotiation, instruction, service orientation, social coordination</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Complex Communication</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CC_comm</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25%</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Advanced oral and written communication in specialised professional contexts</w:t>
            </w:r>
          </w:p>
        </w:tc>
      </w:tr>
    </w:tbl>
    <w:p>
      <w:pPr>
        <w:spacing w:after="160" w:before="0" w:line="320"/>
        <w:jc w:val="both"/>
      </w:pPr>
      <w:r>
        <w:rPr>
          <w:rFonts w:ascii="Calibri" w:cs="Calibri" w:eastAsia="Calibri" w:hAnsi="Calibri"/>
          <w:sz w:val="22"/>
          <w:szCs w:val="22"/>
        </w:rPr>
        <w:t xml:space="preserve">It is a reflective indicator. Cronbach's alpha = 0.749 (above the 0.70 acceptability threshold). In v1.3 the key improvement was the extraction of the CI component (in-person interaction) to the separate IPI indicator, which raised α from 0.516 to 0.749 (+45%).</w:t>
      </w:r>
    </w:p>
    <w:p>
      <w:pPr>
        <w:spacing w:after="180" w:before="320"/>
      </w:pPr>
      <w:r>
        <w:rPr>
          <w:rFonts w:ascii="Calibri" w:cs="Calibri" w:eastAsia="Calibri" w:hAnsi="Calibri"/>
          <w:b/>
          <w:bCs/>
          <w:color w:val="1F4E79"/>
          <w:sz w:val="26"/>
          <w:szCs w:val="26"/>
        </w:rPr>
        <w:t xml:space="preserve">7.3 Discriminant validity</w:t>
      </w:r>
    </w:p>
    <w:p>
      <w:pPr>
        <w:spacing w:after="160" w:before="0" w:line="320"/>
        <w:jc w:val="both"/>
      </w:pPr>
      <w:r>
        <w:rPr>
          <w:rFonts w:ascii="Calibri" w:cs="Calibri" w:eastAsia="Calibri" w:hAnsi="Calibri"/>
          <w:sz w:val="22"/>
          <w:szCs w:val="22"/>
        </w:rPr>
        <w:t xml:space="preserve">r(IPI, IFS) = −0.156: confirmation that IFS (complex social interaction) and IPI (physical presence) measure distinct constructs. The articulation of this separation in v1.3 remains valid in v2.0 without changes.</w:t>
      </w:r>
    </w:p>
    <w:p>
      <w:r>
        <w:br w:type="page"/>
      </w:r>
    </w:p>
    <w:p>
      <w:pPr>
        <w:spacing w:after="240" w:before="480"/>
      </w:pPr>
      <w:r>
        <w:rPr>
          <w:rFonts w:ascii="Calibri" w:cs="Calibri" w:eastAsia="Calibri" w:hAnsi="Calibri"/>
          <w:b/>
          <w:bCs/>
          <w:color w:val="1F4E79"/>
          <w:sz w:val="32"/>
          <w:szCs w:val="32"/>
        </w:rPr>
        <w:t xml:space="preserve">8. IPI — Interpersonal Presence Index</w:t>
      </w:r>
    </w:p>
    <w:p>
      <w:pPr>
        <w:spacing w:after="180" w:before="320"/>
      </w:pPr>
      <w:r>
        <w:rPr>
          <w:rFonts w:ascii="Calibri" w:cs="Calibri" w:eastAsia="Calibri" w:hAnsi="Calibri"/>
          <w:b/>
          <w:bCs/>
          <w:color w:val="1F4E79"/>
          <w:sz w:val="26"/>
          <w:szCs w:val="26"/>
        </w:rPr>
        <w:t xml:space="preserve">8.1 Conceptual definition</w:t>
      </w:r>
    </w:p>
    <w:p>
      <w:pPr>
        <w:spacing w:after="160" w:before="0" w:line="320"/>
        <w:jc w:val="both"/>
      </w:pPr>
      <w:r>
        <w:rPr>
          <w:rFonts w:ascii="Calibri" w:cs="Calibri" w:eastAsia="Calibri" w:hAnsi="Calibri"/>
          <w:sz w:val="22"/>
          <w:szCs w:val="22"/>
        </w:rPr>
        <w:t xml:space="preserve">The IPI measures the need for face-to-face physical interaction in an occupation, distinguishing it from remote interaction (virtual, telephone, asynchronous). It is the dimension that captures knowledge situated in the body and physical presence of the worker, which operates as a natural barrier against the algorithmic crystallisation of intellectual capital.</w:t>
      </w:r>
    </w:p>
    <w:p>
      <w:pPr>
        <w:spacing w:after="180" w:before="320"/>
      </w:pPr>
      <w:r>
        <w:rPr>
          <w:rFonts w:ascii="Calibri" w:cs="Calibri" w:eastAsia="Calibri" w:hAnsi="Calibri"/>
          <w:b/>
          <w:bCs/>
          <w:color w:val="1F4E79"/>
          <w:sz w:val="26"/>
          <w:szCs w:val="26"/>
        </w:rPr>
        <w:t xml:space="preserve">8.2 Mathematical formulation</w:t>
      </w:r>
    </w:p>
    <w:p>
      <w:pPr>
        <w:spacing w:after="160" w:before="0" w:line="320"/>
        <w:jc w:val="both"/>
      </w:pPr>
      <w:r>
        <w:rPr>
          <w:rFonts w:ascii="Calibri" w:cs="Calibri" w:eastAsia="Calibri" w:hAnsi="Calibri"/>
          <w:b/>
          <w:bCs/>
          <w:sz w:val="22"/>
          <w:szCs w:val="22"/>
        </w:rPr>
        <w:t xml:space="preserve">IPI = 0.70 · CI_in_person + 0.30 · (1 − CI_remote)</w:t>
      </w:r>
    </w:p>
    <w:p>
      <w:pPr>
        <w:spacing w:after="160" w:before="0" w:line="320"/>
        <w:jc w:val="both"/>
      </w:pPr>
      <w:r>
        <w:rPr>
          <w:rFonts w:ascii="Calibri" w:cs="Calibri" w:eastAsia="Calibri" w:hAnsi="Calibri"/>
          <w:sz w:val="22"/>
          <w:szCs w:val="22"/>
        </w:rPr>
        <w:t xml:space="preserve">Where CI_in_person is the frequency of face-to-face Interpersonal Contact, and CI_remote is the frequency of remote Interpersonal Contact (telephone, virtual, email). The (1 − CI_remote) term penalises in-person presence when an occupation also has high remote interaction, since this suggests the physical component is not essential.</w:t>
      </w:r>
    </w:p>
    <w:p>
      <w:pPr>
        <w:spacing w:after="180" w:before="320"/>
      </w:pPr>
      <w:r>
        <w:rPr>
          <w:rFonts w:ascii="Calibri" w:cs="Calibri" w:eastAsia="Calibri" w:hAnsi="Calibri"/>
          <w:b/>
          <w:bCs/>
          <w:color w:val="1F4E79"/>
          <w:sz w:val="26"/>
          <w:szCs w:val="26"/>
        </w:rPr>
        <w:t xml:space="preserve">8.3 Interpretation</w:t>
      </w:r>
    </w:p>
    <w:p>
      <w:pPr>
        <w:spacing w:after="120" w:before="240"/>
        <w:jc w:val="left"/>
      </w:pPr>
      <w:r>
        <w:rPr>
          <w:rFonts w:ascii="Calibri" w:cs="Calibri" w:eastAsia="Calibri" w:hAnsi="Calibri"/>
          <w:b/>
          <w:bCs/>
          <w:color w:val="1F4E79"/>
          <w:sz w:val="20"/>
          <w:szCs w:val="20"/>
        </w:rPr>
        <w:t xml:space="preserve">Table 8.1. IPI interpretation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5200"/>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Range</w:t>
            </w:r>
          </w:p>
        </w:tc>
        <w:tc>
          <w:tcPr>
            <w:tcW w:type="dxa" w:w="3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Interpretation</w:t>
            </w:r>
          </w:p>
        </w:tc>
        <w:tc>
          <w:tcPr>
            <w:tcW w:type="dxa" w:w="52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Implication</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0.00 – 0.30</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Almost purely remote work</w:t>
            </w:r>
          </w:p>
        </w:tc>
        <w:tc>
          <w:tcPr>
            <w:tcW w:type="dxa" w:w="5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Low presential barrier; knowledge easily externalisable</w:t>
            </w:r>
          </w:p>
        </w:tc>
      </w:tr>
      <w:tr>
        <w:tc>
          <w:tcPr>
            <w:tcW w:type="dxa" w:w="1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0.30 – 0.50</w:t>
            </w:r>
          </w:p>
        </w:tc>
        <w:tc>
          <w:tcPr>
            <w:tcW w:type="dxa" w:w="3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Hybrid remote-in-person</w:t>
            </w:r>
          </w:p>
        </w:tc>
        <w:tc>
          <w:tcPr>
            <w:tcW w:type="dxa" w:w="52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Moderate barrier; depends on qualitative component</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0.50 – 0.70</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Mostly in-person</w:t>
            </w:r>
          </w:p>
        </w:tc>
        <w:tc>
          <w:tcPr>
            <w:tcW w:type="dxa" w:w="5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Significant presential barrier</w:t>
            </w:r>
          </w:p>
        </w:tc>
      </w:tr>
      <w:tr>
        <w:tc>
          <w:tcPr>
            <w:tcW w:type="dxa" w:w="1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0.70 – 1.00</w:t>
            </w:r>
          </w:p>
        </w:tc>
        <w:tc>
          <w:tcPr>
            <w:tcW w:type="dxa" w:w="3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Almost totally in-person</w:t>
            </w:r>
          </w:p>
        </w:tc>
        <w:tc>
          <w:tcPr>
            <w:tcW w:type="dxa" w:w="52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Situated knowledge; high natural barrier against algorithmic expropriation</w:t>
            </w:r>
          </w:p>
        </w:tc>
      </w:tr>
    </w:tbl>
    <w:p>
      <w:pPr>
        <w:spacing w:after="180" w:before="320"/>
      </w:pPr>
      <w:r>
        <w:rPr>
          <w:rFonts w:ascii="Calibri" w:cs="Calibri" w:eastAsia="Calibri" w:hAnsi="Calibri"/>
          <w:b/>
          <w:bCs/>
          <w:color w:val="1F4E79"/>
          <w:sz w:val="26"/>
          <w:szCs w:val="26"/>
        </w:rPr>
        <w:t xml:space="preserve">8.4 Discriminant validity</w:t>
      </w:r>
    </w:p>
    <w:p>
      <w:pPr>
        <w:spacing w:after="160" w:before="0" w:line="320"/>
        <w:jc w:val="both"/>
      </w:pPr>
      <w:r>
        <w:rPr>
          <w:rFonts w:ascii="Calibri" w:cs="Calibri" w:eastAsia="Calibri" w:hAnsi="Calibri"/>
          <w:sz w:val="22"/>
          <w:szCs w:val="22"/>
        </w:rPr>
        <w:t xml:space="preserve">r(IPI, IFS) = −0.156. This moderately low negative correlation confirms construct independence: IPI measures physical presence, IFS measures social complexity. An occupation can be highly in-person without being socially complex (e.g., specialised manual work) or highly socially complex without being in-person (e.g., virtual executive negotiation).</w:t>
      </w:r>
    </w:p>
    <w:p>
      <w:r>
        <w:br w:type="page"/>
      </w:r>
    </w:p>
    <w:p>
      <w:pPr>
        <w:spacing w:after="240" w:before="480"/>
      </w:pPr>
      <w:r>
        <w:rPr>
          <w:rFonts w:ascii="Calibri" w:cs="Calibri" w:eastAsia="Calibri" w:hAnsi="Calibri"/>
          <w:b/>
          <w:bCs/>
          <w:color w:val="1F4E79"/>
          <w:sz w:val="32"/>
          <w:szCs w:val="32"/>
        </w:rPr>
        <w:t xml:space="preserve">9. IEF — Functional Specificity Index</w:t>
      </w:r>
    </w:p>
    <w:p>
      <w:pPr>
        <w:spacing w:after="180" w:before="320"/>
      </w:pPr>
      <w:r>
        <w:rPr>
          <w:rFonts w:ascii="Calibri" w:cs="Calibri" w:eastAsia="Calibri" w:hAnsi="Calibri"/>
          <w:b/>
          <w:bCs/>
          <w:color w:val="1F4E79"/>
          <w:sz w:val="26"/>
          <w:szCs w:val="26"/>
        </w:rPr>
        <w:t xml:space="preserve">9.1 Conceptual definition</w:t>
      </w:r>
    </w:p>
    <w:p>
      <w:pPr>
        <w:spacing w:after="160" w:before="0" w:line="320"/>
        <w:jc w:val="both"/>
      </w:pPr>
      <w:r>
        <w:rPr>
          <w:rFonts w:ascii="Calibri" w:cs="Calibri" w:eastAsia="Calibri" w:hAnsi="Calibri"/>
          <w:sz w:val="22"/>
          <w:szCs w:val="22"/>
        </w:rPr>
        <w:t xml:space="preserve">The IEF measures the degree to which an occupation requires highly specific knowledge and skills, frequently associated with routines and physical processes mechanically automatable but not at the abstract cognitive level. It is the most stable indicator of the framework due to its anchoring in operational O*NET variables.</w:t>
      </w:r>
    </w:p>
    <w:p>
      <w:pPr>
        <w:spacing w:after="180" w:before="320"/>
      </w:pPr>
      <w:r>
        <w:rPr>
          <w:rFonts w:ascii="Calibri" w:cs="Calibri" w:eastAsia="Calibri" w:hAnsi="Calibri"/>
          <w:b/>
          <w:bCs/>
          <w:color w:val="1F4E79"/>
          <w:sz w:val="26"/>
          <w:szCs w:val="26"/>
        </w:rPr>
        <w:t xml:space="preserve">9.2 Mathematical formulation</w:t>
      </w:r>
    </w:p>
    <w:p>
      <w:pPr>
        <w:spacing w:after="160" w:before="0" w:line="320"/>
        <w:jc w:val="both"/>
      </w:pPr>
      <w:r>
        <w:rPr>
          <w:rFonts w:ascii="Calibri" w:cs="Calibri" w:eastAsia="Calibri" w:hAnsi="Calibri"/>
          <w:b/>
          <w:bCs/>
          <w:sz w:val="22"/>
          <w:szCs w:val="22"/>
        </w:rPr>
        <w:t xml:space="preserve">IEF = 0.35 · DPF + 0.30 · ERA + 0.35 · DCF</w:t>
      </w:r>
    </w:p>
    <w:p>
      <w:pPr>
        <w:spacing w:after="120" w:before="240"/>
        <w:jc w:val="left"/>
      </w:pPr>
      <w:r>
        <w:rPr>
          <w:rFonts w:ascii="Calibri" w:cs="Calibri" w:eastAsia="Calibri" w:hAnsi="Calibri"/>
          <w:b/>
          <w:bCs/>
          <w:color w:val="1F4E79"/>
          <w:sz w:val="20"/>
          <w:szCs w:val="20"/>
        </w:rPr>
        <w:t xml:space="preserve">Table 9.1. IEF components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1000"/>
        <w:gridCol w:w="5400"/>
      </w:tblGrid>
      <w:tr>
        <w:trPr>
          <w:tblHeader/>
        </w:trPr>
        <w:tc>
          <w:tcPr>
            <w:tcW w:type="dxa" w:w="2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Component</w:t>
            </w:r>
          </w:p>
        </w:tc>
        <w:tc>
          <w:tcPr>
            <w:tcW w:type="dxa" w:w="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Acronym</w:t>
            </w:r>
          </w:p>
        </w:tc>
        <w:tc>
          <w:tcPr>
            <w:tcW w:type="dxa" w:w="1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Weight</w:t>
            </w:r>
          </w:p>
        </w:tc>
        <w:tc>
          <w:tcPr>
            <w:tcW w:type="dxa" w:w="54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Description</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Physical Process Skills</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DPF</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35%</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Specialised physical manipulation, machinery operation, specialised manual tasks</w:t>
            </w:r>
          </w:p>
        </w:tc>
      </w:tr>
      <w:tr>
        <w:tc>
          <w:tcPr>
            <w:tcW w:type="dxa" w:w="2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Automated Routine Training</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ERA</w:t>
            </w:r>
          </w:p>
        </w:tc>
        <w:tc>
          <w:tcPr>
            <w:tcW w:type="dxa" w:w="1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30%</w:t>
            </w:r>
          </w:p>
        </w:tc>
        <w:tc>
          <w:tcPr>
            <w:tcW w:type="dxa" w:w="54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Capacity to operate following standardised routines and formalised processes</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Control and Inspection Skills</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DCF</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35%</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Inspection, measurement, surveillance and quality control of physical processes</w:t>
            </w:r>
          </w:p>
        </w:tc>
      </w:tr>
    </w:tbl>
    <w:p>
      <w:pPr>
        <w:spacing w:after="160" w:before="0" w:line="320"/>
        <w:jc w:val="both"/>
      </w:pPr>
      <w:r>
        <w:rPr>
          <w:rFonts w:ascii="Calibri" w:cs="Calibri" w:eastAsia="Calibri" w:hAnsi="Calibri"/>
          <w:sz w:val="22"/>
          <w:szCs w:val="22"/>
        </w:rPr>
        <w:t xml:space="preserve">IEF is the indicator with the highest internal consistency in the framework: Cronbach's alpha = 0.919 (v1.3, maintained in v2.0). r(IEF, ITEA) = −0.397, indicating that functional specificity operates as a counterweight to cognitive automation exposure.</w:t>
      </w:r>
    </w:p>
    <w:p>
      <w:r>
        <w:br w:type="page"/>
      </w:r>
    </w:p>
    <w:p>
      <w:pPr>
        <w:spacing w:after="240" w:before="480"/>
      </w:pPr>
      <w:r>
        <w:rPr>
          <w:rFonts w:ascii="Calibri" w:cs="Calibri" w:eastAsia="Calibri" w:hAnsi="Calibri"/>
          <w:b/>
          <w:bCs/>
          <w:color w:val="1F4E79"/>
          <w:sz w:val="32"/>
          <w:szCs w:val="32"/>
        </w:rPr>
        <w:t xml:space="preserve">10. GEE — Education-Experience Gradient</w:t>
      </w:r>
    </w:p>
    <w:p>
      <w:pPr>
        <w:spacing w:after="180" w:before="320"/>
      </w:pPr>
      <w:r>
        <w:rPr>
          <w:rFonts w:ascii="Calibri" w:cs="Calibri" w:eastAsia="Calibri" w:hAnsi="Calibri"/>
          <w:b/>
          <w:bCs/>
          <w:color w:val="1F4E79"/>
          <w:sz w:val="26"/>
          <w:szCs w:val="26"/>
        </w:rPr>
        <w:t xml:space="preserve">10.1 Conceptual definition</w:t>
      </w:r>
    </w:p>
    <w:p>
      <w:pPr>
        <w:spacing w:after="160" w:before="0" w:line="320"/>
        <w:jc w:val="both"/>
      </w:pPr>
      <w:r>
        <w:rPr>
          <w:rFonts w:ascii="Calibri" w:cs="Calibri" w:eastAsia="Calibri" w:hAnsi="Calibri"/>
          <w:sz w:val="22"/>
          <w:szCs w:val="22"/>
        </w:rPr>
        <w:t xml:space="preserve">The GEE quantifies the qualification level required for an occupation, combining years of formal education and months of required work experience. It is a hybrid indicator: combining statistical calibration (OLS over Job Zone) with normalisation to scale [0, 1]. Captures the formal human capital stock of the occupation.</w:t>
      </w:r>
    </w:p>
    <w:p>
      <w:pPr>
        <w:spacing w:after="180" w:before="320"/>
      </w:pPr>
      <w:r>
        <w:rPr>
          <w:rFonts w:ascii="Calibri" w:cs="Calibri" w:eastAsia="Calibri" w:hAnsi="Calibri"/>
          <w:b/>
          <w:bCs/>
          <w:color w:val="1F4E79"/>
          <w:sz w:val="26"/>
          <w:szCs w:val="26"/>
        </w:rPr>
        <w:t xml:space="preserve">10.2 Mathematical formulation</w:t>
      </w:r>
    </w:p>
    <w:p>
      <w:pPr>
        <w:spacing w:after="160" w:before="0" w:line="320"/>
        <w:jc w:val="both"/>
      </w:pPr>
      <w:r>
        <w:rPr>
          <w:rFonts w:ascii="Calibri" w:cs="Calibri" w:eastAsia="Calibri" w:hAnsi="Calibri"/>
          <w:b/>
          <w:bCs/>
          <w:sz w:val="22"/>
          <w:szCs w:val="22"/>
        </w:rPr>
        <w:t xml:space="preserve">GEE_raw = 0.215 · C_RL + 0.004 · C_RW</w:t>
      </w:r>
    </w:p>
    <w:p>
      <w:pPr>
        <w:spacing w:after="160" w:before="0" w:line="320"/>
        <w:jc w:val="both"/>
      </w:pPr>
      <w:r>
        <w:rPr>
          <w:rFonts w:ascii="Calibri" w:cs="Calibri" w:eastAsia="Calibri" w:hAnsi="Calibri"/>
          <w:b/>
          <w:bCs/>
          <w:sz w:val="22"/>
          <w:szCs w:val="22"/>
        </w:rPr>
        <w:t xml:space="preserve">GEE = normalize(GEE_raw) ∈ [0, 1]</w:t>
      </w:r>
    </w:p>
    <w:p>
      <w:pPr>
        <w:spacing w:after="160" w:before="0" w:line="320"/>
        <w:jc w:val="both"/>
      </w:pPr>
      <w:r>
        <w:rPr>
          <w:rFonts w:ascii="Calibri" w:cs="Calibri" w:eastAsia="Calibri" w:hAnsi="Calibri"/>
          <w:sz w:val="22"/>
          <w:szCs w:val="22"/>
        </w:rPr>
        <w:t xml:space="preserve">Where C_RL is years of required education and C_RW is months of required work experience. Coefficients are calibrated via OLS regression over the O*NET Job Zone variable (5 levels, ordinal). Cross-validation yields ρ with Job Zone = 0.927 (Spearman), construct validity criterion for GEE.</w:t>
      </w:r>
    </w:p>
    <w:p>
      <w:pPr>
        <w:spacing w:after="180" w:before="320"/>
      </w:pPr>
      <w:r>
        <w:rPr>
          <w:rFonts w:ascii="Calibri" w:cs="Calibri" w:eastAsia="Calibri" w:hAnsi="Calibri"/>
          <w:b/>
          <w:bCs/>
          <w:color w:val="1F4E79"/>
          <w:sz w:val="26"/>
          <w:szCs w:val="26"/>
        </w:rPr>
        <w:t xml:space="preserve">10.3 Alternative ordinal version (sensitivity)</w:t>
      </w:r>
    </w:p>
    <w:p>
      <w:pPr>
        <w:spacing w:after="160" w:before="0" w:line="320"/>
        <w:jc w:val="both"/>
      </w:pPr>
      <w:r>
        <w:rPr>
          <w:rFonts w:ascii="Calibri" w:cs="Calibri" w:eastAsia="Calibri" w:hAnsi="Calibri"/>
          <w:b/>
          <w:bCs/>
          <w:sz w:val="22"/>
          <w:szCs w:val="22"/>
        </w:rPr>
        <w:t xml:space="preserve">GEE_ordinal = norm(0.228 · C_RL + 0.0035 · C_RW)</w:t>
      </w:r>
    </w:p>
    <w:p>
      <w:pPr>
        <w:spacing w:after="160" w:before="0" w:line="320"/>
        <w:jc w:val="both"/>
      </w:pPr>
      <w:r>
        <w:rPr>
          <w:rFonts w:ascii="Calibri" w:cs="Calibri" w:eastAsia="Calibri" w:hAnsi="Calibri"/>
          <w:sz w:val="22"/>
          <w:szCs w:val="22"/>
        </w:rPr>
        <w:t xml:space="preserve">The ordinal version recalibrates coefficients via proportional-odds regression over Job Zone, assuming strict ordinal scale. Its correlation with the OLS version is ρ = 0.999, indicating that the calibration choice is substantially robust. The OLS version is maintained as default for compatibility with previous versions and for its validated direct correlation with Job Zone.</w:t>
      </w:r>
    </w:p>
    <w:p>
      <w:pPr>
        <w:spacing w:after="180" w:before="320"/>
      </w:pPr>
      <w:r>
        <w:rPr>
          <w:rFonts w:ascii="Calibri" w:cs="Calibri" w:eastAsia="Calibri" w:hAnsi="Calibri"/>
          <w:b/>
          <w:bCs/>
          <w:color w:val="1F4E79"/>
          <w:sz w:val="26"/>
          <w:szCs w:val="26"/>
        </w:rPr>
        <w:t xml:space="preserve">10.4 Evolution v1.0 → v2.0</w:t>
      </w:r>
    </w:p>
    <w:p>
      <w:pPr>
        <w:spacing w:after="120" w:before="240"/>
        <w:jc w:val="left"/>
      </w:pPr>
      <w:r>
        <w:rPr>
          <w:rFonts w:ascii="Calibri" w:cs="Calibri" w:eastAsia="Calibri" w:hAnsi="Calibri"/>
          <w:b/>
          <w:bCs/>
          <w:color w:val="1F4E79"/>
          <w:sz w:val="20"/>
          <w:szCs w:val="20"/>
        </w:rPr>
        <w:t xml:space="preserve">Table 10.1. GEE history</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100"/>
        <w:gridCol w:w="5000"/>
        <w:gridCol w:w="4400"/>
      </w:tblGrid>
      <w:tr>
        <w:trPr>
          <w:tblHeader/>
        </w:trPr>
        <w:tc>
          <w:tcPr>
            <w:tcW w:type="dxa" w:w="11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Version</w:t>
            </w:r>
          </w:p>
        </w:tc>
        <w:tc>
          <w:tcPr>
            <w:tcW w:type="dxa" w:w="5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Main change</w:t>
            </w:r>
          </w:p>
        </w:tc>
        <w:tc>
          <w:tcPr>
            <w:tcW w:type="dxa" w:w="44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ρ with Job Zone</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v1.0</w:t>
            </w:r>
          </w:p>
        </w:tc>
        <w:tc>
          <w:tcPr>
            <w:tcW w:type="dxa" w:w="5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Theoretical weights</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0.847</w:t>
            </w:r>
          </w:p>
        </w:tc>
      </w:tr>
      <w:tr>
        <w:tc>
          <w:tcPr>
            <w:tcW w:type="dxa" w:w="11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v1.2</w:t>
            </w:r>
          </w:p>
        </w:tc>
        <w:tc>
          <w:tcPr>
            <w:tcW w:type="dxa" w:w="5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OLS calibration over Job Zone</w:t>
            </w:r>
          </w:p>
        </w:tc>
        <w:tc>
          <w:tcPr>
            <w:tcW w:type="dxa" w:w="44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0.914</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v1.3</w:t>
            </w:r>
          </w:p>
        </w:tc>
        <w:tc>
          <w:tcPr>
            <w:tcW w:type="dxa" w:w="5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Coefficient refinement</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0.927</w:t>
            </w:r>
          </w:p>
        </w:tc>
      </w:tr>
      <w:tr>
        <w:tc>
          <w:tcPr>
            <w:tcW w:type="dxa" w:w="11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v1.45</w:t>
            </w:r>
          </w:p>
        </w:tc>
        <w:tc>
          <w:tcPr>
            <w:tcW w:type="dxa" w:w="5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Alternative ordinal version added</w:t>
            </w:r>
          </w:p>
        </w:tc>
        <w:tc>
          <w:tcPr>
            <w:tcW w:type="dxa" w:w="44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0.927 (OLS) / pending (ordinal)</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v2.0</w:t>
            </w:r>
          </w:p>
        </w:tc>
        <w:tc>
          <w:tcPr>
            <w:tcW w:type="dxa" w:w="5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No changes; intensified use in IRA residualisation</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0.927</w:t>
            </w:r>
          </w:p>
        </w:tc>
      </w:tr>
    </w:tbl>
    <w:p>
      <w:pPr>
        <w:spacing w:after="160" w:before="0" w:line="320"/>
        <w:jc w:val="both"/>
      </w:pPr>
      <w:r>
        <w:rPr>
          <w:rFonts w:ascii="Calibri" w:cs="Calibri" w:eastAsia="Calibri" w:hAnsi="Calibri"/>
          <w:b/>
          <w:bCs/>
          <w:sz w:val="22"/>
          <w:szCs w:val="22"/>
        </w:rPr>
        <w:t xml:space="preserve">Role of GEE in v2.0</w:t>
      </w:r>
      <w:r>
        <w:rPr>
          <w:rFonts w:ascii="Calibri" w:cs="Calibri" w:eastAsia="Calibri" w:hAnsi="Calibri"/>
          <w:sz w:val="22"/>
          <w:szCs w:val="22"/>
        </w:rPr>
        <w:t xml:space="preserve">. GEE has taken on an expanded structural role in v2.0: in addition to its direct use in OAEI (multiplicative factor), it is the </w:t>
      </w:r>
      <w:r>
        <w:rPr>
          <w:rFonts w:ascii="Calibri" w:cs="Calibri" w:eastAsia="Calibri" w:hAnsi="Calibri"/>
          <w:i/>
          <w:iCs/>
          <w:sz w:val="22"/>
          <w:szCs w:val="22"/>
        </w:rPr>
        <w:t xml:space="preserve">independent variable in the residualisation regression</w:t>
      </w:r>
      <w:r>
        <w:rPr>
          <w:rFonts w:ascii="Calibri" w:cs="Calibri" w:eastAsia="Calibri" w:hAnsi="Calibri"/>
          <w:sz w:val="22"/>
          <w:szCs w:val="22"/>
        </w:rPr>
        <w:t xml:space="preserve"> of IRA v2.0. This dual function makes GEE the most structurally central indicator of the v2.0 framework.</w:t>
      </w:r>
    </w:p>
    <w:p>
      <w:r>
        <w:br w:type="page"/>
      </w:r>
    </w:p>
    <w:p>
      <w:pPr>
        <w:spacing w:after="240" w:before="480"/>
      </w:pPr>
      <w:r>
        <w:rPr>
          <w:rFonts w:ascii="Calibri" w:cs="Calibri" w:eastAsia="Calibri" w:hAnsi="Calibri"/>
          <w:b/>
          <w:bCs/>
          <w:color w:val="1F4E79"/>
          <w:sz w:val="32"/>
          <w:szCs w:val="32"/>
        </w:rPr>
        <w:t xml:space="preserve">11. IMO — Occupational Mutation Index</w:t>
      </w:r>
    </w:p>
    <w:p>
      <w:pPr>
        <w:spacing w:after="180" w:before="320"/>
      </w:pPr>
      <w:r>
        <w:rPr>
          <w:rFonts w:ascii="Calibri" w:cs="Calibri" w:eastAsia="Calibri" w:hAnsi="Calibri"/>
          <w:b/>
          <w:bCs/>
          <w:color w:val="1F4E79"/>
          <w:sz w:val="26"/>
          <w:szCs w:val="26"/>
        </w:rPr>
        <w:t xml:space="preserve">11.1 Conceptual definition</w:t>
      </w:r>
    </w:p>
    <w:p>
      <w:pPr>
        <w:spacing w:after="160" w:before="0" w:line="320"/>
        <w:jc w:val="both"/>
      </w:pPr>
      <w:r>
        <w:rPr>
          <w:rFonts w:ascii="Calibri" w:cs="Calibri" w:eastAsia="Calibri" w:hAnsi="Calibri"/>
          <w:sz w:val="22"/>
          <w:szCs w:val="22"/>
        </w:rPr>
        <w:t xml:space="preserve">The IMO measures whether an occupation is experiencing significant changes in its tasks (mutation) and the intensity of those changes. Occupations with emerging tasks are those in active transformation, which can indicate both opportunity (incorporation of new functions) and risk (partial substitution). It is a hybrid indicator via two-part Hurdle model.</w:t>
      </w:r>
    </w:p>
    <w:p>
      <w:pPr>
        <w:spacing w:after="180" w:before="320"/>
      </w:pPr>
      <w:r>
        <w:rPr>
          <w:rFonts w:ascii="Calibri" w:cs="Calibri" w:eastAsia="Calibri" w:hAnsi="Calibri"/>
          <w:b/>
          <w:bCs/>
          <w:color w:val="1F4E79"/>
          <w:sz w:val="26"/>
          <w:szCs w:val="26"/>
        </w:rPr>
        <w:t xml:space="preserve">11.2 Mathematical formulation</w:t>
      </w:r>
    </w:p>
    <w:p>
      <w:pPr>
        <w:spacing w:after="160" w:before="0" w:line="320"/>
        <w:jc w:val="both"/>
      </w:pPr>
      <w:r>
        <w:rPr>
          <w:rFonts w:ascii="Calibri" w:cs="Calibri" w:eastAsia="Calibri" w:hAnsi="Calibri"/>
          <w:b/>
          <w:bCs/>
          <w:sz w:val="22"/>
          <w:szCs w:val="22"/>
        </w:rPr>
        <w:t xml:space="preserve">IMO = IMO_muta × min(1.0; log₂(1 + ratio))</w:t>
      </w:r>
    </w:p>
    <w:p>
      <w:pPr>
        <w:spacing w:after="160" w:before="0" w:line="320"/>
        <w:jc w:val="both"/>
      </w:pPr>
      <w:r>
        <w:rPr>
          <w:rFonts w:ascii="Calibri" w:cs="Calibri" w:eastAsia="Calibri" w:hAnsi="Calibri"/>
          <w:b/>
          <w:bCs/>
          <w:sz w:val="22"/>
          <w:szCs w:val="22"/>
        </w:rPr>
        <w:t xml:space="preserve">    IMO_muta = 1 if ratio &gt; 0; 0 if ratio = 0</w:t>
      </w:r>
    </w:p>
    <w:p>
      <w:pPr>
        <w:spacing w:after="160" w:before="0" w:line="320"/>
        <w:jc w:val="both"/>
      </w:pPr>
      <w:r>
        <w:rPr>
          <w:rFonts w:ascii="Calibri" w:cs="Calibri" w:eastAsia="Calibri" w:hAnsi="Calibri"/>
          <w:b/>
          <w:bCs/>
          <w:sz w:val="22"/>
          <w:szCs w:val="22"/>
        </w:rPr>
        <w:t xml:space="preserve">    ratio = Emerging_tasks / Total_tasks</w:t>
      </w:r>
    </w:p>
    <w:p>
      <w:pPr>
        <w:spacing w:after="160" w:before="0" w:line="320"/>
        <w:jc w:val="both"/>
      </w:pPr>
      <w:r>
        <w:rPr>
          <w:rFonts w:ascii="Calibri" w:cs="Calibri" w:eastAsia="Calibri" w:hAnsi="Calibri"/>
          <w:sz w:val="22"/>
          <w:szCs w:val="22"/>
        </w:rPr>
        <w:t xml:space="preserve">Two-part Hurdle model:</w:t>
      </w:r>
    </w:p>
    <w:p>
      <w:pPr>
        <w:pStyle w:val="ListParagraph"/>
        <w:numPr>
          <w:ilvl w:val="0"/>
          <w:numId w:val="1"/>
        </w:numPr>
        <w:spacing w:after="80" w:before="0" w:line="300"/>
      </w:pPr>
      <w:r>
        <w:rPr>
          <w:rFonts w:ascii="Calibri" w:cs="Calibri" w:eastAsia="Calibri" w:hAnsi="Calibri"/>
          <w:sz w:val="22"/>
          <w:szCs w:val="22"/>
        </w:rPr>
        <w:t xml:space="preserve">Part 1: does the occupation mutate? (binary, IMO_muta)</w:t>
      </w:r>
    </w:p>
    <w:p>
      <w:pPr>
        <w:pStyle w:val="ListParagraph"/>
        <w:numPr>
          <w:ilvl w:val="0"/>
          <w:numId w:val="1"/>
        </w:numPr>
        <w:spacing w:after="80" w:before="0" w:line="300"/>
      </w:pPr>
      <w:r>
        <w:rPr>
          <w:rFonts w:ascii="Calibri" w:cs="Calibri" w:eastAsia="Calibri" w:hAnsi="Calibri"/>
          <w:sz w:val="22"/>
          <w:szCs w:val="22"/>
        </w:rPr>
        <w:t xml:space="preserve">Part 2: how much does it mutate? (continuous intensity, log-transformed and truncated with cap at 1.0)</w:t>
      </w:r>
    </w:p>
    <w:p>
      <w:pPr>
        <w:spacing w:after="160" w:before="0" w:line="320"/>
        <w:jc w:val="both"/>
      </w:pPr>
      <w:r>
        <w:rPr>
          <w:rFonts w:ascii="Calibri" w:cs="Calibri" w:eastAsia="Calibri" w:hAnsi="Calibri"/>
          <w:sz w:val="22"/>
          <w:szCs w:val="22"/>
        </w:rPr>
        <w:t xml:space="preserve">76.9% of occupations have IMO = 0 (exhibit no mutation). For occupations with IMO &gt; 0, the distribution is skewed with a long tail. The cap at 1.0 prevents occupations with ratio &gt; 1 (more emerging tasks than total recorded) from generating out-of-scale values.</w:t>
      </w:r>
    </w:p>
    <w:p>
      <w:pPr>
        <w:spacing w:after="180" w:before="320"/>
      </w:pPr>
      <w:r>
        <w:rPr>
          <w:rFonts w:ascii="Calibri" w:cs="Calibri" w:eastAsia="Calibri" w:hAnsi="Calibri"/>
          <w:b/>
          <w:bCs/>
          <w:color w:val="1F4E79"/>
          <w:sz w:val="26"/>
          <w:szCs w:val="26"/>
        </w:rPr>
        <w:t xml:space="preserve">11.3 Historical bugfix v1.2</w:t>
      </w:r>
    </w:p>
    <w:p>
      <w:pPr>
        <w:spacing w:after="160" w:before="0" w:line="320"/>
        <w:jc w:val="both"/>
      </w:pPr>
      <w:r>
        <w:rPr>
          <w:rFonts w:ascii="Calibri" w:cs="Calibri" w:eastAsia="Calibri" w:hAnsi="Calibri"/>
          <w:sz w:val="22"/>
          <w:szCs w:val="22"/>
        </w:rPr>
        <w:t xml:space="preserve">Critical bugfix in v1.2: version v1.0 used a Shampoo in log-1+ratio without cap, which generated IMO &gt; 1.0 for several occupations (Software Developers, Data Scientists). The cap at 1.0 introduced in v1.2 corrects the bug and maintains the indicator's [0, 1] range.</w:t>
      </w:r>
    </w:p>
    <w:p>
      <w:pPr>
        <w:spacing w:after="180" w:before="320"/>
      </w:pPr>
      <w:r>
        <w:rPr>
          <w:rFonts w:ascii="Calibri" w:cs="Calibri" w:eastAsia="Calibri" w:hAnsi="Calibri"/>
          <w:b/>
          <w:bCs/>
          <w:color w:val="1F4E79"/>
          <w:sz w:val="26"/>
          <w:szCs w:val="26"/>
        </w:rPr>
        <w:t xml:space="preserve">11.4 Role of IMO in v2.0</w:t>
      </w:r>
    </w:p>
    <w:p>
      <w:pPr>
        <w:spacing w:after="160" w:before="0" w:line="320"/>
        <w:jc w:val="both"/>
      </w:pPr>
      <w:r>
        <w:rPr>
          <w:rFonts w:ascii="Calibri" w:cs="Calibri" w:eastAsia="Calibri" w:hAnsi="Calibri"/>
          <w:sz w:val="22"/>
          <w:szCs w:val="22"/>
        </w:rPr>
        <w:t xml:space="preserve">The IMO is maintained as an auxiliary dimension of the framework: it does NOT enter the OAEI v2.0 calculation (which uses ITEA × GEE × ICT × (1−IPI)). Its main usefulness is complementary, identifying occupations in active transformation where potential exposure may materialise at greater speed.</w:t>
      </w:r>
    </w:p>
    <w:p>
      <w:r>
        <w:br w:type="page"/>
      </w:r>
    </w:p>
    <w:p>
      <w:pPr>
        <w:spacing w:after="240" w:before="480"/>
      </w:pPr>
      <w:r>
        <w:rPr>
          <w:rFonts w:ascii="Calibri" w:cs="Calibri" w:eastAsia="Calibri" w:hAnsi="Calibri"/>
          <w:b/>
          <w:bCs/>
          <w:color w:val="1F4E79"/>
          <w:sz w:val="32"/>
          <w:szCs w:val="32"/>
        </w:rPr>
        <w:t xml:space="preserve">12. AEI — Algorithmic Expropriation Index (convergent criterion)</w:t>
      </w:r>
    </w:p>
    <w:p>
      <w:pPr>
        <w:spacing w:after="160" w:before="0" w:line="320"/>
        <w:jc w:val="both"/>
      </w:pPr>
      <w:r>
        <w:rPr>
          <w:rFonts w:ascii="Calibri" w:cs="Calibri" w:eastAsia="Calibri" w:hAnsi="Calibri"/>
          <w:b/>
          <w:bCs/>
          <w:color w:val="C00000"/>
          <w:sz w:val="22"/>
          <w:szCs w:val="22"/>
        </w:rPr>
        <w:t xml:space="preserve">New chapter in v2.0</w:t>
      </w:r>
      <w:r>
        <w:rPr>
          <w:rFonts w:ascii="Calibri" w:cs="Calibri" w:eastAsia="Calibri" w:hAnsi="Calibri"/>
          <w:sz w:val="22"/>
          <w:szCs w:val="22"/>
        </w:rPr>
        <w:t xml:space="preserve">. The AEI was used in v1.45 as the convergent validity criterion of ITEA but its construction was not explicitly articulated in the framework methodology, which compromised the transparency of the validation process. Version 2.0 dedicates a specific chapter to the AEI with the complete formula, distributions of the underlying classifications and justification of the asymmetric weights.</w:t>
      </w:r>
    </w:p>
    <w:p>
      <w:pPr>
        <w:spacing w:after="180" w:before="320"/>
      </w:pPr>
      <w:r>
        <w:rPr>
          <w:rFonts w:ascii="Calibri" w:cs="Calibri" w:eastAsia="Calibri" w:hAnsi="Calibri"/>
          <w:b/>
          <w:bCs/>
          <w:color w:val="1F4E79"/>
          <w:sz w:val="26"/>
          <w:szCs w:val="26"/>
        </w:rPr>
        <w:t xml:space="preserve">12.1 Conceptual definition</w:t>
      </w:r>
    </w:p>
    <w:p>
      <w:pPr>
        <w:spacing w:after="160" w:before="0" w:line="320"/>
        <w:jc w:val="both"/>
      </w:pPr>
      <w:r>
        <w:rPr>
          <w:rFonts w:ascii="Calibri" w:cs="Calibri" w:eastAsia="Calibri" w:hAnsi="Calibri"/>
          <w:sz w:val="22"/>
          <w:szCs w:val="22"/>
        </w:rPr>
        <w:t xml:space="preserve">The </w:t>
      </w:r>
      <w:r>
        <w:rPr>
          <w:rFonts w:ascii="Calibri" w:cs="Calibri" w:eastAsia="Calibri" w:hAnsi="Calibri"/>
          <w:b/>
          <w:bCs/>
          <w:sz w:val="22"/>
          <w:szCs w:val="22"/>
        </w:rPr>
        <w:t xml:space="preserve">Algorithmic Expropriation Index (AEI)</w:t>
      </w:r>
      <w:r>
        <w:rPr>
          <w:rFonts w:ascii="Calibri" w:cs="Calibri" w:eastAsia="Calibri" w:hAnsi="Calibri"/>
          <w:sz w:val="22"/>
          <w:szCs w:val="22"/>
        </w:rPr>
        <w:t xml:space="preserve"> is an occupational index built on the granular classification of tasks across two dimensions: the degree of potential automation (Auto_Grade) and the degree of intellectual capital transfer (CI_Grade). It is the empirical operationalisation of the algorithmic expropriation concept articulated in Paper 8A.</w:t>
      </w:r>
    </w:p>
    <w:p>
      <w:pPr>
        <w:spacing w:after="160" w:before="0" w:line="320"/>
        <w:jc w:val="both"/>
      </w:pPr>
      <w:r>
        <w:rPr>
          <w:rFonts w:ascii="Calibri" w:cs="Calibri" w:eastAsia="Calibri" w:hAnsi="Calibri"/>
          <w:sz w:val="22"/>
          <w:szCs w:val="22"/>
        </w:rPr>
        <w:t xml:space="preserve">Key analytical distinction: the AEI is an </w:t>
      </w:r>
      <w:r>
        <w:rPr>
          <w:rFonts w:ascii="Calibri" w:cs="Calibri" w:eastAsia="Calibri" w:hAnsi="Calibri"/>
          <w:i/>
          <w:iCs/>
          <w:sz w:val="22"/>
          <w:szCs w:val="22"/>
        </w:rPr>
        <w:t xml:space="preserve">auxiliary</w:t>
      </w:r>
      <w:r>
        <w:rPr>
          <w:rFonts w:ascii="Calibri" w:cs="Calibri" w:eastAsia="Calibri" w:hAnsi="Calibri"/>
          <w:sz w:val="22"/>
          <w:szCs w:val="22"/>
        </w:rPr>
        <w:t xml:space="preserve"> indicator of the framework, NOT a construct of the ITEA itself. It functions as an external convergent validity criterion: if the ITEA adequately measures the construct of exposure to algorithmic expropriation, it should correlate strongly with the AEI. Validation yields r(ITEA, AEI) = 0.720, confirming convergence.</w:t>
      </w:r>
    </w:p>
    <w:p>
      <w:pPr>
        <w:spacing w:after="180" w:before="320"/>
      </w:pPr>
      <w:r>
        <w:rPr>
          <w:rFonts w:ascii="Calibri" w:cs="Calibri" w:eastAsia="Calibri" w:hAnsi="Calibri"/>
          <w:b/>
          <w:bCs/>
          <w:color w:val="1F4E79"/>
          <w:sz w:val="26"/>
          <w:szCs w:val="26"/>
        </w:rPr>
        <w:t xml:space="preserve">12.2 Mathematical formulation</w:t>
      </w:r>
    </w:p>
    <w:p>
      <w:pPr>
        <w:spacing w:after="160" w:before="0" w:line="320"/>
        <w:jc w:val="both"/>
      </w:pPr>
      <w:r>
        <w:rPr>
          <w:rFonts w:ascii="Calibri" w:cs="Calibri" w:eastAsia="Calibri" w:hAnsi="Calibri"/>
          <w:b/>
          <w:bCs/>
          <w:color w:val="1F4E79"/>
          <w:sz w:val="22"/>
          <w:szCs w:val="22"/>
        </w:rPr>
        <w:t xml:space="preserve">AEI = (%HIGH × 100 × 1) + (%TRANS × 100 × 0.5) + (%HIGH_ALGO × 100 × 2)</w:t>
      </w:r>
    </w:p>
    <w:p>
      <w:pPr>
        <w:spacing w:after="160" w:before="0" w:line="320"/>
        <w:jc w:val="both"/>
      </w:pPr>
      <w:r>
        <w:rPr>
          <w:rFonts w:ascii="Calibri" w:cs="Calibri" w:eastAsia="Calibri" w:hAnsi="Calibri"/>
          <w:sz w:val="22"/>
          <w:szCs w:val="22"/>
        </w:rPr>
        <w:t xml:space="preserve">Where the components are the proportions (over 0 to 1) of the occupation's tasks classified in each category, multiplied by 100 for percentage scale.</w:t>
      </w:r>
    </w:p>
    <w:p>
      <w:pPr>
        <w:spacing w:after="180" w:before="320"/>
      </w:pPr>
      <w:r>
        <w:rPr>
          <w:rFonts w:ascii="Calibri" w:cs="Calibri" w:eastAsia="Calibri" w:hAnsi="Calibri"/>
          <w:b/>
          <w:bCs/>
          <w:color w:val="1F4E79"/>
          <w:sz w:val="26"/>
          <w:szCs w:val="26"/>
        </w:rPr>
        <w:t xml:space="preserve">12.3 Underlying classification system</w:t>
      </w:r>
    </w:p>
    <w:p>
      <w:pPr>
        <w:spacing w:after="140" w:before="240"/>
      </w:pPr>
      <w:r>
        <w:rPr>
          <w:rFonts w:ascii="Calibri" w:cs="Calibri" w:eastAsia="Calibri" w:hAnsi="Calibri"/>
          <w:b/>
          <w:bCs/>
          <w:i/>
          <w:iCs/>
          <w:sz w:val="22"/>
          <w:szCs w:val="22"/>
        </w:rPr>
        <w:t xml:space="preserve">Auto_Grade (degree of potential automation)</w:t>
      </w:r>
    </w:p>
    <w:p>
      <w:pPr>
        <w:spacing w:after="120" w:before="240"/>
        <w:jc w:val="left"/>
      </w:pPr>
      <w:r>
        <w:rPr>
          <w:rFonts w:ascii="Calibri" w:cs="Calibri" w:eastAsia="Calibri" w:hAnsi="Calibri"/>
          <w:b/>
          <w:bCs/>
          <w:color w:val="1F4E79"/>
          <w:sz w:val="20"/>
          <w:szCs w:val="20"/>
        </w:rPr>
        <w:t xml:space="preserve">Table 12.1. Distribution of Auto_Grade across 47,810 tasks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5800"/>
        <w:gridCol w:w="1400"/>
        <w:gridCol w:w="1800"/>
      </w:tblGrid>
      <w:tr>
        <w:trPr>
          <w:tblHeader/>
        </w:trPr>
        <w:tc>
          <w:tcPr>
            <w:tcW w:type="dxa" w:w="14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Category</w:t>
            </w:r>
          </w:p>
        </w:tc>
        <w:tc>
          <w:tcPr>
            <w:tcW w:type="dxa" w:w="5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Definition</w:t>
            </w:r>
          </w:p>
        </w:tc>
        <w:tc>
          <w:tcPr>
            <w:tcW w:type="dxa" w:w="14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N tasks</w:t>
            </w:r>
          </w:p>
        </w:tc>
        <w:tc>
          <w:tcPr>
            <w:tcW w:type="dxa" w:w="1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 of total</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HIGH</w:t>
            </w:r>
          </w:p>
        </w:tc>
        <w:tc>
          <w:tcPr>
            <w:tcW w:type="dxa" w:w="5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Complete or near-complete automation of the task (≥80% of the workflow). Task autonomously executable by the system.</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875</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1.8%</w:t>
            </w:r>
          </w:p>
        </w:tc>
      </w:tr>
      <w:tr>
        <w:tc>
          <w:tcPr>
            <w:tcW w:type="dxa" w:w="14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TRANS</w:t>
            </w:r>
          </w:p>
        </w:tc>
        <w:tc>
          <w:tcPr>
            <w:tcW w:type="dxa" w:w="5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Partial automation with human supervision (30–79%). Workflow is altered but requires human intervention at checkpoints.</w:t>
            </w:r>
          </w:p>
        </w:tc>
        <w:tc>
          <w:tcPr>
            <w:tcW w:type="dxa" w:w="14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44,151</w:t>
            </w:r>
          </w:p>
        </w:tc>
        <w:tc>
          <w:tcPr>
            <w:tcW w:type="dxa" w:w="1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92.3%</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LOW</w:t>
            </w:r>
          </w:p>
        </w:tc>
        <w:tc>
          <w:tcPr>
            <w:tcW w:type="dxa" w:w="5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Minimal automation (&lt;30%). The system assists but does not operationally replace the worker.</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2,784</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5.8%</w:t>
            </w:r>
          </w:p>
        </w:tc>
      </w:tr>
    </w:tbl>
    <w:p>
      <w:pPr>
        <w:spacing w:after="240" w:before="80"/>
        <w:jc w:val="both"/>
      </w:pPr>
      <w:r>
        <w:rPr>
          <w:rFonts w:ascii="Calibri" w:cs="Calibri" w:eastAsia="Calibri" w:hAnsi="Calibri"/>
          <w:i/>
          <w:iCs/>
          <w:color w:val="666666"/>
          <w:sz w:val="18"/>
          <w:szCs w:val="18"/>
        </w:rPr>
        <w:t xml:space="preserve">Skewed distribution: the vast majority of O*NET tasks fall into TRANS (partial automation), reflecting that the current Agentic regime does not autonomously substitute but transforms most workflows.</w:t>
      </w:r>
    </w:p>
    <w:p>
      <w:pPr>
        <w:spacing w:after="140" w:before="240"/>
      </w:pPr>
      <w:r>
        <w:rPr>
          <w:rFonts w:ascii="Calibri" w:cs="Calibri" w:eastAsia="Calibri" w:hAnsi="Calibri"/>
          <w:b/>
          <w:bCs/>
          <w:i/>
          <w:iCs/>
          <w:sz w:val="22"/>
          <w:szCs w:val="22"/>
        </w:rPr>
        <w:t xml:space="preserve">CI_Grade (degree of intellectual capital transfer)</w:t>
      </w:r>
    </w:p>
    <w:p>
      <w:pPr>
        <w:spacing w:after="120" w:before="240"/>
        <w:jc w:val="left"/>
      </w:pPr>
      <w:r>
        <w:rPr>
          <w:rFonts w:ascii="Calibri" w:cs="Calibri" w:eastAsia="Calibri" w:hAnsi="Calibri"/>
          <w:b/>
          <w:bCs/>
          <w:color w:val="1F4E79"/>
          <w:sz w:val="20"/>
          <w:szCs w:val="20"/>
        </w:rPr>
        <w:t xml:space="preserve">Table 12.2. Distribution of CI_Grade across 47,810 tasks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5800"/>
        <w:gridCol w:w="1400"/>
        <w:gridCol w:w="1800"/>
      </w:tblGrid>
      <w:tr>
        <w:trPr>
          <w:tblHeader/>
        </w:trPr>
        <w:tc>
          <w:tcPr>
            <w:tcW w:type="dxa" w:w="14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Category</w:t>
            </w:r>
          </w:p>
        </w:tc>
        <w:tc>
          <w:tcPr>
            <w:tcW w:type="dxa" w:w="5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Definition</w:t>
            </w:r>
          </w:p>
        </w:tc>
        <w:tc>
          <w:tcPr>
            <w:tcW w:type="dxa" w:w="14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N tasks</w:t>
            </w:r>
          </w:p>
        </w:tc>
        <w:tc>
          <w:tcPr>
            <w:tcW w:type="dxa" w:w="1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 of total</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HIGH_ALGO</w:t>
            </w:r>
          </w:p>
        </w:tc>
        <w:tc>
          <w:tcPr>
            <w:tcW w:type="dxa" w:w="5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Algorithmic encoding of tacit knowledge into alienable assets. Task execution contributes to training/enriching the Agentic system with crystallised value.</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1,709</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3.6%</w:t>
            </w:r>
          </w:p>
        </w:tc>
      </w:tr>
      <w:tr>
        <w:tc>
          <w:tcPr>
            <w:tcW w:type="dxa" w:w="14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MEDIUM_SC</w:t>
            </w:r>
          </w:p>
        </w:tc>
        <w:tc>
          <w:tcPr>
            <w:tcW w:type="dxa" w:w="5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Partial encoding of contextual knowledge. The task produces partially transferable knowledge to the system.</w:t>
            </w:r>
          </w:p>
        </w:tc>
        <w:tc>
          <w:tcPr>
            <w:tcW w:type="dxa" w:w="14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43,317</w:t>
            </w:r>
          </w:p>
        </w:tc>
        <w:tc>
          <w:tcPr>
            <w:tcW w:type="dxa" w:w="1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90.6%</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LOW_TRANS</w:t>
            </w:r>
          </w:p>
        </w:tc>
        <w:tc>
          <w:tcPr>
            <w:tcW w:type="dxa" w:w="5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Low transfer. Knowledge remains in the worker and is not crystallised in the system.</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2,784</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5.8%</w:t>
            </w:r>
          </w:p>
        </w:tc>
      </w:tr>
    </w:tbl>
    <w:p>
      <w:pPr>
        <w:spacing w:after="180" w:before="320"/>
      </w:pPr>
      <w:r>
        <w:rPr>
          <w:rFonts w:ascii="Calibri" w:cs="Calibri" w:eastAsia="Calibri" w:hAnsi="Calibri"/>
          <w:b/>
          <w:bCs/>
          <w:color w:val="1F4E79"/>
          <w:sz w:val="26"/>
          <w:szCs w:val="26"/>
        </w:rPr>
        <w:t xml:space="preserve">12.4 Justification of the asymmetric weights</w:t>
      </w:r>
    </w:p>
    <w:p>
      <w:pPr>
        <w:spacing w:after="120" w:before="240"/>
        <w:jc w:val="left"/>
      </w:pPr>
      <w:r>
        <w:rPr>
          <w:rFonts w:ascii="Calibri" w:cs="Calibri" w:eastAsia="Calibri" w:hAnsi="Calibri"/>
          <w:b/>
          <w:bCs/>
          <w:color w:val="1F4E79"/>
          <w:sz w:val="20"/>
          <w:szCs w:val="20"/>
        </w:rPr>
        <w:t xml:space="preserve">Table 12.3. AEI weights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8400"/>
      </w:tblGrid>
      <w:tr>
        <w:trPr>
          <w:tblHeader/>
        </w:trPr>
        <w:tc>
          <w:tcPr>
            <w:tcW w:type="dxa" w:w="1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Category</w:t>
            </w:r>
          </w:p>
        </w:tc>
        <w:tc>
          <w:tcPr>
            <w:tcW w:type="dxa" w:w="11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Weight</w:t>
            </w:r>
          </w:p>
        </w:tc>
        <w:tc>
          <w:tcPr>
            <w:tcW w:type="dxa" w:w="84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Justification</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%HIGH</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 1.0</w:t>
            </w:r>
          </w:p>
        </w:tc>
        <w:tc>
          <w:tcPr>
            <w:tcW w:type="dxa" w:w="8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Direct contribution of fully automatable tasks to the expropriation phenomenon. It is the classic case of functional substitution.</w:t>
            </w:r>
          </w:p>
        </w:tc>
      </w:tr>
      <w:tr>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%TRANS</w:t>
            </w:r>
          </w:p>
        </w:tc>
        <w:tc>
          <w:tcPr>
            <w:tcW w:type="dxa" w:w="11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 0.5</w:t>
            </w:r>
          </w:p>
        </w:tc>
        <w:tc>
          <w:tcPr>
            <w:tcW w:type="dxa" w:w="84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Partial contribution: these tasks maintain human supervision but their workflow is operationally altered. Value transfer is partial.</w:t>
            </w:r>
          </w:p>
        </w:tc>
      </w:tr>
      <w:tr>
        <w:tc>
          <w:tcPr>
            <w:tcW w:type="dxa" w:w="15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%HIGH_ALGO</w:t>
            </w:r>
          </w:p>
        </w:tc>
        <w:tc>
          <w:tcPr>
            <w:tcW w:type="dxa" w:w="11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 2.0</w:t>
            </w:r>
          </w:p>
        </w:tc>
        <w:tc>
          <w:tcPr>
            <w:tcW w:type="dxa" w:w="84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DOUBLE contribution: tasks with algorithmic encoding of tacit knowledge contribute both to worker displacement (HIGH/TRANS numerator) and to crystallisation of intellectual capital into proprietary asset. Both components of the expropriation phenomenon. The asymmetry 1 / 0.5 / 2 analytically emphasises the dimension of intellectual capital transfer over the dimension of mere automation.</w:t>
            </w:r>
          </w:p>
        </w:tc>
      </w:tr>
    </w:tbl>
    <w:p>
      <w:pPr>
        <w:spacing w:after="240" w:before="80"/>
        <w:jc w:val="both"/>
      </w:pPr>
      <w:r>
        <w:rPr>
          <w:rFonts w:ascii="Calibri" w:cs="Calibri" w:eastAsia="Calibri" w:hAnsi="Calibri"/>
          <w:i/>
          <w:iCs/>
          <w:color w:val="666666"/>
          <w:sz w:val="18"/>
          <w:szCs w:val="18"/>
        </w:rPr>
        <w:t xml:space="preserve">The × 2 weight on HIGH_ALGO is the most distinctive methodological decision of the AEI formula. It reflects the conceptual articulation of the paper: algorithmic expropriation is not only displacement (Auto_Grade), but also crystallisation (CI_Grade). A HIGH_ALGO task generates both effects simultaneously.</w:t>
      </w:r>
    </w:p>
    <w:p>
      <w:pPr>
        <w:spacing w:after="180" w:before="320"/>
      </w:pPr>
      <w:r>
        <w:rPr>
          <w:rFonts w:ascii="Calibri" w:cs="Calibri" w:eastAsia="Calibri" w:hAnsi="Calibri"/>
          <w:b/>
          <w:bCs/>
          <w:color w:val="1F4E79"/>
          <w:sz w:val="26"/>
          <w:szCs w:val="26"/>
        </w:rPr>
        <w:t xml:space="preserve">12.5 Descriptive statistics</w:t>
      </w:r>
    </w:p>
    <w:p>
      <w:pPr>
        <w:spacing w:after="120" w:before="240"/>
        <w:jc w:val="left"/>
      </w:pPr>
      <w:r>
        <w:rPr>
          <w:rFonts w:ascii="Calibri" w:cs="Calibri" w:eastAsia="Calibri" w:hAnsi="Calibri"/>
          <w:b/>
          <w:bCs/>
          <w:color w:val="1F4E79"/>
          <w:sz w:val="20"/>
          <w:szCs w:val="20"/>
        </w:rPr>
        <w:t xml:space="preserve">Table 12.4. Descriptive statistics of the AEI (n = 923 occupations)</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4000"/>
        <w:gridCol w:w="3500"/>
        <w:gridCol w:w="4500"/>
      </w:tblGrid>
      <w:tr>
        <w:trPr>
          <w:tblHeader/>
        </w:trPr>
        <w:tc>
          <w:tcPr>
            <w:tcW w:type="dxa" w:w="4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Statistic</w:t>
            </w:r>
          </w:p>
        </w:tc>
        <w:tc>
          <w:tcPr>
            <w:tcW w:type="dxa" w:w="3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Value</w:t>
            </w:r>
          </w:p>
        </w:tc>
        <w:tc>
          <w:tcPr>
            <w:tcW w:type="dxa" w:w="4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Interpretation</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Mean</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55.24</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Average AEI of O*NET occupations</w:t>
            </w:r>
          </w:p>
        </w:tc>
      </w:tr>
      <w:tr>
        <w:tc>
          <w:tcPr>
            <w:tcW w:type="dxa" w:w="4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Median</w:t>
            </w:r>
          </w:p>
        </w:tc>
        <w:tc>
          <w:tcPr>
            <w:tcW w:type="dxa" w:w="3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51.80</w:t>
            </w:r>
          </w:p>
        </w:tc>
        <w:tc>
          <w:tcPr>
            <w:tcW w:type="dxa" w:w="4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Median close to the mean; relatively symmetric distribution</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Standard deviation</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11.13</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Moderate dispersion</w:t>
            </w:r>
          </w:p>
        </w:tc>
      </w:tr>
      <w:tr>
        <w:tc>
          <w:tcPr>
            <w:tcW w:type="dxa" w:w="4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Minimum</w:t>
            </w:r>
          </w:p>
        </w:tc>
        <w:tc>
          <w:tcPr>
            <w:tcW w:type="dxa" w:w="3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34.80</w:t>
            </w:r>
          </w:p>
        </w:tc>
        <w:tc>
          <w:tcPr>
            <w:tcW w:type="dxa" w:w="4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Least exposed occupation</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Maximum</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113.50</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Most exposed occupation (Credit Analysts)</w:t>
            </w:r>
          </w:p>
        </w:tc>
      </w:tr>
      <w:tr>
        <w:tc>
          <w:tcPr>
            <w:tcW w:type="dxa" w:w="4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10th percentile</w:t>
            </w:r>
          </w:p>
        </w:tc>
        <w:tc>
          <w:tcPr>
            <w:tcW w:type="dxa" w:w="3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≈48</w:t>
            </w:r>
          </w:p>
        </w:tc>
        <w:tc>
          <w:tcPr>
            <w:tcW w:type="dxa" w:w="4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Occupations in the first decile of exposure</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90th percentile</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≈70</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Threshold of "high exposure" (sectoral)</w:t>
            </w:r>
          </w:p>
        </w:tc>
      </w:tr>
    </w:tbl>
    <w:p>
      <w:pPr>
        <w:spacing w:after="180" w:before="320"/>
      </w:pPr>
      <w:r>
        <w:rPr>
          <w:rFonts w:ascii="Calibri" w:cs="Calibri" w:eastAsia="Calibri" w:hAnsi="Calibri"/>
          <w:b/>
          <w:bCs/>
          <w:color w:val="1F4E79"/>
          <w:sz w:val="26"/>
          <w:szCs w:val="26"/>
        </w:rPr>
        <w:t xml:space="preserve">12.6 Cross-validation</w:t>
      </w:r>
    </w:p>
    <w:p>
      <w:pPr>
        <w:spacing w:after="160" w:before="0" w:line="320"/>
        <w:jc w:val="both"/>
      </w:pPr>
      <w:r>
        <w:rPr>
          <w:rFonts w:ascii="Calibri" w:cs="Calibri" w:eastAsia="Calibri" w:hAnsi="Calibri"/>
          <w:sz w:val="22"/>
          <w:szCs w:val="22"/>
        </w:rPr>
        <w:t xml:space="preserve">The AEI calculated in the workbook ITEA v1.45 (column AEI) coincides with the independent reconstruction from the auxiliary task base (AEI_Unified_Analysis_v1_0_2026.xlsx) with r = 0.99999. This validation confirms that the formula is correctly implemented and that the underlying classifications are consistent across the author's two documentary sources.</w:t>
      </w:r>
    </w:p>
    <w:p>
      <w:pPr>
        <w:spacing w:after="180" w:before="320"/>
      </w:pPr>
      <w:r>
        <w:rPr>
          <w:rFonts w:ascii="Calibri" w:cs="Calibri" w:eastAsia="Calibri" w:hAnsi="Calibri"/>
          <w:b/>
          <w:bCs/>
          <w:color w:val="1F4E79"/>
          <w:sz w:val="26"/>
          <w:szCs w:val="26"/>
        </w:rPr>
        <w:t xml:space="preserve">12.7 Python implementation</w:t>
      </w:r>
    </w:p>
    <w:p>
      <w:pPr>
        <w:shd w:fill="F5F5F5" w:val="clear"/>
        <w:spacing w:after="80" w:before="80" w:line="280"/>
        <w:ind w:left="240"/>
      </w:pPr>
      <w:r>
        <w:rPr>
          <w:rFonts w:ascii="Consolas" w:cs="Consolas" w:eastAsia="Consolas" w:hAnsi="Consolas"/>
          <w:sz w:val="18"/>
          <w:szCs w:val="18"/>
        </w:rPr>
        <w:t xml:space="preserve">def calcular_aei(df_tasks_occupation):</w:t>
      </w:r>
    </w:p>
    <w:p>
      <w:pPr>
        <w:shd w:fill="F5F5F5" w:val="clear"/>
        <w:spacing w:after="80" w:before="80" w:line="280"/>
        <w:ind w:left="240"/>
      </w:pPr>
      <w:r>
        <w:rPr>
          <w:rFonts w:ascii="Consolas" w:cs="Consolas" w:eastAsia="Consolas" w:hAnsi="Consolas"/>
          <w:sz w:val="18"/>
          <w:szCs w:val="18"/>
        </w:rPr>
        <w:t xml:space="preserve">    """AEI = (%HIGH * 100) + (%TRANS * 50) + (%HIGH_ALGO * 200)</w:t>
      </w:r>
    </w:p>
    <w:p>
      <w:pPr>
        <w:shd w:fill="F5F5F5" w:val="clear"/>
        <w:spacing w:after="80" w:before="80" w:line="280"/>
        <w:ind w:left="240"/>
      </w:pPr>
      <w:r>
        <w:rPr>
          <w:rFonts w:ascii="Consolas" w:cs="Consolas" w:eastAsia="Consolas" w:hAnsi="Consolas"/>
          <w:sz w:val="18"/>
          <w:szCs w:val="18"/>
        </w:rPr>
        <w:t xml:space="preserve">       Where df_tasks_occupation is DataFrame with Auto_Grade and CI_Grade columns"""</w:t>
      </w:r>
    </w:p>
    <w:p>
      <w:pPr>
        <w:shd w:fill="F5F5F5" w:val="clear"/>
        <w:spacing w:after="80" w:before="80" w:line="280"/>
        <w:ind w:left="240"/>
      </w:pPr>
      <w:r>
        <w:rPr>
          <w:rFonts w:ascii="Consolas" w:cs="Consolas" w:eastAsia="Consolas" w:hAnsi="Consolas"/>
          <w:sz w:val="18"/>
          <w:szCs w:val="18"/>
        </w:rPr>
        <w:t xml:space="preserve">    n = len(df_tasks_occupation)</w:t>
      </w:r>
    </w:p>
    <w:p>
      <w:pPr>
        <w:shd w:fill="F5F5F5" w:val="clear"/>
        <w:spacing w:after="80" w:before="80" w:line="280"/>
        <w:ind w:left="240"/>
      </w:pPr>
      <w:r>
        <w:rPr>
          <w:rFonts w:ascii="Consolas" w:cs="Consolas" w:eastAsia="Consolas" w:hAnsi="Consolas"/>
          <w:sz w:val="18"/>
          <w:szCs w:val="18"/>
        </w:rPr>
        <w:t xml:space="preserve">    pct_high = (df_tasks_occupation["Auto_Grade"] == "HIGH").sum() / n</w:t>
      </w:r>
    </w:p>
    <w:p>
      <w:pPr>
        <w:shd w:fill="F5F5F5" w:val="clear"/>
        <w:spacing w:after="80" w:before="80" w:line="280"/>
        <w:ind w:left="240"/>
      </w:pPr>
      <w:r>
        <w:rPr>
          <w:rFonts w:ascii="Consolas" w:cs="Consolas" w:eastAsia="Consolas" w:hAnsi="Consolas"/>
          <w:sz w:val="18"/>
          <w:szCs w:val="18"/>
        </w:rPr>
        <w:t xml:space="preserve">    pct_trans = (df_tasks_occupation["Auto_Grade"] == "TRANS").sum() / n</w:t>
      </w:r>
    </w:p>
    <w:p>
      <w:pPr>
        <w:shd w:fill="F5F5F5" w:val="clear"/>
        <w:spacing w:after="80" w:before="80" w:line="280"/>
        <w:ind w:left="240"/>
      </w:pPr>
      <w:r>
        <w:rPr>
          <w:rFonts w:ascii="Consolas" w:cs="Consolas" w:eastAsia="Consolas" w:hAnsi="Consolas"/>
          <w:sz w:val="18"/>
          <w:szCs w:val="18"/>
        </w:rPr>
        <w:t xml:space="preserve">    pct_high_algo = (df_tasks_occupation["CI_Grade"] == "HIGH_ALGO").sum() / n</w:t>
      </w:r>
    </w:p>
    <w:p>
      <w:pPr>
        <w:shd w:fill="F5F5F5" w:val="clear"/>
        <w:spacing w:after="80" w:before="80" w:line="280"/>
        <w:ind w:left="240"/>
      </w:pPr>
      <w:r>
        <w:rPr>
          <w:rFonts w:ascii="Consolas" w:cs="Consolas" w:eastAsia="Consolas" w:hAnsi="Consolas"/>
          <w:sz w:val="18"/>
          <w:szCs w:val="18"/>
        </w:rPr>
        <w:t xml:space="preserve">    return (pct_high * 100 * 1) + (pct_trans * 100 * 0.5) + (pct_high_algo * 100 * 2)</w:t>
      </w:r>
    </w:p>
    <w:p>
      <w:r>
        <w:br w:type="page"/>
      </w:r>
    </w:p>
    <w:p>
      <w:pPr>
        <w:spacing w:after="240" w:before="480"/>
      </w:pPr>
      <w:r>
        <w:rPr>
          <w:rFonts w:ascii="Calibri" w:cs="Calibri" w:eastAsia="Calibri" w:hAnsi="Calibri"/>
          <w:b/>
          <w:bCs/>
          <w:color w:val="1F4E79"/>
          <w:sz w:val="32"/>
          <w:szCs w:val="32"/>
        </w:rPr>
        <w:t xml:space="preserve">13. OAEI v2.0 — Operational Algorithmic Expropriation Index</w:t>
      </w:r>
    </w:p>
    <w:p>
      <w:pPr>
        <w:spacing w:after="160" w:before="0" w:line="320"/>
        <w:jc w:val="both"/>
      </w:pPr>
      <w:r>
        <w:rPr>
          <w:rFonts w:ascii="Calibri" w:cs="Calibri" w:eastAsia="Calibri" w:hAnsi="Calibri"/>
          <w:b/>
          <w:bCs/>
          <w:color w:val="C00000"/>
          <w:sz w:val="22"/>
          <w:szCs w:val="22"/>
        </w:rPr>
        <w:t xml:space="preserve">Structural change in v2.0</w:t>
      </w:r>
      <w:r>
        <w:rPr>
          <w:rFonts w:ascii="Calibri" w:cs="Calibri" w:eastAsia="Calibri" w:hAnsi="Calibri"/>
          <w:sz w:val="22"/>
          <w:szCs w:val="22"/>
        </w:rPr>
        <w:t xml:space="preserve">. The OAEI maintains its theoretically grounded multiplicative structure and is </w:t>
      </w:r>
      <w:r>
        <w:rPr>
          <w:rFonts w:ascii="Calibri" w:cs="Calibri" w:eastAsia="Calibri" w:hAnsi="Calibri"/>
          <w:b/>
          <w:bCs/>
          <w:sz w:val="22"/>
          <w:szCs w:val="22"/>
        </w:rPr>
        <w:t xml:space="preserve">recalibrated to interpretable scale [1, 100]</w:t>
      </w:r>
      <w:r>
        <w:rPr>
          <w:rFonts w:ascii="Calibri" w:cs="Calibri" w:eastAsia="Calibri" w:hAnsi="Calibri"/>
          <w:sz w:val="22"/>
          <w:szCs w:val="22"/>
        </w:rPr>
        <w:t xml:space="preserve"> via min-max normalisation. The justification of the transformation is articulated in subsection 13.2.</w:t>
      </w:r>
    </w:p>
    <w:p>
      <w:pPr>
        <w:spacing w:after="180" w:before="320"/>
      </w:pPr>
      <w:r>
        <w:rPr>
          <w:rFonts w:ascii="Calibri" w:cs="Calibri" w:eastAsia="Calibri" w:hAnsi="Calibri"/>
          <w:b/>
          <w:bCs/>
          <w:color w:val="1F4E79"/>
          <w:sz w:val="26"/>
          <w:szCs w:val="26"/>
        </w:rPr>
        <w:t xml:space="preserve">13.1 Conceptual definition</w:t>
      </w:r>
    </w:p>
    <w:p>
      <w:pPr>
        <w:spacing w:after="160" w:before="0" w:line="320"/>
        <w:jc w:val="both"/>
      </w:pPr>
      <w:r>
        <w:rPr>
          <w:rFonts w:ascii="Calibri" w:cs="Calibri" w:eastAsia="Calibri" w:hAnsi="Calibri"/>
          <w:sz w:val="22"/>
          <w:szCs w:val="22"/>
        </w:rPr>
        <w:t xml:space="preserve">The OAEI is an operational composite index designed to capture the severity of contractual mismatch under Agentic AI. It combines four ITEA framework dimensions into a single metric that operates as a prioritisation instrument: the higher the OAEI, the greater the structural severity of contractual mismatch and the higher priority for corrective mechanisms (e.g., intellectual capital tokenisation, Paper 8B).</w:t>
      </w:r>
    </w:p>
    <w:p>
      <w:pPr>
        <w:spacing w:after="180" w:before="320"/>
      </w:pPr>
      <w:r>
        <w:rPr>
          <w:rFonts w:ascii="Calibri" w:cs="Calibri" w:eastAsia="Calibri" w:hAnsi="Calibri"/>
          <w:b/>
          <w:bCs/>
          <w:color w:val="1F4E79"/>
          <w:sz w:val="26"/>
          <w:szCs w:val="26"/>
        </w:rPr>
        <w:t xml:space="preserve">13.2 Mathematical formulation (v2.0)</w:t>
      </w:r>
    </w:p>
    <w:p>
      <w:pPr>
        <w:spacing w:after="160" w:before="0" w:line="320"/>
        <w:jc w:val="both"/>
      </w:pPr>
      <w:r>
        <w:rPr>
          <w:rFonts w:ascii="Calibri" w:cs="Calibri" w:eastAsia="Calibri" w:hAnsi="Calibri"/>
          <w:b/>
          <w:bCs/>
          <w:sz w:val="22"/>
          <w:szCs w:val="22"/>
        </w:rPr>
        <w:t xml:space="preserve">Step 1. Calculation of OAEI raw (multiplicative):</w:t>
      </w:r>
    </w:p>
    <w:p>
      <w:pPr>
        <w:spacing w:after="160" w:before="0" w:line="320"/>
        <w:jc w:val="both"/>
      </w:pPr>
      <w:r>
        <w:rPr>
          <w:rFonts w:ascii="Calibri" w:cs="Calibri" w:eastAsia="Calibri" w:hAnsi="Calibri"/>
          <w:b/>
          <w:bCs/>
          <w:color w:val="1F4E79"/>
          <w:sz w:val="22"/>
          <w:szCs w:val="22"/>
        </w:rPr>
        <w:t xml:space="preserve">    OAEI_raw = ITEA × GEE × ICT × (1 − IPI)</w:t>
      </w:r>
    </w:p>
    <w:p>
      <w:pPr>
        <w:spacing w:after="160" w:before="0" w:line="320"/>
        <w:jc w:val="both"/>
      </w:pPr>
      <w:r>
        <w:rPr>
          <w:rFonts w:ascii="Calibri" w:cs="Calibri" w:eastAsia="Calibri" w:hAnsi="Calibri"/>
          <w:b/>
          <w:bCs/>
          <w:sz w:val="22"/>
          <w:szCs w:val="22"/>
        </w:rPr>
        <w:t xml:space="preserve">Step 2. Min-max recalibration to scale [1, 100]:</w:t>
      </w:r>
    </w:p>
    <w:p>
      <w:pPr>
        <w:spacing w:after="160" w:before="0" w:line="320"/>
        <w:jc w:val="both"/>
      </w:pPr>
      <w:r>
        <w:rPr>
          <w:rFonts w:ascii="Calibri" w:cs="Calibri" w:eastAsia="Calibri" w:hAnsi="Calibri"/>
          <w:b/>
          <w:bCs/>
          <w:color w:val="1F4E79"/>
          <w:sz w:val="22"/>
          <w:szCs w:val="22"/>
        </w:rPr>
        <w:t xml:space="preserve">    OAEI v2.0 = 1 + 99 × (OAEI_raw − min(OAEI_raw)) / (max(OAEI_raw) − min(OAEI_raw))</w:t>
      </w:r>
    </w:p>
    <w:p>
      <w:pPr>
        <w:spacing w:after="180" w:before="320"/>
      </w:pPr>
      <w:r>
        <w:rPr>
          <w:rFonts w:ascii="Calibri" w:cs="Calibri" w:eastAsia="Calibri" w:hAnsi="Calibri"/>
          <w:b/>
          <w:bCs/>
          <w:color w:val="1F4E79"/>
          <w:sz w:val="26"/>
          <w:szCs w:val="26"/>
        </w:rPr>
        <w:t xml:space="preserve">13.3 Methodological justification of the transformation</w:t>
      </w:r>
    </w:p>
    <w:p>
      <w:pPr>
        <w:spacing w:after="120" w:before="240"/>
        <w:jc w:val="left"/>
      </w:pPr>
      <w:r>
        <w:rPr>
          <w:rFonts w:ascii="Calibri" w:cs="Calibri" w:eastAsia="Calibri" w:hAnsi="Calibri"/>
          <w:b/>
          <w:bCs/>
          <w:color w:val="1F4E79"/>
          <w:sz w:val="20"/>
          <w:szCs w:val="20"/>
        </w:rPr>
        <w:t xml:space="preserve">Table 13.1. Justification of the OAEI v2.0 recalibration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Property</w:t>
            </w:r>
          </w:p>
        </w:tc>
        <w:tc>
          <w:tcPr>
            <w:tcW w:type="dxa" w:w="7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Justification</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Preserves multiplicativity</w:t>
            </w:r>
          </w:p>
        </w:tc>
        <w:tc>
          <w:tcPr>
            <w:tcW w:type="dxa" w:w="7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The multiplicative OAEI_raw structure is theoretically grounded: no zero factor produces zero expropriation. Without exposure (ITEA = 0) there is no object of automation; without GEE (qualification = 0) there is no valuable human capital to expropriate; without ICT there is no flow of new technical knowledge to crystallise; with IPI = 1 the knowledge remains situated in the worker's body. The recalibration preserves this logic.</w:t>
            </w:r>
          </w:p>
        </w:tc>
      </w:tr>
      <w:tr>
        <w:tc>
          <w:tcPr>
            <w:tcW w:type="dxa" w:w="3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Avoids the formal zero</w:t>
            </w:r>
          </w:p>
        </w:tc>
        <w:tc>
          <w:tcPr>
            <w:tcW w:type="dxa" w:w="7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In the raw version, occupations with any factor at its minimum would produce OAEI close to zero, suggesting "absence of vulnerability" when in reality even occupations with IPI = 1 or low ITEA maintain some residual exposure to algorithmic expropriation. Assigning value 1 to the minimum avoids this misinterpretation.</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Comparable interpretable scale</w:t>
            </w:r>
          </w:p>
        </w:tc>
        <w:tc>
          <w:tcPr>
            <w:tcW w:type="dxa" w:w="7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The [1, 100] scale is directly comparable with the aggregated AEI and with the sectoral convention of "AEI ≥ 64 = high exposure". An OAEI = 80 is directly readable as approximate percentile.</w:t>
            </w:r>
          </w:p>
        </w:tc>
      </w:tr>
      <w:tr>
        <w:tc>
          <w:tcPr>
            <w:tcW w:type="dxa" w:w="3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Rank-order invariant</w:t>
            </w:r>
          </w:p>
        </w:tc>
        <w:tc>
          <w:tcPr>
            <w:tcW w:type="dxa" w:w="7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The min-max transformation is monotonic, so Spearman correlations with any outcome are identical to those of OAEI_raw. Conclusions about most exposed occupations are robust to the recalibration.</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Facilitates policy thresholds</w:t>
            </w:r>
          </w:p>
        </w:tc>
        <w:tc>
          <w:tcPr>
            <w:tcW w:type="dxa" w:w="7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The [1, 100] scale allows direct calibration of operational thresholds: 90th percentile ≈ 75; 95th percentile ≈ 85; 99th percentile ≈ 95. This facilitates the articulation of corrective mechanisms via tokenisation contractual clauses (Paper 8B).</w:t>
            </w:r>
          </w:p>
        </w:tc>
      </w:tr>
    </w:tbl>
    <w:p>
      <w:pPr>
        <w:spacing w:after="180" w:before="320"/>
      </w:pPr>
      <w:r>
        <w:rPr>
          <w:rFonts w:ascii="Calibri" w:cs="Calibri" w:eastAsia="Calibri" w:hAnsi="Calibri"/>
          <w:b/>
          <w:bCs/>
          <w:color w:val="1F4E79"/>
          <w:sz w:val="26"/>
          <w:szCs w:val="26"/>
        </w:rPr>
        <w:t xml:space="preserve">13.4 Theoretical justification of the four factors</w:t>
      </w:r>
    </w:p>
    <w:p>
      <w:pPr>
        <w:spacing w:after="120" w:before="240"/>
        <w:jc w:val="left"/>
      </w:pPr>
      <w:r>
        <w:rPr>
          <w:rFonts w:ascii="Calibri" w:cs="Calibri" w:eastAsia="Calibri" w:hAnsi="Calibri"/>
          <w:b/>
          <w:bCs/>
          <w:color w:val="1F4E79"/>
          <w:sz w:val="20"/>
          <w:szCs w:val="20"/>
        </w:rPr>
        <w:t xml:space="preserve">Table 13.2. Four factors of the OAEI</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5500"/>
      </w:tblGrid>
      <w:tr>
        <w:trPr>
          <w:tblHeader/>
        </w:trPr>
        <w:tc>
          <w:tcPr>
            <w:tcW w:type="dxa" w:w="2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Factor</w:t>
            </w:r>
          </w:p>
        </w:tc>
        <w:tc>
          <w:tcPr>
            <w:tcW w:type="dxa" w:w="2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Type</w:t>
            </w:r>
          </w:p>
        </w:tc>
        <w:tc>
          <w:tcPr>
            <w:tcW w:type="dxa" w:w="5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Justification</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ITEA</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Exposure multiplier</w:t>
            </w:r>
          </w:p>
        </w:tc>
        <w:tc>
          <w:tcPr>
            <w:tcW w:type="dxa" w:w="5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Necessary but insufficient condition: an occupation cannot be subject to expropriation if it is not automatable. Captures the dimension of technical exposure.</w:t>
            </w:r>
          </w:p>
        </w:tc>
      </w:tr>
      <w:tr>
        <w:tc>
          <w:tcPr>
            <w:tcW w:type="dxa" w:w="2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GEE</w:t>
            </w:r>
          </w:p>
        </w:tc>
        <w:tc>
          <w:tcPr>
            <w:tcW w:type="dxa" w:w="2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Human capital multiplier</w:t>
            </w:r>
          </w:p>
        </w:tc>
        <w:tc>
          <w:tcPr>
            <w:tcW w:type="dxa" w:w="5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Captures the stock of invested human capital. The higher the qualification, the higher the potential value of the knowledge to expropriate and, therefore, the greater severity of contractual mismatch.</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ICT</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Technical complexity multiplier</w:t>
            </w:r>
          </w:p>
        </w:tc>
        <w:tc>
          <w:tcPr>
            <w:tcW w:type="dxa" w:w="5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Occupations with high technical complexity require continuous updating and operation outside routines, generating a constant flow of new tacit knowledge susceptible to capture by the Agentic system.</w:t>
            </w:r>
          </w:p>
        </w:tc>
      </w:tr>
      <w:tr>
        <w:tc>
          <w:tcPr>
            <w:tcW w:type="dxa" w:w="2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(1 − IPI)</w:t>
            </w:r>
          </w:p>
        </w:tc>
        <w:tc>
          <w:tcPr>
            <w:tcW w:type="dxa" w:w="2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Presential exclusion factor</w:t>
            </w:r>
          </w:p>
        </w:tc>
        <w:tc>
          <w:tcPr>
            <w:tcW w:type="dxa" w:w="5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Eliminates the physical barrier: occupations requiring face-to-face presence are partially protected because situated knowledge is harder to externalise. (1 − IPI) correctly penalises high in-person presence as a protective factor.</w:t>
            </w:r>
          </w:p>
        </w:tc>
      </w:tr>
    </w:tbl>
    <w:p>
      <w:pPr>
        <w:spacing w:after="180" w:before="320"/>
      </w:pPr>
      <w:r>
        <w:rPr>
          <w:rFonts w:ascii="Calibri" w:cs="Calibri" w:eastAsia="Calibri" w:hAnsi="Calibri"/>
          <w:b/>
          <w:bCs/>
          <w:color w:val="1F4E79"/>
          <w:sz w:val="26"/>
          <w:szCs w:val="26"/>
        </w:rPr>
        <w:t xml:space="preserve">13.5 Descriptive statistics OAEI v2.0</w:t>
      </w:r>
    </w:p>
    <w:p>
      <w:pPr>
        <w:spacing w:after="120" w:before="240"/>
        <w:jc w:val="left"/>
      </w:pPr>
      <w:r>
        <w:rPr>
          <w:rFonts w:ascii="Calibri" w:cs="Calibri" w:eastAsia="Calibri" w:hAnsi="Calibri"/>
          <w:b/>
          <w:bCs/>
          <w:color w:val="1F4E79"/>
          <w:sz w:val="20"/>
          <w:szCs w:val="20"/>
        </w:rPr>
        <w:t xml:space="preserve">Table 13.3. Descriptive statistics of OAEI v2.0 (N = 846 effective occupations)</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4000"/>
        <w:gridCol w:w="3500"/>
        <w:gridCol w:w="4500"/>
      </w:tblGrid>
      <w:tr>
        <w:trPr>
          <w:tblHeader/>
        </w:trPr>
        <w:tc>
          <w:tcPr>
            <w:tcW w:type="dxa" w:w="4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Statistic</w:t>
            </w:r>
          </w:p>
        </w:tc>
        <w:tc>
          <w:tcPr>
            <w:tcW w:type="dxa" w:w="3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Value</w:t>
            </w:r>
          </w:p>
        </w:tc>
        <w:tc>
          <w:tcPr>
            <w:tcW w:type="dxa" w:w="4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Interpretation</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Range</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[1; 100]</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By min-max construction</w:t>
            </w:r>
          </w:p>
        </w:tc>
      </w:tr>
      <w:tr>
        <w:tc>
          <w:tcPr>
            <w:tcW w:type="dxa" w:w="4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Mean</w:t>
            </w:r>
          </w:p>
        </w:tc>
        <w:tc>
          <w:tcPr>
            <w:tcW w:type="dxa" w:w="3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37.36</w:t>
            </w:r>
          </w:p>
        </w:tc>
        <w:tc>
          <w:tcPr>
            <w:tcW w:type="dxa" w:w="4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Skewed distribution with positive tail</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Median</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34.98</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Below the mean: extended right tail</w:t>
            </w:r>
          </w:p>
        </w:tc>
      </w:tr>
      <w:tr>
        <w:tc>
          <w:tcPr>
            <w:tcW w:type="dxa" w:w="4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Standard deviation</w:t>
            </w:r>
          </w:p>
        </w:tc>
        <w:tc>
          <w:tcPr>
            <w:tcW w:type="dxa" w:w="3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23.78</w:t>
            </w:r>
          </w:p>
        </w:tc>
        <w:tc>
          <w:tcPr>
            <w:tcW w:type="dxa" w:w="4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Wide dispersion</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90th percentile</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≈75</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Proposed threshold for tokenisation clauses (Paper 8B)</w:t>
            </w:r>
          </w:p>
        </w:tc>
      </w:tr>
      <w:tr>
        <w:tc>
          <w:tcPr>
            <w:tcW w:type="dxa" w:w="4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95th percentile</w:t>
            </w:r>
          </w:p>
        </w:tc>
        <w:tc>
          <w:tcPr>
            <w:tcW w:type="dxa" w:w="3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≈85</w:t>
            </w:r>
          </w:p>
        </w:tc>
        <w:tc>
          <w:tcPr>
            <w:tcW w:type="dxa" w:w="4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Proposed threshold for reinforced corrective mechanisms</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Top 20 (threshold)</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 82.6</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Most exposed occupations (≈2.4% of the sample)</w:t>
            </w:r>
          </w:p>
        </w:tc>
      </w:tr>
    </w:tbl>
    <w:p>
      <w:pPr>
        <w:spacing w:after="180" w:before="320"/>
      </w:pPr>
      <w:r>
        <w:rPr>
          <w:rFonts w:ascii="Calibri" w:cs="Calibri" w:eastAsia="Calibri" w:hAnsi="Calibri"/>
          <w:b/>
          <w:bCs/>
          <w:color w:val="1F4E79"/>
          <w:sz w:val="26"/>
          <w:szCs w:val="26"/>
        </w:rPr>
        <w:t xml:space="preserve">13.6 Sensitivity analysis</w:t>
      </w:r>
    </w:p>
    <w:p>
      <w:pPr>
        <w:spacing w:after="160" w:before="0" w:line="320"/>
        <w:jc w:val="both"/>
      </w:pPr>
      <w:r>
        <w:rPr>
          <w:rFonts w:ascii="Calibri" w:cs="Calibri" w:eastAsia="Calibri" w:hAnsi="Calibri"/>
          <w:sz w:val="22"/>
          <w:szCs w:val="22"/>
        </w:rPr>
        <w:t xml:space="preserve">To evaluate the robustness of OAEI v2.0 to alternative specifications, two scenarios were calculated:</w:t>
      </w:r>
    </w:p>
    <w:p>
      <w:pPr>
        <w:spacing w:after="120" w:before="240"/>
        <w:jc w:val="left"/>
      </w:pPr>
      <w:r>
        <w:rPr>
          <w:rFonts w:ascii="Calibri" w:cs="Calibri" w:eastAsia="Calibri" w:hAnsi="Calibri"/>
          <w:b/>
          <w:bCs/>
          <w:color w:val="1F4E79"/>
          <w:sz w:val="20"/>
          <w:szCs w:val="20"/>
        </w:rPr>
        <w:t xml:space="preserve">Table 13.4. Sensitivity analysis of the OAEI</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2200"/>
        <w:gridCol w:w="2800"/>
      </w:tblGrid>
      <w:tr>
        <w:trPr>
          <w:tblHeader/>
        </w:trPr>
        <w:tc>
          <w:tcPr>
            <w:tcW w:type="dxa" w:w="1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Scenario</w:t>
            </w:r>
          </w:p>
        </w:tc>
        <w:tc>
          <w:tcPr>
            <w:tcW w:type="dxa" w:w="4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Formula</w:t>
            </w:r>
          </w:p>
        </w:tc>
        <w:tc>
          <w:tcPr>
            <w:tcW w:type="dxa" w:w="22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ρ Spearman vs base</w:t>
            </w:r>
          </w:p>
        </w:tc>
        <w:tc>
          <w:tcPr>
            <w:tcW w:type="dxa" w:w="2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Interpretation</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A (base)</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ITEA × GEE × ICT × (1−IPI)</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1.000</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Reference specification</w:t>
            </w:r>
          </w:p>
        </w:tc>
      </w:tr>
      <w:tr>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B</w:t>
            </w:r>
          </w:p>
        </w:tc>
        <w:tc>
          <w:tcPr>
            <w:tcW w:type="dxa" w:w="4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EIA × GEE × ICT × (1−IPI)</w:t>
            </w:r>
          </w:p>
        </w:tc>
        <w:tc>
          <w:tcPr>
            <w:tcW w:type="dxa" w:w="22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0.94</w:t>
            </w:r>
          </w:p>
        </w:tc>
        <w:tc>
          <w:tcPr>
            <w:tcW w:type="dxa" w:w="2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EIA is the principal driver of the OAEI; the general ITEA does not add substantially different information.</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C</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ITEA × GEE (simplified)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0.67</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Without ICT or (1−IPI), the ranking changes substantially. In-person occupations rise, confirming that (1−IPI) is essential to correctly penalise in-person presence.</w:t>
            </w:r>
          </w:p>
        </w:tc>
      </w:tr>
    </w:tbl>
    <w:p>
      <w:pPr>
        <w:spacing w:after="240" w:before="80"/>
        <w:jc w:val="both"/>
      </w:pPr>
      <w:r>
        <w:rPr>
          <w:rFonts w:ascii="Calibri" w:cs="Calibri" w:eastAsia="Calibri" w:hAnsi="Calibri"/>
          <w:i/>
          <w:iCs/>
          <w:color w:val="666666"/>
          <w:sz w:val="18"/>
          <w:szCs w:val="18"/>
        </w:rPr>
        <w:t xml:space="preserve">OAEI v2.0 is robust to substituting ITEA with its EIA subcomponent (correlation 0.94), suggesting that for future applications EIA could be used instead of the complete ITEA without substantial loss. Eliminating (1−IPI) and ICT (Scenario C) does alter the ranking, confirming the relevance of the four factors.</w:t>
      </w:r>
    </w:p>
    <w:p>
      <w:pPr>
        <w:spacing w:after="180" w:before="320"/>
      </w:pPr>
      <w:r>
        <w:rPr>
          <w:rFonts w:ascii="Calibri" w:cs="Calibri" w:eastAsia="Calibri" w:hAnsi="Calibri"/>
          <w:b/>
          <w:bCs/>
          <w:color w:val="1F4E79"/>
          <w:sz w:val="26"/>
          <w:szCs w:val="26"/>
        </w:rPr>
        <w:t xml:space="preserve">13.7 Python implementation</w:t>
      </w:r>
    </w:p>
    <w:p>
      <w:pPr>
        <w:shd w:fill="F5F5F5" w:val="clear"/>
        <w:spacing w:after="80" w:before="80" w:line="280"/>
        <w:ind w:left="240"/>
      </w:pPr>
      <w:r>
        <w:rPr>
          <w:rFonts w:ascii="Consolas" w:cs="Consolas" w:eastAsia="Consolas" w:hAnsi="Consolas"/>
          <w:sz w:val="18"/>
          <w:szCs w:val="18"/>
        </w:rPr>
        <w:t xml:space="preserve">def calcular_oaei_v2(itea, gee, ict, ipi):</w:t>
      </w:r>
    </w:p>
    <w:p>
      <w:pPr>
        <w:shd w:fill="F5F5F5" w:val="clear"/>
        <w:spacing w:after="80" w:before="80" w:line="280"/>
        <w:ind w:left="240"/>
      </w:pPr>
      <w:r>
        <w:rPr>
          <w:rFonts w:ascii="Consolas" w:cs="Consolas" w:eastAsia="Consolas" w:hAnsi="Consolas"/>
          <w:sz w:val="18"/>
          <w:szCs w:val="18"/>
        </w:rPr>
        <w:t xml:space="preserve">    """OAEI v2.0 = 1 + 99 * (raw - min) / (max - min)</w:t>
      </w:r>
    </w:p>
    <w:p>
      <w:pPr>
        <w:shd w:fill="F5F5F5" w:val="clear"/>
        <w:spacing w:after="80" w:before="80" w:line="280"/>
        <w:ind w:left="240"/>
      </w:pPr>
      <w:r>
        <w:rPr>
          <w:rFonts w:ascii="Consolas" w:cs="Consolas" w:eastAsia="Consolas" w:hAnsi="Consolas"/>
          <w:sz w:val="18"/>
          <w:szCs w:val="18"/>
        </w:rPr>
        <w:t xml:space="preserve">       Where raw = ITEA * GEE * ICT * (1 - IPI)"""</w:t>
      </w:r>
    </w:p>
    <w:p>
      <w:pPr>
        <w:shd w:fill="F5F5F5" w:val="clear"/>
        <w:spacing w:after="80" w:before="80" w:line="280"/>
        <w:ind w:left="240"/>
      </w:pPr>
      <w:r>
        <w:rPr>
          <w:rFonts w:ascii="Consolas" w:cs="Consolas" w:eastAsia="Consolas" w:hAnsi="Consolas"/>
          <w:sz w:val="18"/>
          <w:szCs w:val="18"/>
        </w:rPr>
        <w:t xml:space="preserve">    import numpy as np</w:t>
      </w:r>
    </w:p>
    <w:p>
      <w:pPr>
        <w:shd w:fill="F5F5F5" w:val="clear"/>
        <w:spacing w:after="80" w:before="80" w:line="280"/>
        <w:ind w:left="240"/>
      </w:pPr>
      <w:r>
        <w:rPr>
          <w:rFonts w:ascii="Consolas" w:cs="Consolas" w:eastAsia="Consolas" w:hAnsi="Consolas"/>
          <w:sz w:val="18"/>
          <w:szCs w:val="18"/>
        </w:rPr>
        <w:t xml:space="preserve">    raw = np.asarray(itea) * np.asarray(gee) * np.asarray(ict) * (1 - np.asarray(ipi))</w:t>
      </w:r>
    </w:p>
    <w:p>
      <w:pPr>
        <w:shd w:fill="F5F5F5" w:val="clear"/>
        <w:spacing w:after="80" w:before="80" w:line="280"/>
        <w:ind w:left="240"/>
      </w:pPr>
      <w:r>
        <w:rPr>
          <w:rFonts w:ascii="Consolas" w:cs="Consolas" w:eastAsia="Consolas" w:hAnsi="Consolas"/>
          <w:sz w:val="18"/>
          <w:szCs w:val="18"/>
        </w:rPr>
        <w:t xml:space="preserve">    raw_min, raw_max = raw.min(), raw.max()</w:t>
      </w:r>
    </w:p>
    <w:p>
      <w:pPr>
        <w:shd w:fill="F5F5F5" w:val="clear"/>
        <w:spacing w:after="80" w:before="80" w:line="280"/>
        <w:ind w:left="240"/>
      </w:pPr>
      <w:r>
        <w:rPr>
          <w:rFonts w:ascii="Consolas" w:cs="Consolas" w:eastAsia="Consolas" w:hAnsi="Consolas"/>
          <w:sz w:val="18"/>
          <w:szCs w:val="18"/>
        </w:rPr>
        <w:t xml:space="preserve">    oaei_v2 = 1 + 99 * (raw - raw_min) / (raw_max - raw_min)</w:t>
      </w:r>
    </w:p>
    <w:p>
      <w:pPr>
        <w:shd w:fill="F5F5F5" w:val="clear"/>
        <w:spacing w:after="80" w:before="80" w:line="280"/>
        <w:ind w:left="240"/>
      </w:pPr>
      <w:r>
        <w:rPr>
          <w:rFonts w:ascii="Consolas" w:cs="Consolas" w:eastAsia="Consolas" w:hAnsi="Consolas"/>
          <w:sz w:val="18"/>
          <w:szCs w:val="18"/>
        </w:rPr>
        <w:t xml:space="preserve">    return oaei_v2</w:t>
      </w:r>
    </w:p>
    <w:p>
      <w:r>
        <w:br w:type="page"/>
      </w:r>
    </w:p>
    <w:p>
      <w:pPr>
        <w:spacing w:after="240" w:before="480"/>
      </w:pPr>
      <w:r>
        <w:rPr>
          <w:rFonts w:ascii="Calibri" w:cs="Calibri" w:eastAsia="Calibri" w:hAnsi="Calibri"/>
          <w:b/>
          <w:bCs/>
          <w:color w:val="1F4E79"/>
          <w:sz w:val="32"/>
          <w:szCs w:val="32"/>
        </w:rPr>
        <w:t xml:space="preserve">14. Integrated Validation of the Framework</w:t>
      </w:r>
    </w:p>
    <w:p>
      <w:pPr>
        <w:spacing w:after="180" w:before="320"/>
      </w:pPr>
      <w:r>
        <w:rPr>
          <w:rFonts w:ascii="Calibri" w:cs="Calibri" w:eastAsia="Calibri" w:hAnsi="Calibri"/>
          <w:b/>
          <w:bCs/>
          <w:color w:val="1F4E79"/>
          <w:sz w:val="26"/>
          <w:szCs w:val="26"/>
        </w:rPr>
        <w:t xml:space="preserve">14.1 Correlation matrix (v2.0)</w:t>
      </w:r>
    </w:p>
    <w:p>
      <w:pPr>
        <w:spacing w:after="160" w:before="0" w:line="320"/>
        <w:jc w:val="both"/>
      </w:pPr>
      <w:r>
        <w:rPr>
          <w:rFonts w:ascii="Calibri" w:cs="Calibri" w:eastAsia="Calibri" w:hAnsi="Calibri"/>
          <w:sz w:val="22"/>
          <w:szCs w:val="22"/>
        </w:rPr>
        <w:t xml:space="preserve">The following matrix presents Pearson correlations among the principal indicators of the ITEA Framework v2.0, calculated over N = 846 occupations with complete data. Cells with |r| ≥ 0.70 are highlighted.</w:t>
      </w:r>
    </w:p>
    <w:p>
      <w:pPr>
        <w:spacing w:after="120" w:before="240"/>
        <w:jc w:val="left"/>
      </w:pPr>
      <w:r>
        <w:rPr>
          <w:rFonts w:ascii="Calibri" w:cs="Calibri" w:eastAsia="Calibri" w:hAnsi="Calibri"/>
          <w:b/>
          <w:bCs/>
          <w:color w:val="1F4E79"/>
          <w:sz w:val="20"/>
          <w:szCs w:val="20"/>
        </w:rPr>
        <w:t xml:space="preserve">Table 14.1. Pearson correlation matrix — ITEA Framework v2.0 (N = 846)</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800"/>
        <w:gridCol w:w="800"/>
        <w:gridCol w:w="800"/>
        <w:gridCol w:w="800"/>
        <w:gridCol w:w="800"/>
        <w:gridCol w:w="800"/>
        <w:gridCol w:w="800"/>
        <w:gridCol w:w="800"/>
        <w:gridCol w:w="800"/>
        <w:gridCol w:w="800"/>
      </w:tblGrid>
      <w:tr>
        <w:trPr>
          <w:tblHeader/>
        </w:trPr>
        <w:tc>
          <w:tcPr>
            <w:tcW w:type="dxa" w:w="11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
            </w:r>
          </w:p>
        </w:tc>
        <w:tc>
          <w:tcPr>
            <w:tcW w:type="dxa" w:w="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AEI</w:t>
            </w:r>
          </w:p>
        </w:tc>
        <w:tc>
          <w:tcPr>
            <w:tcW w:type="dxa" w:w="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ITEA</w:t>
            </w:r>
          </w:p>
        </w:tc>
        <w:tc>
          <w:tcPr>
            <w:tcW w:type="dxa" w:w="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EIA</w:t>
            </w:r>
          </w:p>
        </w:tc>
        <w:tc>
          <w:tcPr>
            <w:tcW w:type="dxa" w:w="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IRA</w:t>
            </w:r>
          </w:p>
        </w:tc>
        <w:tc>
          <w:tcPr>
            <w:tcW w:type="dxa" w:w="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GEE</w:t>
            </w:r>
          </w:p>
        </w:tc>
        <w:tc>
          <w:tcPr>
            <w:tcW w:type="dxa" w:w="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ICT</w:t>
            </w:r>
          </w:p>
        </w:tc>
        <w:tc>
          <w:tcPr>
            <w:tcW w:type="dxa" w:w="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IFS</w:t>
            </w:r>
          </w:p>
        </w:tc>
        <w:tc>
          <w:tcPr>
            <w:tcW w:type="dxa" w:w="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IPI</w:t>
            </w:r>
          </w:p>
        </w:tc>
        <w:tc>
          <w:tcPr>
            <w:tcW w:type="dxa" w:w="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IEF</w:t>
            </w:r>
          </w:p>
        </w:tc>
        <w:tc>
          <w:tcPr>
            <w:tcW w:type="dxa" w:w="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OAEI</w:t>
            </w:r>
          </w:p>
        </w:tc>
        <w:tc>
          <w:tcPr>
            <w:tcW w:type="dxa" w:w="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Wage</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AEI</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1.00</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0.72</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0.94</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0.25</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0.45</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−0.01</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0.20</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−0.32</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−0.39</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0.53</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0.41</w:t>
            </w:r>
          </w:p>
        </w:tc>
      </w:tr>
      <w:tr>
        <w:tc>
          <w:tcPr>
            <w:tcW w:type="dxa" w:w="11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ITEA</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0.72</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1.00</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0.54</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0.26</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0.32</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0.02</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0.14</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−0.24</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−0.40</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0.46</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0.32</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EIA</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0.94</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0.54</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1.00</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0.30</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0.51</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0.05</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0.25</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−0.27</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−0.33</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0.52</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0.44</w:t>
            </w:r>
          </w:p>
        </w:tc>
      </w:tr>
      <w:tr>
        <w:tc>
          <w:tcPr>
            <w:tcW w:type="dxa" w:w="11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IRA</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0.25</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0.26</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0.30</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1.00</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0.43</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0.29</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0.33</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−0.42</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−0.20</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0.45</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0.53</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GEE</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0.45</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0.32</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0.51</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0.43</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1.00</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0.18</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0.42</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−0.40</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−0.40</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0.91</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0.69</w:t>
            </w:r>
          </w:p>
        </w:tc>
      </w:tr>
      <w:tr>
        <w:tc>
          <w:tcPr>
            <w:tcW w:type="dxa" w:w="11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ICT</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−0.01</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0.02</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0.05</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0.29</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0.18</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1.00</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0.14</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0.03</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0.04</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0.27</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0.09</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IFS</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0.20</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0.14</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0.25</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0.33</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0.42</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0.14</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1.00</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−0.16</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−0.19</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0.42</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0.39</w:t>
            </w:r>
          </w:p>
        </w:tc>
      </w:tr>
      <w:tr>
        <w:tc>
          <w:tcPr>
            <w:tcW w:type="dxa" w:w="11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IPI</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−0.32</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−0.24</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−0.27</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−0.42</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−0.40</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0.03</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−0.16</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1.00</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0.53</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−0.70</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−0.23</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IEF</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−0.39</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−0.40</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−0.33</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−0.20</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−0.40</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0.04</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−0.19</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0.53</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1.00</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−0.74</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−0.34</w:t>
            </w:r>
          </w:p>
        </w:tc>
      </w:tr>
      <w:tr>
        <w:tc>
          <w:tcPr>
            <w:tcW w:type="dxa" w:w="11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OAEI</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0.53</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0.46</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0.52</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0.45</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0.91</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0.27</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0.42</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−0.70</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−0.74</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1.00</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0.61</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Wage</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0.41</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0.32</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0.44</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0.53</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0.69</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0.09</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0.39</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−0.23</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−0.34</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0.61</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1.00</w:t>
            </w:r>
          </w:p>
        </w:tc>
      </w:tr>
    </w:tbl>
    <w:p>
      <w:pPr>
        <w:spacing w:after="240" w:before="80"/>
        <w:jc w:val="both"/>
      </w:pPr>
      <w:r>
        <w:rPr>
          <w:rFonts w:ascii="Calibri" w:cs="Calibri" w:eastAsia="Calibri" w:hAnsi="Calibri"/>
          <w:i/>
          <w:iCs/>
          <w:color w:val="666666"/>
          <w:sz w:val="18"/>
          <w:szCs w:val="18"/>
        </w:rPr>
        <w:t xml:space="preserve">Critical correlations: r(ITEA, AEI) = 0.72 (principal convergent validity); r(EIA, AEI) = 0.94 (EIA is principal driver of the AEI, validating the analytical articulation of the Agentic regime); r(IRA v2.0, GEE) = 0.43 (discriminant validity resolved in v2.0, from 0.904 in v1.45); r(OAEI v2.0, Wage) = 0.61 (external criterion validity).</w:t>
      </w:r>
    </w:p>
    <w:p>
      <w:pPr>
        <w:spacing w:after="180" w:before="320"/>
      </w:pPr>
      <w:r>
        <w:rPr>
          <w:rFonts w:ascii="Calibri" w:cs="Calibri" w:eastAsia="Calibri" w:hAnsi="Calibri"/>
          <w:b/>
          <w:bCs/>
          <w:color w:val="1F4E79"/>
          <w:sz w:val="26"/>
          <w:szCs w:val="26"/>
        </w:rPr>
        <w:t xml:space="preserve">14.2 Validation table by indicator (v2.0)</w:t>
      </w:r>
    </w:p>
    <w:p>
      <w:pPr>
        <w:spacing w:after="120" w:before="240"/>
        <w:jc w:val="left"/>
      </w:pPr>
      <w:r>
        <w:rPr>
          <w:rFonts w:ascii="Calibri" w:cs="Calibri" w:eastAsia="Calibri" w:hAnsi="Calibri"/>
          <w:b/>
          <w:bCs/>
          <w:color w:val="1F4E79"/>
          <w:sz w:val="20"/>
          <w:szCs w:val="20"/>
        </w:rPr>
        <w:t xml:space="preserve">Table 14.2. Complete validation table of the ITEA Framework v2.0</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500"/>
        <w:gridCol w:w="1500"/>
        <w:gridCol w:w="2800"/>
      </w:tblGrid>
      <w:tr>
        <w:trPr>
          <w:tblHeader/>
        </w:trPr>
        <w:tc>
          <w:tcPr>
            <w:tcW w:type="dxa" w:w="27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Test</w:t>
            </w:r>
          </w:p>
        </w:tc>
        <w:tc>
          <w:tcPr>
            <w:tcW w:type="dxa" w:w="1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Indicator</w:t>
            </w:r>
          </w:p>
        </w:tc>
        <w:tc>
          <w:tcPr>
            <w:tcW w:type="dxa" w:w="1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Value v1.45</w:t>
            </w:r>
          </w:p>
        </w:tc>
        <w:tc>
          <w:tcPr>
            <w:tcW w:type="dxa" w:w="1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Value v2.0</w:t>
            </w:r>
          </w:p>
        </w:tc>
        <w:tc>
          <w:tcPr>
            <w:tcW w:type="dxa" w:w="2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Status</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r(ITEA, AEI) — convergent</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ITEA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0.720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0.720</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 APPROVED (&gt;0.50)</w:t>
            </w:r>
          </w:p>
        </w:tc>
      </w:tr>
      <w:tr>
        <w:tc>
          <w:tcPr>
            <w:tcW w:type="dxa" w:w="27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r(IRA/IRO, GEE) — discriminant</w:t>
            </w:r>
          </w:p>
        </w:tc>
        <w:tc>
          <w:tcPr>
            <w:tcW w:type="dxa" w:w="15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IRA v2.0</w:t>
            </w:r>
          </w:p>
        </w:tc>
        <w:tc>
          <w:tcPr>
            <w:tcW w:type="dxa" w:w="15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0.904 (problem)</w:t>
            </w:r>
          </w:p>
        </w:tc>
        <w:tc>
          <w:tcPr>
            <w:tcW w:type="dxa" w:w="15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0.433</w:t>
            </w:r>
          </w:p>
        </w:tc>
        <w:tc>
          <w:tcPr>
            <w:tcW w:type="dxa" w:w="28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 RESOLVED in v2.0 (&lt;0.70)</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r(OAEI, AEI)</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OAEI</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0.526</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0.526</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 APPROVED (&gt;0.40)</w:t>
            </w:r>
          </w:p>
        </w:tc>
      </w:tr>
      <w:tr>
        <w:tc>
          <w:tcPr>
            <w:tcW w:type="dxa" w:w="27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r(OAEI, Wage_Median) — criterion</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OAEI</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0.607</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0.607</w:t>
            </w:r>
          </w:p>
        </w:tc>
        <w:tc>
          <w:tcPr>
            <w:tcW w:type="dxa" w:w="2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 APPROVED (&gt;0.40)</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Maximum VIF</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ITEA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1.21</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1.21</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 APPROVED (&lt;5)</w:t>
            </w:r>
          </w:p>
        </w:tc>
      </w:tr>
      <w:tr>
        <w:tc>
          <w:tcPr>
            <w:tcW w:type="dxa" w:w="27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Maximum VIF</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ICT</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1.15</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1.15</w:t>
            </w:r>
          </w:p>
        </w:tc>
        <w:tc>
          <w:tcPr>
            <w:tcW w:type="dxa" w:w="2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 APPROVED (&lt;5)</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Cronbach's α</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IFS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0.749</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0.749</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 APPROVED (&gt;0.70)</w:t>
            </w:r>
          </w:p>
        </w:tc>
      </w:tr>
      <w:tr>
        <w:tc>
          <w:tcPr>
            <w:tcW w:type="dxa" w:w="27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Cronbach's α</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IEF</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0.919</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0.919</w:t>
            </w:r>
          </w:p>
        </w:tc>
        <w:tc>
          <w:tcPr>
            <w:tcW w:type="dxa" w:w="2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 APPROVED (&gt;0.70)</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Cronbach's α</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IRA v2.0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0.842 (over IRO)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Not applicable</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 Residualised construct: validity by discrimination</w:t>
            </w:r>
          </w:p>
        </w:tc>
      </w:tr>
      <w:tr>
        <w:tc>
          <w:tcPr>
            <w:tcW w:type="dxa" w:w="27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r(IPI, IFS) — discriminant</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IPI</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−0.156</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−0.156</w:t>
            </w:r>
          </w:p>
        </w:tc>
        <w:tc>
          <w:tcPr>
            <w:tcW w:type="dxa" w:w="2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 APPROVED (&lt;|0.20|)</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ρ Spearman with Job Zone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GEE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0.927</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0.927</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 APPROVED (&gt;0.50)</w:t>
            </w:r>
          </w:p>
        </w:tc>
      </w:tr>
      <w:tr>
        <w:tc>
          <w:tcPr>
            <w:tcW w:type="dxa" w:w="27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Range and scale</w:t>
            </w:r>
          </w:p>
        </w:tc>
        <w:tc>
          <w:tcPr>
            <w:tcW w:type="dxa" w:w="15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OAEI v2.0</w:t>
            </w:r>
          </w:p>
        </w:tc>
        <w:tc>
          <w:tcPr>
            <w:tcW w:type="dxa" w:w="15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 raw]</w:t>
            </w:r>
          </w:p>
        </w:tc>
        <w:tc>
          <w:tcPr>
            <w:tcW w:type="dxa" w:w="15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[1, 100]</w:t>
            </w:r>
          </w:p>
        </w:tc>
        <w:tc>
          <w:tcPr>
            <w:tcW w:type="dxa" w:w="28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 RECALIBRATED in v2.0</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Effective N for analysis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OAEI</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846</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 APPROVED (&gt;500)</w:t>
            </w:r>
          </w:p>
        </w:tc>
      </w:tr>
    </w:tbl>
    <w:p>
      <w:pPr>
        <w:spacing w:after="240" w:before="80"/>
        <w:jc w:val="both"/>
      </w:pPr>
      <w:r>
        <w:rPr>
          <w:rFonts w:ascii="Calibri" w:cs="Calibri" w:eastAsia="Calibri" w:hAnsi="Calibri"/>
          <w:i/>
          <w:iCs/>
          <w:color w:val="666666"/>
          <w:sz w:val="18"/>
          <w:szCs w:val="18"/>
        </w:rPr>
        <w:t xml:space="preserve">The criterion that changes status in v2.0 is the IRA-GEE discriminant validity, resolved by the IRO → IRA reconceptualisation. Cronbach's α for IRA v2.0 is marked as "not applicable" because the construct structure combines normalised component (CA_norm) with orthogonal residuals (IRO_residual_norm); the traditional α calculation does not apply to residualised constructs. IRA validation is articulated via discrimination against GEE.</w:t>
      </w:r>
    </w:p>
    <w:p>
      <w:pPr>
        <w:spacing w:after="180" w:before="320"/>
      </w:pPr>
      <w:r>
        <w:rPr>
          <w:rFonts w:ascii="Calibri" w:cs="Calibri" w:eastAsia="Calibri" w:hAnsi="Calibri"/>
          <w:b/>
          <w:bCs/>
          <w:color w:val="1F4E79"/>
          <w:sz w:val="26"/>
          <w:szCs w:val="26"/>
        </w:rPr>
        <w:t xml:space="preserve">14.3 GEE × IRA quadrant analysis: central finding of v2.0</w:t>
      </w:r>
    </w:p>
    <w:p>
      <w:pPr>
        <w:spacing w:after="160" w:before="0" w:line="320"/>
        <w:jc w:val="both"/>
      </w:pPr>
      <w:r>
        <w:rPr>
          <w:rFonts w:ascii="Calibri" w:cs="Calibri" w:eastAsia="Calibri" w:hAnsi="Calibri"/>
          <w:sz w:val="22"/>
          <w:szCs w:val="22"/>
        </w:rPr>
        <w:t xml:space="preserve">The IRA v2.0 reconceptualisation opens an empirical analysis impossible under the v1.45 formulation due to instrumental duplication: the </w:t>
      </w:r>
      <w:r>
        <w:rPr>
          <w:rFonts w:ascii="Calibri" w:cs="Calibri" w:eastAsia="Calibri" w:hAnsi="Calibri"/>
          <w:b/>
          <w:bCs/>
          <w:sz w:val="22"/>
          <w:szCs w:val="22"/>
        </w:rPr>
        <w:t xml:space="preserve">GEE × IRA quadrant analysis</w:t>
      </w:r>
      <w:r>
        <w:rPr>
          <w:rFonts w:ascii="Calibri" w:cs="Calibri" w:eastAsia="Calibri" w:hAnsi="Calibri"/>
          <w:sz w:val="22"/>
          <w:szCs w:val="22"/>
        </w:rPr>
        <w:t xml:space="preserve">. Dividing the 846 effective occupations by the median of each variable, four quadrants are obtained:</w:t>
      </w:r>
    </w:p>
    <w:p>
      <w:pPr>
        <w:spacing w:after="120" w:before="240"/>
        <w:jc w:val="left"/>
      </w:pPr>
      <w:r>
        <w:rPr>
          <w:rFonts w:ascii="Calibri" w:cs="Calibri" w:eastAsia="Calibri" w:hAnsi="Calibri"/>
          <w:b/>
          <w:bCs/>
          <w:color w:val="1F4E79"/>
          <w:sz w:val="20"/>
          <w:szCs w:val="20"/>
        </w:rPr>
        <w:t xml:space="preserve">Table 14.3. GEE × IRA v2.0 quadrant analysis (medians as thresholds)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500"/>
        <w:gridCol w:w="1100"/>
        <w:gridCol w:w="1500"/>
        <w:gridCol w:w="1500"/>
        <w:gridCol w:w="1500"/>
        <w:gridCol w:w="1300"/>
      </w:tblGrid>
      <w:tr>
        <w:trPr>
          <w:tblHeader/>
        </w:trPr>
        <w:tc>
          <w:tcPr>
            <w:tcW w:type="dxa" w:w="3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Quadrant</w:t>
            </w:r>
          </w:p>
        </w:tc>
        <w:tc>
          <w:tcPr>
            <w:tcW w:type="dxa" w:w="11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N</w:t>
            </w:r>
          </w:p>
        </w:tc>
        <w:tc>
          <w:tcPr>
            <w:tcW w:type="dxa" w:w="1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Mean GEE</w:t>
            </w:r>
          </w:p>
        </w:tc>
        <w:tc>
          <w:tcPr>
            <w:tcW w:type="dxa" w:w="1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Mean IRA</w:t>
            </w:r>
          </w:p>
        </w:tc>
        <w:tc>
          <w:tcPr>
            <w:tcW w:type="dxa" w:w="1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Mean OAEI</w:t>
            </w:r>
          </w:p>
        </w:tc>
        <w:tc>
          <w:tcPr>
            <w:tcW w:type="dxa" w:w="13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Mean AEI</w:t>
            </w:r>
          </w:p>
        </w:tc>
      </w:tr>
      <w:tr>
        <w:tc>
          <w:tcPr>
            <w:tcW w:type="dxa" w:w="35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Q1: high GEE × high IRA</w:t>
            </w:r>
          </w:p>
        </w:tc>
        <w:tc>
          <w:tcPr>
            <w:tcW w:type="dxa" w:w="11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267</w:t>
            </w:r>
          </w:p>
        </w:tc>
        <w:tc>
          <w:tcPr>
            <w:tcW w:type="dxa" w:w="15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0.725</w:t>
            </w:r>
          </w:p>
        </w:tc>
        <w:tc>
          <w:tcPr>
            <w:tcW w:type="dxa" w:w="15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0.358</w:t>
            </w:r>
          </w:p>
        </w:tc>
        <w:tc>
          <w:tcPr>
            <w:tcW w:type="dxa" w:w="15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61.52</w:t>
            </w:r>
          </w:p>
        </w:tc>
        <w:tc>
          <w:tcPr>
            <w:tcW w:type="dxa" w:w="13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60.07</w:t>
            </w:r>
          </w:p>
        </w:tc>
      </w:tr>
      <w:tr>
        <w:tc>
          <w:tcPr>
            <w:tcW w:type="dxa" w:w="3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Q4: high GEE × low IRA</w:t>
            </w:r>
          </w:p>
        </w:tc>
        <w:tc>
          <w:tcPr>
            <w:tcW w:type="dxa" w:w="11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156</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0.706</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0.124</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47.41</w:t>
            </w:r>
          </w:p>
        </w:tc>
        <w:tc>
          <w:tcPr>
            <w:tcW w:type="dxa" w:w="13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58.22</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Q3: low GEE × low IRA</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267</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0.247</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0.108</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17.46</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50.12</w:t>
            </w:r>
          </w:p>
        </w:tc>
      </w:tr>
      <w:tr>
        <w:tc>
          <w:tcPr>
            <w:tcW w:type="dxa" w:w="3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Q2: low GEE × high IRA</w:t>
            </w:r>
          </w:p>
        </w:tc>
        <w:tc>
          <w:tcPr>
            <w:tcW w:type="dxa" w:w="11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156</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0.295</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0.326</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16.75</w:t>
            </w:r>
          </w:p>
        </w:tc>
        <w:tc>
          <w:tcPr>
            <w:tcW w:type="dxa" w:w="13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50.46</w:t>
            </w:r>
          </w:p>
        </w:tc>
      </w:tr>
    </w:tbl>
    <w:p>
      <w:pPr>
        <w:spacing w:after="240" w:before="80"/>
        <w:jc w:val="both"/>
      </w:pPr>
      <w:r>
        <w:rPr>
          <w:rFonts w:ascii="Calibri" w:cs="Calibri" w:eastAsia="Calibri" w:hAnsi="Calibri"/>
          <w:i/>
          <w:iCs/>
          <w:color w:val="666666"/>
          <w:sz w:val="18"/>
          <w:szCs w:val="18"/>
        </w:rPr>
        <w:t xml:space="preserve">Quadrants defined over the medians of GEE (0.468) and IRA v2.0 (0.180). Central finding of version 2.0: the maximum exposure quadrant is Q1 (high GEE × high IRA, mean OAEI = 61.52), not Q4 (high GEE × low IRA, mean OAEI = 47.41). The combination of high human capital with high adaptability does not protect under Agentic regime; it amplifies the crystallisation of intellectual capital into proprietary Agentic assets.</w:t>
      </w:r>
    </w:p>
    <w:p>
      <w:pPr>
        <w:spacing w:after="160" w:before="0" w:line="320"/>
        <w:jc w:val="both"/>
      </w:pPr>
      <w:r>
        <w:rPr>
          <w:rFonts w:ascii="Calibri" w:cs="Calibri" w:eastAsia="Calibri" w:hAnsi="Calibri"/>
          <w:b/>
          <w:bCs/>
          <w:color w:val="1F4E79"/>
          <w:sz w:val="22"/>
          <w:szCs w:val="22"/>
        </w:rPr>
        <w:t xml:space="preserve">Analytical interpretation of the Insider-Outsider inversion</w:t>
      </w:r>
    </w:p>
    <w:p>
      <w:pPr>
        <w:spacing w:after="160" w:before="0" w:line="320"/>
        <w:jc w:val="both"/>
      </w:pPr>
      <w:r>
        <w:rPr>
          <w:rFonts w:ascii="Calibri" w:cs="Calibri" w:eastAsia="Calibri" w:hAnsi="Calibri"/>
          <w:sz w:val="22"/>
          <w:szCs w:val="22"/>
        </w:rPr>
        <w:t xml:space="preserve">Under the canonical industrial regime, Lindbeck and Snower's Insider-Outsider theory would predict that workers with high qualification (classical insiders) are protected against technological shocks. Under Agentic regime, this prediction is structurally inverted. But the inversion is NOT a substitution of the protective axiom (“if GEE does not protect, then IRA protects”); it is the dissolution of the axiom itself.</w:t>
      </w:r>
    </w:p>
    <w:p>
      <w:pPr>
        <w:spacing w:after="160" w:before="0" w:line="320"/>
        <w:jc w:val="both"/>
      </w:pPr>
      <w:r>
        <w:rPr>
          <w:rFonts w:ascii="Calibri" w:cs="Calibri" w:eastAsia="Calibri" w:hAnsi="Calibri"/>
          <w:sz w:val="22"/>
          <w:szCs w:val="22"/>
        </w:rPr>
        <w:t xml:space="preserve">The maximum exposure quadrant is Q1 (high GEE × high IRA), not Q4. The combination of high human capital with high adaptive capacity </w:t>
      </w:r>
      <w:r>
        <w:rPr>
          <w:rFonts w:ascii="Calibri" w:cs="Calibri" w:eastAsia="Calibri" w:hAnsi="Calibri"/>
          <w:i/>
          <w:iCs/>
          <w:sz w:val="22"/>
          <w:szCs w:val="22"/>
        </w:rPr>
        <w:t xml:space="preserve">amplifies</w:t>
      </w:r>
      <w:r>
        <w:rPr>
          <w:rFonts w:ascii="Calibri" w:cs="Calibri" w:eastAsia="Calibri" w:hAnsi="Calibri"/>
          <w:sz w:val="22"/>
          <w:szCs w:val="22"/>
        </w:rPr>
        <w:t xml:space="preserve"> vulnerability. The reason is operational: the Agentic system feeds precisely on the SECI spiral that the adaptive worker with high qualification continuously generates. Each new project, each client case attended, each novel analysis produced by a “classical insider” worker enriches the training corpus of the proprietary Agentic system, crystallising intellectual capital that the firm can operate indefinitely independently of the original workforce rotation.</w:t>
      </w:r>
    </w:p>
    <w:p>
      <w:pPr>
        <w:spacing w:after="160" w:before="0" w:line="320"/>
        <w:jc w:val="both"/>
      </w:pPr>
      <w:r>
        <w:rPr>
          <w:rFonts w:ascii="Calibri" w:cs="Calibri" w:eastAsia="Calibri" w:hAnsi="Calibri"/>
          <w:sz w:val="22"/>
          <w:szCs w:val="22"/>
        </w:rPr>
        <w:t xml:space="preserve">Quadrants Q2 and Q3 (low GEE) present nearly identical mean OAEI (16.75 and 17.46), indicating that in the absence of valuable human capital no adaptive factor significantly modifies the expropriation risk: if there is no valuable intellectual capital to crystallise, the expropriation dynamic does not operate.</w:t>
      </w:r>
    </w:p>
    <w:p>
      <w:r>
        <w:br w:type="page"/>
      </w:r>
    </w:p>
    <w:p>
      <w:pPr>
        <w:spacing w:after="240" w:before="480"/>
      </w:pPr>
      <w:r>
        <w:rPr>
          <w:rFonts w:ascii="Calibri" w:cs="Calibri" w:eastAsia="Calibri" w:hAnsi="Calibri"/>
          <w:b/>
          <w:bCs/>
          <w:color w:val="1F4E79"/>
          <w:sz w:val="32"/>
          <w:szCs w:val="32"/>
        </w:rPr>
        <w:t xml:space="preserve">15. Version History (v1.0 → v2.0)</w:t>
      </w:r>
    </w:p>
    <w:p>
      <w:pPr>
        <w:spacing w:after="120" w:before="240"/>
        <w:jc w:val="left"/>
      </w:pPr>
      <w:r>
        <w:rPr>
          <w:rFonts w:ascii="Calibri" w:cs="Calibri" w:eastAsia="Calibri" w:hAnsi="Calibri"/>
          <w:b/>
          <w:bCs/>
          <w:color w:val="1F4E79"/>
          <w:sz w:val="20"/>
          <w:szCs w:val="20"/>
        </w:rPr>
        <w:t xml:space="preserve">Table 15.1. Complete version history of the ITEA Framework</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1100"/>
        <w:gridCol w:w="6000"/>
        <w:gridCol w:w="1500"/>
        <w:gridCol w:w="1500"/>
        <w:gridCol w:w="1500"/>
      </w:tblGrid>
      <w:tr>
        <w:trPr>
          <w:tblHeader/>
        </w:trPr>
        <w:tc>
          <w:tcPr>
            <w:tcW w:type="dxa" w:w="11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Version</w:t>
            </w:r>
          </w:p>
        </w:tc>
        <w:tc>
          <w:tcPr>
            <w:tcW w:type="dxa" w:w="6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Main change</w:t>
            </w:r>
          </w:p>
        </w:tc>
        <w:tc>
          <w:tcPr>
            <w:tcW w:type="dxa" w:w="1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r(ITEA,AEI)</w:t>
            </w:r>
          </w:p>
        </w:tc>
        <w:tc>
          <w:tcPr>
            <w:tcW w:type="dxa" w:w="1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r(IRO/IRA, GEE)</w:t>
            </w:r>
          </w:p>
        </w:tc>
        <w:tc>
          <w:tcPr>
            <w:tcW w:type="dxa" w:w="1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OAEI scale</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v1.0</w:t>
            </w:r>
          </w:p>
        </w:tc>
        <w:tc>
          <w:tcPr>
            <w:tcW w:type="dxa" w:w="6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Uniform theoretical weights; first articulation of the framework</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0.487</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w:t>
            </w:r>
          </w:p>
        </w:tc>
      </w:tr>
      <w:tr>
        <w:tc>
          <w:tcPr>
            <w:tcW w:type="dxa" w:w="11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v1.1</w:t>
            </w:r>
          </w:p>
        </w:tc>
        <w:tc>
          <w:tcPr>
            <w:tcW w:type="dxa" w:w="6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Additive aggregation; first version of IRO</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0.543</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v1.2</w:t>
            </w:r>
          </w:p>
        </w:tc>
        <w:tc>
          <w:tcPr>
            <w:tcW w:type="dxa" w:w="6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OLS calibration of GEE; IMO bugfix; component refinement</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0.561</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0.890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w:t>
            </w:r>
          </w:p>
        </w:tc>
      </w:tr>
      <w:tr>
        <w:tc>
          <w:tcPr>
            <w:tcW w:type="dxa" w:w="11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v1.3</w:t>
            </w:r>
          </w:p>
        </w:tc>
        <w:tc>
          <w:tcPr>
            <w:tcW w:type="dxa" w:w="6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CC reformulation; IPI extraction from IFS (α 0.516 → 0.749)</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0.572</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0.892</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OAEI raw introduced</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v1.4</w:t>
            </w:r>
          </w:p>
        </w:tc>
        <w:tc>
          <w:tcPr>
            <w:tcW w:type="dxa" w:w="6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Complete methodological documentation (chapters per indicator)</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0.572</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0.892</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OAEI raw</w:t>
            </w:r>
          </w:p>
        </w:tc>
      </w:tr>
      <w:tr>
        <w:tc>
          <w:tcPr>
            <w:tcW w:type="dxa" w:w="11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v1.45</w:t>
            </w:r>
          </w:p>
        </w:tc>
        <w:tc>
          <w:tcPr>
            <w:tcW w:type="dxa" w:w="6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Optimised CC reduced to 2 items; ordinal version of GEE</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0.720</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0.904 (problem)</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OAEI raw</w:t>
            </w:r>
          </w:p>
        </w:tc>
      </w:tr>
      <w:tr>
        <w:tc>
          <w:tcPr>
            <w:tcW w:type="dxa" w:w="11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v2.0</w:t>
            </w:r>
          </w:p>
        </w:tc>
        <w:tc>
          <w:tcPr>
            <w:tcW w:type="dxa" w:w="60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IRO → IRA v2.0 reconceptualisation; OAEI scale [1, 100]; AEI explicitly articulated</w:t>
            </w:r>
          </w:p>
        </w:tc>
        <w:tc>
          <w:tcPr>
            <w:tcW w:type="dxa" w:w="15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0.720</w:t>
            </w:r>
          </w:p>
        </w:tc>
        <w:tc>
          <w:tcPr>
            <w:tcW w:type="dxa" w:w="15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0.433</w:t>
            </w:r>
          </w:p>
        </w:tc>
        <w:tc>
          <w:tcPr>
            <w:tcW w:type="dxa" w:w="15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[1, 100]</w:t>
            </w:r>
          </w:p>
        </w:tc>
      </w:tr>
    </w:tbl>
    <w:p>
      <w:pPr>
        <w:spacing w:after="240" w:before="80"/>
        <w:jc w:val="both"/>
      </w:pPr>
      <w:r>
        <w:rPr>
          <w:rFonts w:ascii="Calibri" w:cs="Calibri" w:eastAsia="Calibri" w:hAnsi="Calibri"/>
          <w:i/>
          <w:iCs/>
          <w:color w:val="666666"/>
          <w:sz w:val="18"/>
          <w:szCs w:val="18"/>
        </w:rPr>
        <w:t xml:space="preserve">The v1.45 → v2.0 jump marks a MAJOR (not minor) version change due to the structural reconceptualisation of the IRO as IRA. The analytical interpretation of the framework changes (from "general resilience" to "adaptive resilience orthogonal to qualification"), although most indicators remain without structural changes.</w:t>
      </w:r>
    </w:p>
    <w:p>
      <w:pPr>
        <w:spacing w:after="180" w:before="320"/>
      </w:pPr>
      <w:r>
        <w:rPr>
          <w:rFonts w:ascii="Calibri" w:cs="Calibri" w:eastAsia="Calibri" w:hAnsi="Calibri"/>
          <w:b/>
          <w:bCs/>
          <w:color w:val="1F4E79"/>
          <w:sz w:val="26"/>
          <w:szCs w:val="26"/>
        </w:rPr>
        <w:t xml:space="preserve">15.1 Summary of changes v1.45 → v2.0</w:t>
      </w:r>
    </w:p>
    <w:p>
      <w:pPr>
        <w:spacing w:after="120" w:before="240"/>
        <w:jc w:val="left"/>
      </w:pPr>
      <w:r>
        <w:rPr>
          <w:rFonts w:ascii="Calibri" w:cs="Calibri" w:eastAsia="Calibri" w:hAnsi="Calibri"/>
          <w:b/>
          <w:bCs/>
          <w:color w:val="1F4E79"/>
          <w:sz w:val="20"/>
          <w:szCs w:val="20"/>
        </w:rPr>
        <w:t xml:space="preserve">Table 15.2. Executive synthesis of changes v1.45 → v2.0</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7100"/>
      </w:tblGrid>
      <w:tr>
        <w:trPr>
          <w:tblHeader/>
        </w:trPr>
        <w:tc>
          <w:tcPr>
            <w:tcW w:type="dxa" w:w="16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Component</w:t>
            </w:r>
          </w:p>
        </w:tc>
        <w:tc>
          <w:tcPr>
            <w:tcW w:type="dxa" w:w="13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Change?</w:t>
            </w:r>
          </w:p>
        </w:tc>
        <w:tc>
          <w:tcPr>
            <w:tcW w:type="dxa" w:w="71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Description</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ITEA</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NO</w:t>
            </w:r>
          </w:p>
        </w:tc>
        <w:tc>
          <w:tcPr>
            <w:tcW w:type="dxa" w:w="7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No changes (1/3, 1/3, 1/3 over EAC, EIG, EIA)</w:t>
            </w:r>
          </w:p>
        </w:tc>
      </w:tr>
      <w:tr>
        <w:tc>
          <w:tcPr>
            <w:tcW w:type="dxa" w:w="16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EAC, EIG, EIA</w:t>
            </w:r>
          </w:p>
        </w:tc>
        <w:tc>
          <w:tcPr>
            <w:tcW w:type="dxa" w:w="13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NO</w:t>
            </w:r>
          </w:p>
        </w:tc>
        <w:tc>
          <w:tcPr>
            <w:tcW w:type="dxa" w:w="71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Subcomponents maintained</w:t>
            </w:r>
          </w:p>
        </w:tc>
      </w:tr>
      <w:tr>
        <w:tc>
          <w:tcPr>
            <w:tcW w:type="dxa" w:w="16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IRO → IRA v2.0</w:t>
            </w:r>
          </w:p>
        </w:tc>
        <w:tc>
          <w:tcPr>
            <w:tcW w:type="dxa" w:w="13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YES (structural)</w:t>
            </w:r>
          </w:p>
        </w:tc>
        <w:tc>
          <w:tcPr>
            <w:tcW w:type="dxa" w:w="71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Complete reconceptualisation: IRA = 0.60·CA_norm + 0.40·IRO_residual_norm. r with GEE: 0.904 → 0.433.</w:t>
            </w:r>
          </w:p>
        </w:tc>
      </w:tr>
      <w:tr>
        <w:tc>
          <w:tcPr>
            <w:tcW w:type="dxa" w:w="16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ICT</w:t>
            </w:r>
          </w:p>
        </w:tc>
        <w:tc>
          <w:tcPr>
            <w:tcW w:type="dxa" w:w="13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NO</w:t>
            </w:r>
          </w:p>
        </w:tc>
        <w:tc>
          <w:tcPr>
            <w:tcW w:type="dxa" w:w="71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No changes</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IFS</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NO</w:t>
            </w:r>
          </w:p>
        </w:tc>
        <w:tc>
          <w:tcPr>
            <w:tcW w:type="dxa" w:w="7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No changes</w:t>
            </w:r>
          </w:p>
        </w:tc>
      </w:tr>
      <w:tr>
        <w:tc>
          <w:tcPr>
            <w:tcW w:type="dxa" w:w="16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IPI</w:t>
            </w:r>
          </w:p>
        </w:tc>
        <w:tc>
          <w:tcPr>
            <w:tcW w:type="dxa" w:w="13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NO</w:t>
            </w:r>
          </w:p>
        </w:tc>
        <w:tc>
          <w:tcPr>
            <w:tcW w:type="dxa" w:w="71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No changes</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IEF</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NO</w:t>
            </w:r>
          </w:p>
        </w:tc>
        <w:tc>
          <w:tcPr>
            <w:tcW w:type="dxa" w:w="7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No changes</w:t>
            </w:r>
          </w:p>
        </w:tc>
      </w:tr>
      <w:tr>
        <w:tc>
          <w:tcPr>
            <w:tcW w:type="dxa" w:w="16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GEE</w:t>
            </w:r>
          </w:p>
        </w:tc>
        <w:tc>
          <w:tcPr>
            <w:tcW w:type="dxa" w:w="13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NO</w:t>
            </w:r>
          </w:p>
        </w:tc>
        <w:tc>
          <w:tcPr>
            <w:tcW w:type="dxa" w:w="71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No changes; expanded structural role (independent variable of the residualisation step for IRA)</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IMO</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NO</w:t>
            </w:r>
          </w:p>
        </w:tc>
        <w:tc>
          <w:tcPr>
            <w:tcW w:type="dxa" w:w="7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No changes; remains an auxiliary dimension (not entering OAEI)</w:t>
            </w:r>
          </w:p>
        </w:tc>
      </w:tr>
      <w:tr>
        <w:tc>
          <w:tcPr>
            <w:tcW w:type="dxa" w:w="16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AEI</w:t>
            </w:r>
          </w:p>
        </w:tc>
        <w:tc>
          <w:tcPr>
            <w:tcW w:type="dxa" w:w="13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YES (documentation)</w:t>
            </w:r>
          </w:p>
        </w:tc>
        <w:tc>
          <w:tcPr>
            <w:tcW w:type="dxa" w:w="71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Explicitly articulated with complete formula, distribution tables and weight justification. No change in its mathematical construction.</w:t>
            </w:r>
          </w:p>
        </w:tc>
      </w:tr>
      <w:tr>
        <w:tc>
          <w:tcPr>
            <w:tcW w:type="dxa" w:w="16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OAEI</w:t>
            </w:r>
          </w:p>
        </w:tc>
        <w:tc>
          <w:tcPr>
            <w:tcW w:type="dxa" w:w="13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YES (scale)</w:t>
            </w:r>
          </w:p>
        </w:tc>
        <w:tc>
          <w:tcPr>
            <w:tcW w:type="dxa" w:w="71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Recalibration to [1, 100] via min-max. Preserves multiplicative raw formula.</w:t>
            </w:r>
          </w:p>
        </w:tc>
      </w:tr>
    </w:tbl>
    <w:p>
      <w:r>
        <w:br w:type="page"/>
      </w:r>
    </w:p>
    <w:p>
      <w:pPr>
        <w:spacing w:after="240" w:before="480"/>
      </w:pPr>
      <w:r>
        <w:rPr>
          <w:rFonts w:ascii="Calibri" w:cs="Calibri" w:eastAsia="Calibri" w:hAnsi="Calibri"/>
          <w:b/>
          <w:bCs/>
          <w:color w:val="1F4E79"/>
          <w:sz w:val="32"/>
          <w:szCs w:val="32"/>
        </w:rPr>
        <w:t xml:space="preserve">16. Limitations and Future Work</w:t>
      </w:r>
    </w:p>
    <w:p>
      <w:pPr>
        <w:spacing w:after="180" w:before="320"/>
      </w:pPr>
      <w:r>
        <w:rPr>
          <w:rFonts w:ascii="Calibri" w:cs="Calibri" w:eastAsia="Calibri" w:hAnsi="Calibri"/>
          <w:b/>
          <w:bCs/>
          <w:color w:val="1F4E79"/>
          <w:sz w:val="26"/>
          <w:szCs w:val="26"/>
        </w:rPr>
        <w:t xml:space="preserve">16.1 Acknowledged limitations</w:t>
      </w:r>
    </w:p>
    <w:p>
      <w:pPr>
        <w:spacing w:after="120" w:before="240"/>
        <w:jc w:val="left"/>
      </w:pPr>
      <w:r>
        <w:rPr>
          <w:rFonts w:ascii="Calibri" w:cs="Calibri" w:eastAsia="Calibri" w:hAnsi="Calibri"/>
          <w:b/>
          <w:bCs/>
          <w:color w:val="1F4E79"/>
          <w:sz w:val="20"/>
          <w:szCs w:val="20"/>
        </w:rPr>
        <w:t xml:space="preserve">Table 16.1. Limitations of the ITEA Framework v2.0</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Limitation</w:t>
            </w:r>
          </w:p>
        </w:tc>
        <w:tc>
          <w:tcPr>
            <w:tcW w:type="dxa" w:w="7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Description</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L1. Cross-sectional O*NET data</w:t>
            </w:r>
          </w:p>
        </w:tc>
        <w:tc>
          <w:tcPr>
            <w:tcW w:type="dxa" w:w="7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O*NET 2024 v29.1 is a cross-sectional snapshot and does not capture the dynamics of Agentic AI adoption in real time. The measured exposure is potential, not actual. Mitigable with longitudinal corporate adoption surveys (Bain, McKinsey, Brookings, Anthropic Economic Index).</w:t>
            </w:r>
          </w:p>
        </w:tc>
      </w:tr>
      <w:tr>
        <w:tc>
          <w:tcPr>
            <w:tcW w:type="dxa" w:w="3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L2. Equal ITEA weights</w:t>
            </w:r>
          </w:p>
        </w:tc>
        <w:tc>
          <w:tcPr>
            <w:tcW w:type="dxa" w:w="7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The 1/3, 1/3, 1/3 weighting of EAC, EIG, EIA is a simplification. Empirical calibration via PCA or SEM is a priority for v2.1.</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L3. AEI based on qualitative classifications</w:t>
            </w:r>
          </w:p>
        </w:tc>
        <w:tc>
          <w:tcPr>
            <w:tcW w:type="dxa" w:w="7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The AEI is built on HIGH/TRANS/LOW and HIGH_ALGO/MEDIUM_SC/LOW_TRANS classifications assigned by documented methodological judgment (not empirical measurement of actual adoption). They constitute, in the honest articulation of the auxiliary dataset itself, "potential classifications". Mitigable with actual sectoral adoption data.</w:t>
            </w:r>
          </w:p>
        </w:tc>
      </w:tr>
      <w:tr>
        <w:tc>
          <w:tcPr>
            <w:tcW w:type="dxa" w:w="3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L4. Residual IRA-GEE correlation</w:t>
            </w:r>
          </w:p>
        </w:tc>
        <w:tc>
          <w:tcPr>
            <w:tcW w:type="dxa" w:w="7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The IRA v2.0 reformulation reduces the collinearity with GEE but does not eliminate it (r = 0.433). This reflects the natural association between qualification and operational adaptability that no methodological adjustment can eliminate without reducing IRA construct validity.</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L5. IRA Cronbach's α not applicable</w:t>
            </w:r>
          </w:p>
        </w:tc>
        <w:tc>
          <w:tcPr>
            <w:tcW w:type="dxa" w:w="7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The traditional α calculation does not apply to residualised constructs. IRA validation is articulated via discrimination against GEE instead of internal consistency.</w:t>
            </w:r>
          </w:p>
        </w:tc>
      </w:tr>
      <w:tr>
        <w:tc>
          <w:tcPr>
            <w:tcW w:type="dxa" w:w="3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L6. US calibration</w:t>
            </w:r>
          </w:p>
        </w:tc>
        <w:tc>
          <w:tcPr>
            <w:tcW w:type="dxa" w:w="7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The framework is calibrated for the US labour market (O*NET = SOC). Applicability to other markets would require adaptation of components anchored in Job Zone (especially GEE).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L7. Formal scope of the OAEI</w:t>
            </w:r>
          </w:p>
        </w:tc>
        <w:tc>
          <w:tcPr>
            <w:tcW w:type="dxa" w:w="7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The OAEI captures structural severity of contractual mismatch but does not formalise the corrective mechanism. The formalisation via intellectual capital tokenisation is developed in Paper 8B.</w:t>
            </w:r>
          </w:p>
        </w:tc>
      </w:tr>
    </w:tbl>
    <w:p>
      <w:pPr>
        <w:spacing w:after="180" w:before="320"/>
      </w:pPr>
      <w:r>
        <w:rPr>
          <w:rFonts w:ascii="Calibri" w:cs="Calibri" w:eastAsia="Calibri" w:hAnsi="Calibri"/>
          <w:b/>
          <w:bCs/>
          <w:color w:val="1F4E79"/>
          <w:sz w:val="26"/>
          <w:szCs w:val="26"/>
        </w:rPr>
        <w:t xml:space="preserve">16.2 Work plan for v2.1</w:t>
      </w:r>
    </w:p>
    <w:p>
      <w:pPr>
        <w:spacing w:after="160" w:before="0" w:line="320"/>
        <w:jc w:val="both"/>
      </w:pPr>
      <w:r>
        <w:rPr>
          <w:rFonts w:ascii="Calibri" w:cs="Calibri" w:eastAsia="Calibri" w:hAnsi="Calibri"/>
          <w:sz w:val="22"/>
          <w:szCs w:val="22"/>
        </w:rPr>
        <w:t xml:space="preserve">Four improvement lines identified for future versions:</w:t>
      </w:r>
    </w:p>
    <w:p>
      <w:pPr>
        <w:pStyle w:val="ListParagraph"/>
        <w:numPr>
          <w:ilvl w:val="0"/>
          <w:numId w:val="1"/>
        </w:numPr>
        <w:spacing w:after="80" w:before="0" w:line="300"/>
      </w:pPr>
      <w:r>
        <w:rPr>
          <w:rFonts w:ascii="Calibri" w:cs="Calibri" w:eastAsia="Calibri" w:hAnsi="Calibri"/>
          <w:sz w:val="22"/>
          <w:szCs w:val="22"/>
        </w:rPr>
        <w:t xml:space="preserve">(a) Empirical calibration of ITEA and IRA weights via principal components analysis (PCA) over the complete O*NET dataset, or structural equation models (SEM) allowing joint optimisation of all dimensions.</w:t>
      </w:r>
    </w:p>
    <w:p>
      <w:pPr>
        <w:pStyle w:val="ListParagraph"/>
        <w:numPr>
          <w:ilvl w:val="0"/>
          <w:numId w:val="1"/>
        </w:numPr>
        <w:spacing w:after="80" w:before="0" w:line="300"/>
      </w:pPr>
      <w:r>
        <w:rPr>
          <w:rFonts w:ascii="Calibri" w:cs="Calibri" w:eastAsia="Calibri" w:hAnsi="Calibri"/>
          <w:sz w:val="22"/>
          <w:szCs w:val="22"/>
        </w:rPr>
        <w:t xml:space="preserve">(b) Refinement of IRA via incorporation of dimensions not captured in O*NET: effective professional networks, specific social capital, formal/informal unionisation, diversity of cross-domain transferable skills. The modular architecture of IRA allows adding these dimensions as additional components without structural reformulation.</w:t>
      </w:r>
    </w:p>
    <w:p>
      <w:pPr>
        <w:pStyle w:val="ListParagraph"/>
        <w:numPr>
          <w:ilvl w:val="0"/>
          <w:numId w:val="1"/>
        </w:numPr>
        <w:spacing w:after="80" w:before="0" w:line="300"/>
      </w:pPr>
      <w:r>
        <w:rPr>
          <w:rFonts w:ascii="Calibri" w:cs="Calibri" w:eastAsia="Calibri" w:hAnsi="Calibri"/>
          <w:sz w:val="22"/>
          <w:szCs w:val="22"/>
        </w:rPr>
        <w:t xml:space="preserve">(c) Validation of the OAEI through longitudinal case studies of companies that have implemented Agentic AI systems (e.g., MBB trilogy of Paper 8C as limit case), empirically evaluating their effects on occupational composition.</w:t>
      </w:r>
    </w:p>
    <w:p>
      <w:pPr>
        <w:pStyle w:val="ListParagraph"/>
        <w:numPr>
          <w:ilvl w:val="0"/>
          <w:numId w:val="1"/>
        </w:numPr>
        <w:spacing w:after="80" w:before="0" w:line="300"/>
      </w:pPr>
      <w:r>
        <w:rPr>
          <w:rFonts w:ascii="Calibri" w:cs="Calibri" w:eastAsia="Calibri" w:hAnsi="Calibri"/>
          <w:sz w:val="22"/>
          <w:szCs w:val="22"/>
        </w:rPr>
        <w:t xml:space="preserve">(d) Adaptation of the framework to the European labour market via SOC ↔ ISCO-08 crosswalks and replacement of Job Zone by European equivalents (ISCED + EQF).</w:t>
      </w:r>
    </w:p>
    <w:p>
      <w:pPr>
        <w:spacing w:after="180" w:before="320"/>
      </w:pPr>
      <w:r>
        <w:rPr>
          <w:rFonts w:ascii="Calibri" w:cs="Calibri" w:eastAsia="Calibri" w:hAnsi="Calibri"/>
          <w:b/>
          <w:bCs/>
          <w:color w:val="1F4E79"/>
          <w:sz w:val="26"/>
          <w:szCs w:val="26"/>
        </w:rPr>
        <w:t xml:space="preserve">16.3 Connection with the trilogy</w:t>
      </w:r>
    </w:p>
    <w:p>
      <w:pPr>
        <w:spacing w:after="160" w:before="0" w:line="320"/>
        <w:jc w:val="both"/>
      </w:pPr>
      <w:r>
        <w:rPr>
          <w:rFonts w:ascii="Calibri" w:cs="Calibri" w:eastAsia="Calibri" w:hAnsi="Calibri"/>
          <w:sz w:val="22"/>
          <w:szCs w:val="22"/>
        </w:rPr>
        <w:t xml:space="preserve">The present ITEA Framework v2.0 is the methodological piece supporting the author's trilogy on algorithmic expropriation:</w:t>
      </w:r>
    </w:p>
    <w:p>
      <w:pPr>
        <w:pStyle w:val="ListParagraph"/>
        <w:numPr>
          <w:ilvl w:val="0"/>
          <w:numId w:val="1"/>
        </w:numPr>
        <w:spacing w:after="80" w:before="0" w:line="300"/>
      </w:pPr>
      <w:r>
        <w:rPr>
          <w:rFonts w:ascii="Calibri" w:cs="Calibri" w:eastAsia="Calibri" w:hAnsi="Calibri"/>
          <w:sz w:val="22"/>
          <w:szCs w:val="22"/>
        </w:rPr>
        <w:t xml:space="preserve">Paper 8A: applies the v2.0 Framework to empirically map the exposed occupational population. The present methodological document is its instrumental basis.</w:t>
      </w:r>
    </w:p>
    <w:p>
      <w:pPr>
        <w:pStyle w:val="ListParagraph"/>
        <w:numPr>
          <w:ilvl w:val="0"/>
          <w:numId w:val="1"/>
        </w:numPr>
        <w:spacing w:after="80" w:before="0" w:line="300"/>
      </w:pPr>
      <w:r>
        <w:rPr>
          <w:rFonts w:ascii="Calibri" w:cs="Calibri" w:eastAsia="Calibri" w:hAnsi="Calibri"/>
          <w:sz w:val="22"/>
          <w:szCs w:val="22"/>
        </w:rPr>
        <w:t xml:space="preserve">Paper 8B: theoretically formalises the corrective mechanism of intellectual capital tokenisation, calibrated by OAEI v2.0 as the prioritisation instrument.</w:t>
      </w:r>
    </w:p>
    <w:p>
      <w:pPr>
        <w:pStyle w:val="ListParagraph"/>
        <w:numPr>
          <w:ilvl w:val="0"/>
          <w:numId w:val="1"/>
        </w:numPr>
        <w:spacing w:after="80" w:before="0" w:line="300"/>
      </w:pPr>
      <w:r>
        <w:rPr>
          <w:rFonts w:ascii="Calibri" w:cs="Calibri" w:eastAsia="Calibri" w:hAnsi="Calibri"/>
          <w:sz w:val="22"/>
          <w:szCs w:val="22"/>
        </w:rPr>
        <w:t xml:space="preserve">Paper 8C: empirically documents the limit case of the phenomenon in the MBB triad during 2018-2026, qualitatively validating the occupational predictions of the v2.0 Framework.</w:t>
      </w:r>
    </w:p>
    <w:p>
      <w:r>
        <w:br w:type="page"/>
      </w:r>
    </w:p>
    <w:p>
      <w:pPr>
        <w:spacing w:after="240" w:before="480"/>
      </w:pPr>
      <w:r>
        <w:rPr>
          <w:rFonts w:ascii="Calibri" w:cs="Calibri" w:eastAsia="Calibri" w:hAnsi="Calibri"/>
          <w:b/>
          <w:bCs/>
          <w:color w:val="1F4E79"/>
          <w:sz w:val="32"/>
          <w:szCs w:val="32"/>
        </w:rPr>
        <w:t xml:space="preserve">17. References</w:t>
      </w:r>
    </w:p>
    <w:p>
      <w:pPr>
        <w:spacing w:after="100" w:before="0" w:line="320"/>
        <w:ind w:left="720" w:hanging="720"/>
        <w:jc w:val="both"/>
      </w:pPr>
      <w:r>
        <w:rPr>
          <w:rFonts w:ascii="Calibri" w:cs="Calibri" w:eastAsia="Calibri" w:hAnsi="Calibri"/>
          <w:sz w:val="20"/>
          <w:szCs w:val="20"/>
        </w:rPr>
        <w:t xml:space="preserve">Acemoglu, D., &amp; Restrepo, P. (2018). The Race between Man and Machine: Implications of Technology for Growth, Factor Shares, and Employment. American Economic Review, 108(6), 1488-1542.</w:t>
      </w:r>
    </w:p>
    <w:p>
      <w:pPr>
        <w:spacing w:after="100" w:before="0" w:line="320"/>
        <w:ind w:left="720" w:hanging="720"/>
        <w:jc w:val="both"/>
      </w:pPr>
      <w:r>
        <w:rPr>
          <w:rFonts w:ascii="Calibri" w:cs="Calibri" w:eastAsia="Calibri" w:hAnsi="Calibri"/>
          <w:sz w:val="20"/>
          <w:szCs w:val="20"/>
        </w:rPr>
        <w:t xml:space="preserve">Acemoglu, D., &amp; Restrepo, P. (2025). Tasks, Automation, and the Rise of the U.S. Wage-to-Profit Gap. NBER Working Paper.</w:t>
      </w:r>
    </w:p>
    <w:p>
      <w:pPr>
        <w:spacing w:after="100" w:before="0" w:line="320"/>
        <w:ind w:left="720" w:hanging="720"/>
        <w:jc w:val="both"/>
      </w:pPr>
      <w:r>
        <w:rPr>
          <w:rFonts w:ascii="Calibri" w:cs="Calibri" w:eastAsia="Calibri" w:hAnsi="Calibri"/>
          <w:sz w:val="20"/>
          <w:szCs w:val="20"/>
        </w:rPr>
        <w:t xml:space="preserve">Autor, D. H. (2015). Why Are There Still So Many Jobs? The History and Future of Workplace Automation. Journal of Economic Perspectives, 29(3), 3-30.</w:t>
      </w:r>
    </w:p>
    <w:p>
      <w:pPr>
        <w:spacing w:after="100" w:before="0" w:line="320"/>
        <w:ind w:left="720" w:hanging="720"/>
        <w:jc w:val="both"/>
      </w:pPr>
      <w:r>
        <w:rPr>
          <w:rFonts w:ascii="Calibri" w:cs="Calibri" w:eastAsia="Calibri" w:hAnsi="Calibri"/>
          <w:sz w:val="20"/>
          <w:szCs w:val="20"/>
        </w:rPr>
        <w:t xml:space="preserve">Bain &amp; Company. (2025). Technology Report 2025: Building the Foundation for Agentic AI. Bain &amp; Company.</w:t>
      </w:r>
    </w:p>
    <w:p>
      <w:pPr>
        <w:spacing w:after="100" w:before="0" w:line="320"/>
        <w:ind w:left="720" w:hanging="720"/>
        <w:jc w:val="both"/>
      </w:pPr>
      <w:r>
        <w:rPr>
          <w:rFonts w:ascii="Calibri" w:cs="Calibri" w:eastAsia="Calibri" w:hAnsi="Calibri"/>
          <w:sz w:val="20"/>
          <w:szCs w:val="20"/>
        </w:rPr>
        <w:t xml:space="preserve">Brynjolfsson, E., Li, D., &amp; Raymond, L. (2025). Generative AI at Work: Task-Level Evidence from a Large Field Experiment. NBER Working Paper.</w:t>
      </w:r>
    </w:p>
    <w:p>
      <w:pPr>
        <w:spacing w:after="100" w:before="0" w:line="320"/>
        <w:ind w:left="720" w:hanging="720"/>
        <w:jc w:val="both"/>
      </w:pPr>
      <w:r>
        <w:rPr>
          <w:rFonts w:ascii="Calibri" w:cs="Calibri" w:eastAsia="Calibri" w:hAnsi="Calibri"/>
          <w:sz w:val="20"/>
          <w:szCs w:val="20"/>
        </w:rPr>
        <w:t xml:space="preserve">Diamantopoulos, A., &amp; Winklhofer, H. M. (2001). Index Construction with Formative Indicators: An Alternative to Scale Development. Journal of Marketing Research, 38(2), 269-277.</w:t>
      </w:r>
    </w:p>
    <w:p>
      <w:pPr>
        <w:spacing w:after="100" w:before="0" w:line="320"/>
        <w:ind w:left="720" w:hanging="720"/>
        <w:jc w:val="both"/>
      </w:pPr>
      <w:r>
        <w:rPr>
          <w:rFonts w:ascii="Calibri" w:cs="Calibri" w:eastAsia="Calibri" w:hAnsi="Calibri"/>
          <w:sz w:val="20"/>
          <w:szCs w:val="20"/>
        </w:rPr>
        <w:t xml:space="preserve">Eloundou, T., Manning, S., Mishkin, P., &amp; Rock, D. (2024). GPTs are GPTs: An Early Look at the Labor Market Impact Potential of Large Language Models. Science, 384(6693), 264-269.</w:t>
      </w:r>
    </w:p>
    <w:p>
      <w:pPr>
        <w:spacing w:after="100" w:before="0" w:line="320"/>
        <w:ind w:left="720" w:hanging="720"/>
        <w:jc w:val="both"/>
      </w:pPr>
      <w:r>
        <w:rPr>
          <w:rFonts w:ascii="Calibri" w:cs="Calibri" w:eastAsia="Calibri" w:hAnsi="Calibri"/>
          <w:sz w:val="20"/>
          <w:szCs w:val="20"/>
        </w:rPr>
        <w:t xml:space="preserve">Falk, B., &amp; Tsoukalas, K. (2026). The AI Layoff Trap: Externalities, Competition, and the Case for a Pigouvian Tax. Working paper.</w:t>
      </w:r>
    </w:p>
    <w:p>
      <w:pPr>
        <w:spacing w:after="100" w:before="0" w:line="320"/>
        <w:ind w:left="720" w:hanging="720"/>
        <w:jc w:val="both"/>
      </w:pPr>
      <w:r>
        <w:rPr>
          <w:rFonts w:ascii="Calibri" w:cs="Calibri" w:eastAsia="Calibri" w:hAnsi="Calibri"/>
          <w:sz w:val="20"/>
          <w:szCs w:val="20"/>
        </w:rPr>
        <w:t xml:space="preserve">Frey, C. B., &amp; Osborne, M. A. (2017). The Future of Employment: How Susceptible are Jobs to Computerisation? Technological Forecasting and Social Change, 114, 254-280.</w:t>
      </w:r>
    </w:p>
    <w:p>
      <w:pPr>
        <w:spacing w:after="100" w:before="0" w:line="320"/>
        <w:ind w:left="720" w:hanging="720"/>
        <w:jc w:val="both"/>
      </w:pPr>
      <w:r>
        <w:rPr>
          <w:rFonts w:ascii="Calibri" w:cs="Calibri" w:eastAsia="Calibri" w:hAnsi="Calibri"/>
          <w:sz w:val="20"/>
          <w:szCs w:val="20"/>
        </w:rPr>
        <w:t xml:space="preserve">García-Lluis Valencia, A. (2026a). Mapping Algorithmic Expropriation: Occupational Exposure to Agentic AI under the ITEA Multidimensional Framework v2.0. Paper 8A. Universidad Rey Juan Carlos.</w:t>
      </w:r>
    </w:p>
    <w:p>
      <w:pPr>
        <w:spacing w:after="100" w:before="0" w:line="320"/>
        <w:ind w:left="720" w:hanging="720"/>
        <w:jc w:val="both"/>
      </w:pPr>
      <w:r>
        <w:rPr>
          <w:rFonts w:ascii="Calibri" w:cs="Calibri" w:eastAsia="Calibri" w:hAnsi="Calibri"/>
          <w:sz w:val="20"/>
          <w:szCs w:val="20"/>
        </w:rPr>
        <w:t xml:space="preserve">García-Lluis Valencia, A. (2026b). Tokenization of Intellectual Capital under Agentic AI: Pareto-Dominance over Pigouvian Mechanisms. Paper 8B. Universidad Rey Juan Carlos.</w:t>
      </w:r>
    </w:p>
    <w:p>
      <w:pPr>
        <w:spacing w:after="100" w:before="0" w:line="320"/>
        <w:ind w:left="720" w:hanging="720"/>
        <w:jc w:val="both"/>
      </w:pPr>
      <w:r>
        <w:rPr>
          <w:rFonts w:ascii="Calibri" w:cs="Calibri" w:eastAsia="Calibri" w:hAnsi="Calibri"/>
          <w:sz w:val="20"/>
          <w:szCs w:val="20"/>
        </w:rPr>
        <w:t xml:space="preserve">García-Lluis Valencia, A. (2026c). The MBB Triad as Limit Case of Algorithmic Expropriation. Paper 8C. Universidad Rey Juan Carlos.</w:t>
      </w:r>
    </w:p>
    <w:p>
      <w:pPr>
        <w:spacing w:after="100" w:before="0" w:line="320"/>
        <w:ind w:left="720" w:hanging="720"/>
        <w:jc w:val="both"/>
      </w:pPr>
      <w:r>
        <w:rPr>
          <w:rFonts w:ascii="Calibri" w:cs="Calibri" w:eastAsia="Calibri" w:hAnsi="Calibri"/>
          <w:sz w:val="20"/>
          <w:szCs w:val="20"/>
        </w:rPr>
        <w:t xml:space="preserve">IBM Institute for Business Value. (2025). The CEO's Guide to Agentic AI. IBM Institute for Business Value.</w:t>
      </w:r>
    </w:p>
    <w:p>
      <w:pPr>
        <w:spacing w:after="100" w:before="0" w:line="320"/>
        <w:ind w:left="720" w:hanging="720"/>
        <w:jc w:val="both"/>
      </w:pPr>
      <w:r>
        <w:rPr>
          <w:rFonts w:ascii="Calibri" w:cs="Calibri" w:eastAsia="Calibri" w:hAnsi="Calibri"/>
          <w:sz w:val="20"/>
          <w:szCs w:val="20"/>
        </w:rPr>
        <w:t xml:space="preserve">Lindbeck, A., &amp; Snower, D. J. (1988). The Insider-Outsider Theory of Employment and Unemployment. MIT Press.</w:t>
      </w:r>
    </w:p>
    <w:p>
      <w:pPr>
        <w:spacing w:after="100" w:before="0" w:line="320"/>
        <w:ind w:left="720" w:hanging="720"/>
        <w:jc w:val="both"/>
      </w:pPr>
      <w:r>
        <w:rPr>
          <w:rFonts w:ascii="Calibri" w:cs="Calibri" w:eastAsia="Calibri" w:hAnsi="Calibri"/>
          <w:sz w:val="20"/>
          <w:szCs w:val="20"/>
        </w:rPr>
        <w:t xml:space="preserve">Lindbeck, A., &amp; Snower, D. J. (2001). Insiders versus Outsiders. Journal of Economic Perspectives, 15(1), 165-188.</w:t>
      </w:r>
    </w:p>
    <w:p>
      <w:pPr>
        <w:spacing w:after="100" w:before="0" w:line="320"/>
        <w:ind w:left="720" w:hanging="720"/>
        <w:jc w:val="both"/>
      </w:pPr>
      <w:r>
        <w:rPr>
          <w:rFonts w:ascii="Calibri" w:cs="Calibri" w:eastAsia="Calibri" w:hAnsi="Calibri"/>
          <w:sz w:val="20"/>
          <w:szCs w:val="20"/>
        </w:rPr>
        <w:t xml:space="preserve">Lüdecke, D., Ben-Shachar, M. S., Patil, I., Waggoner, P., &amp; Makowski, D. (2021). performance: An R Package for Assessment, Comparison and Testing of Statistical Models. Journal of Open Source Software, 6(60), 3139.</w:t>
      </w:r>
    </w:p>
    <w:p>
      <w:pPr>
        <w:spacing w:after="100" w:before="0" w:line="320"/>
        <w:ind w:left="720" w:hanging="720"/>
        <w:jc w:val="both"/>
      </w:pPr>
      <w:r>
        <w:rPr>
          <w:rFonts w:ascii="Calibri" w:cs="Calibri" w:eastAsia="Calibri" w:hAnsi="Calibri"/>
          <w:sz w:val="20"/>
          <w:szCs w:val="20"/>
        </w:rPr>
        <w:t xml:space="preserve">Massenkoff, M., &amp; McCrory, P. (2026). Anthropic Economic Index: Occupational Exposure and Displacement in the Age of Generative AI. Anthropic Research.</w:t>
      </w:r>
    </w:p>
    <w:p>
      <w:pPr>
        <w:spacing w:after="100" w:before="0" w:line="320"/>
        <w:ind w:left="720" w:hanging="720"/>
        <w:jc w:val="both"/>
      </w:pPr>
      <w:r>
        <w:rPr>
          <w:rFonts w:ascii="Calibri" w:cs="Calibri" w:eastAsia="Calibri" w:hAnsi="Calibri"/>
          <w:sz w:val="20"/>
          <w:szCs w:val="20"/>
        </w:rPr>
        <w:t xml:space="preserve">McKinsey &amp; Company. (2025). State of AI in the Enterprise: The GenAI Paradox. McKinsey &amp; Company.</w:t>
      </w:r>
    </w:p>
    <w:p>
      <w:pPr>
        <w:spacing w:after="100" w:before="0" w:line="320"/>
        <w:ind w:left="720" w:hanging="720"/>
        <w:jc w:val="both"/>
      </w:pPr>
      <w:r>
        <w:rPr>
          <w:rFonts w:ascii="Calibri" w:cs="Calibri" w:eastAsia="Calibri" w:hAnsi="Calibri"/>
          <w:sz w:val="20"/>
          <w:szCs w:val="20"/>
        </w:rPr>
        <w:t xml:space="preserve">Microsoft. (2025). Microsoft Ignite 2025: Agentic AI as the New Execution Layer for Business. Microsoft Corporation.</w:t>
      </w:r>
    </w:p>
    <w:p>
      <w:pPr>
        <w:spacing w:after="100" w:before="0" w:line="320"/>
        <w:ind w:left="720" w:hanging="720"/>
        <w:jc w:val="both"/>
      </w:pPr>
      <w:r>
        <w:rPr>
          <w:rFonts w:ascii="Calibri" w:cs="Calibri" w:eastAsia="Calibri" w:hAnsi="Calibri"/>
          <w:sz w:val="20"/>
          <w:szCs w:val="20"/>
        </w:rPr>
        <w:t xml:space="preserve">Nonaka, I., &amp; Takeuchi, H. (1995). The Knowledge-Creating Company: How Japanese Companies Create the Dynamics of Innovation. Oxford University Press.</w:t>
      </w:r>
    </w:p>
    <w:p>
      <w:pPr>
        <w:spacing w:after="100" w:before="0" w:line="320"/>
        <w:ind w:left="720" w:hanging="720"/>
        <w:jc w:val="both"/>
      </w:pPr>
      <w:r>
        <w:rPr>
          <w:rFonts w:ascii="Calibri" w:cs="Calibri" w:eastAsia="Calibri" w:hAnsi="Calibri"/>
          <w:sz w:val="20"/>
          <w:szCs w:val="20"/>
        </w:rPr>
        <w:t xml:space="preserve">Nonaka, I., Toyama, R., &amp; Konno, N. (2000). SECI, Ba and Leadership: A Unified Model of Dynamic Knowledge Creation. Long Range Planning, 33(1), 5-34.</w:t>
      </w:r>
    </w:p>
    <w:p>
      <w:pPr>
        <w:spacing w:after="100" w:before="0" w:line="320"/>
        <w:ind w:left="720" w:hanging="720"/>
        <w:jc w:val="both"/>
      </w:pPr>
      <w:r>
        <w:rPr>
          <w:rFonts w:ascii="Calibri" w:cs="Calibri" w:eastAsia="Calibri" w:hAnsi="Calibri"/>
          <w:sz w:val="20"/>
          <w:szCs w:val="20"/>
        </w:rPr>
        <w:t xml:space="preserve">O*NET. (2024). O*NET Database Release 29.1. National Center for O*NET Development.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ITEA Framework v2.0 — Comprehensive Methodological Document</dc:title>
  <dc:creator>Alberto García-Lluis Valencia</dc:creator>
  <dc:description>Methodological guide of the ITEA Framework version 2.0</dc:description>
  <cp:lastModifiedBy>Un-named</cp:lastModifiedBy>
  <cp:revision>1</cp:revision>
  <dcterms:created xsi:type="dcterms:W3CDTF">2026-04-29T08:42:38.377Z</dcterms:created>
  <dcterms:modified xsi:type="dcterms:W3CDTF">2026-04-29T08:42:38.379Z</dcterms:modified>
</cp:coreProperties>
</file>

<file path=docProps/custom.xml><?xml version="1.0" encoding="utf-8"?>
<Properties xmlns="http://schemas.openxmlformats.org/officeDocument/2006/custom-properties" xmlns:vt="http://schemas.openxmlformats.org/officeDocument/2006/docPropsVTypes"/>
</file>