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before="100"/>
        <w:jc w:val="center"/>
      </w:pPr>
      <w:r>
        <w:rPr>
          <w:rFonts w:ascii="Calibri" w:cs="Calibri" w:eastAsia="Calibri" w:hAnsi="Calibri"/>
          <w:b/>
          <w:bCs/>
          <w:color w:val="1F4E79"/>
          <w:sz w:val="48"/>
          <w:szCs w:val="48"/>
        </w:rPr>
        <w:t xml:space="preserve">FRAMEWORK ITEA v2.0</w:t>
      </w:r>
    </w:p>
    <w:p>
      <w:pPr>
        <w:spacing w:after="240" w:before="100"/>
        <w:jc w:val="center"/>
      </w:pPr>
      <w:r>
        <w:rPr>
          <w:rFonts w:ascii="Calibri" w:cs="Calibri" w:eastAsia="Calibri" w:hAnsi="Calibri"/>
          <w:i/>
          <w:iCs/>
          <w:sz w:val="32"/>
          <w:szCs w:val="32"/>
        </w:rPr>
        <w:t xml:space="preserve">Índice de Triple Exposición a la Automatización</w:t>
      </w:r>
    </w:p>
    <w:p>
      <w:pPr>
        <w:spacing w:after="720" w:before="100"/>
        <w:jc w:val="center"/>
      </w:pPr>
      <w:r>
        <w:rPr>
          <w:rFonts w:ascii="Calibri" w:cs="Calibri" w:eastAsia="Calibri" w:hAnsi="Calibri"/>
          <w:sz w:val="28"/>
          <w:szCs w:val="28"/>
        </w:rPr>
        <w:t xml:space="preserve">Documento Metodológico Completo</w:t>
      </w:r>
    </w:p>
    <w:p>
      <w:pPr>
        <w:spacing w:after="120" w:before="100"/>
        <w:jc w:val="center"/>
      </w:pPr>
      <w:r>
        <w:rPr>
          <w:rFonts w:ascii="Calibri" w:cs="Calibri" w:eastAsia="Calibri" w:hAnsi="Calibri"/>
          <w:i/>
          <w:iCs/>
          <w:sz w:val="24"/>
          <w:szCs w:val="24"/>
        </w:rPr>
        <w:t xml:space="preserve">8 indicadores · 1.016 ocupaciones O*NET 2024 (v29.1)</w:t>
      </w:r>
    </w:p>
    <w:p>
      <w:pPr>
        <w:spacing w:after="1440" w:before="100"/>
        <w:jc w:val="center"/>
      </w:pPr>
      <w:r>
        <w:rPr>
          <w:rFonts w:ascii="Calibri" w:cs="Calibri" w:eastAsia="Calibri" w:hAnsi="Calibri"/>
          <w:i/>
          <w:iCs/>
          <w:color w:val="666666"/>
          <w:sz w:val="22"/>
          <w:szCs w:val="22"/>
        </w:rPr>
        <w:t xml:space="preserve">Análisis efectivo sobre 846 ocupaciones con datos completos</w:t>
      </w:r>
    </w:p>
    <w:p>
      <w:pPr>
        <w:spacing w:after="80" w:before="100"/>
        <w:jc w:val="center"/>
      </w:pPr>
      <w:r>
        <w:rPr>
          <w:rFonts w:ascii="Calibri" w:cs="Calibri" w:eastAsia="Calibri" w:hAnsi="Calibri"/>
          <w:b/>
          <w:bCs/>
          <w:sz w:val="24"/>
          <w:szCs w:val="24"/>
        </w:rPr>
        <w:t xml:space="preserve">Autor: Alberto García-Lluis Valencia</w:t>
      </w:r>
    </w:p>
    <w:p>
      <w:pPr>
        <w:spacing w:after="80" w:before="100"/>
        <w:jc w:val="center"/>
      </w:pPr>
      <w:r>
        <w:rPr>
          <w:rFonts w:ascii="Calibri" w:cs="Calibri" w:eastAsia="Calibri" w:hAnsi="Calibri"/>
          <w:sz w:val="22"/>
          <w:szCs w:val="22"/>
        </w:rPr>
        <w:t xml:space="preserve">Universidad Rey Juan Carlos</w:t>
      </w:r>
    </w:p>
    <w:p>
      <w:pPr>
        <w:spacing w:after="80" w:before="100"/>
        <w:jc w:val="center"/>
      </w:pPr>
      <w:r>
        <w:rPr>
          <w:rFonts w:ascii="Calibri" w:cs="Calibri" w:eastAsia="Calibri" w:hAnsi="Calibri"/>
          <w:i/>
          <w:iCs/>
          <w:sz w:val="20"/>
          <w:szCs w:val="20"/>
        </w:rPr>
        <w:t xml:space="preserve">ORCID: 0009-0003-1438-1633</w:t>
      </w:r>
    </w:p>
    <w:p>
      <w:pPr>
        <w:spacing w:after="480" w:before="100"/>
        <w:jc w:val="center"/>
      </w:pPr>
      <w:r>
        <w:rPr>
          <w:rFonts w:ascii="Calibri" w:cs="Calibri" w:eastAsia="Calibri" w:hAnsi="Calibri"/>
          <w:i/>
          <w:iCs/>
          <w:sz w:val="20"/>
          <w:szCs w:val="20"/>
        </w:rPr>
        <w:t xml:space="preserve">alb.valencia@gmail.com</w:t>
      </w:r>
    </w:p>
    <w:p>
      <w:pPr>
        <w:spacing w:after="80" w:before="100"/>
        <w:jc w:val="center"/>
      </w:pPr>
      <w:r>
        <w:rPr>
          <w:rFonts w:ascii="Calibri" w:cs="Calibri" w:eastAsia="Calibri" w:hAnsi="Calibri"/>
          <w:i/>
          <w:iCs/>
          <w:sz w:val="22"/>
          <w:szCs w:val="22"/>
        </w:rPr>
        <w:t xml:space="preserve">Versión 2.0 — Abril de 2026</w:t>
      </w:r>
    </w:p>
    <w:p>
      <w:pPr>
        <w:spacing w:after="100" w:before="100"/>
        <w:jc w:val="center"/>
      </w:pPr>
      <w:r>
        <w:rPr>
          <w:rFonts w:ascii="Calibri" w:cs="Calibri" w:eastAsia="Calibri" w:hAnsi="Calibri"/>
          <w:i/>
          <w:iCs/>
          <w:color w:val="666666"/>
          <w:sz w:val="18"/>
          <w:szCs w:val="18"/>
        </w:rPr>
        <w:t xml:space="preserve">Reemplaza ITEA Metodología v1.4</w:t>
      </w:r>
    </w:p>
    <w:p>
      <w:r>
        <w:br w:type="page"/>
      </w:r>
    </w:p>
    <w:p>
      <w:pPr>
        <w:spacing w:after="240" w:before="480"/>
      </w:pPr>
      <w:r>
        <w:rPr>
          <w:rFonts w:ascii="Calibri" w:cs="Calibri" w:eastAsia="Calibri" w:hAnsi="Calibri"/>
          <w:b/>
          <w:bCs/>
          <w:color w:val="1F4E79"/>
          <w:sz w:val="32"/>
          <w:szCs w:val="32"/>
        </w:rPr>
        <w:t xml:space="preserve">Índice</w:t>
      </w:r>
    </w:p>
    <w:p>
      <w:pPr>
        <w:spacing w:after="80" w:before="0" w:line="320"/>
        <w:ind w:left="240"/>
        <w:jc w:val="both"/>
      </w:pPr>
      <w:r>
        <w:rPr>
          <w:rFonts w:ascii="Calibri" w:cs="Calibri" w:eastAsia="Calibri" w:hAnsi="Calibri"/>
          <w:sz w:val="22"/>
          <w:szCs w:val="22"/>
        </w:rPr>
        <w:t xml:space="preserve">1. Introducción al Framework ITEA</w:t>
      </w:r>
    </w:p>
    <w:p>
      <w:pPr>
        <w:spacing w:after="80" w:before="0" w:line="320"/>
        <w:ind w:left="240"/>
        <w:jc w:val="both"/>
      </w:pPr>
      <w:r>
        <w:rPr>
          <w:rFonts w:ascii="Calibri" w:cs="Calibri" w:eastAsia="Calibri" w:hAnsi="Calibri"/>
          <w:sz w:val="22"/>
          <w:szCs w:val="22"/>
        </w:rPr>
        <w:t xml:space="preserve">2. Metodología General</w:t>
      </w:r>
    </w:p>
    <w:p>
      <w:pPr>
        <w:spacing w:after="80" w:before="0" w:line="320"/>
        <w:ind w:left="240"/>
        <w:jc w:val="both"/>
      </w:pPr>
      <w:r>
        <w:rPr>
          <w:rFonts w:ascii="Calibri" w:cs="Calibri" w:eastAsia="Calibri" w:hAnsi="Calibri"/>
          <w:sz w:val="22"/>
          <w:szCs w:val="22"/>
        </w:rPr>
        <w:t xml:space="preserve">3. Estructura de Indicadores</w:t>
      </w:r>
    </w:p>
    <w:p>
      <w:pPr>
        <w:spacing w:after="80" w:before="0" w:line="320"/>
        <w:ind w:left="240"/>
        <w:jc w:val="both"/>
      </w:pPr>
      <w:r>
        <w:rPr>
          <w:rFonts w:ascii="Calibri" w:cs="Calibri" w:eastAsia="Calibri" w:hAnsi="Calibri"/>
          <w:sz w:val="22"/>
          <w:szCs w:val="22"/>
        </w:rPr>
        <w:t xml:space="preserve">4. ITEA — Índice de Triple Exposición a la Automatización</w:t>
      </w:r>
    </w:p>
    <w:p>
      <w:pPr>
        <w:spacing w:after="80" w:before="0" w:line="320"/>
        <w:ind w:left="240"/>
        <w:jc w:val="both"/>
      </w:pPr>
      <w:r>
        <w:rPr>
          <w:rFonts w:ascii="Calibri" w:cs="Calibri" w:eastAsia="Calibri" w:hAnsi="Calibri"/>
          <w:sz w:val="22"/>
          <w:szCs w:val="22"/>
        </w:rPr>
        <w:t xml:space="preserve">5. IRA v2.0 — Índice de Resiliencia Adaptativa (reemplaza al IRO)</w:t>
      </w:r>
    </w:p>
    <w:p>
      <w:pPr>
        <w:spacing w:after="80" w:before="0" w:line="320"/>
        <w:ind w:left="240"/>
        <w:jc w:val="both"/>
      </w:pPr>
      <w:r>
        <w:rPr>
          <w:rFonts w:ascii="Calibri" w:cs="Calibri" w:eastAsia="Calibri" w:hAnsi="Calibri"/>
          <w:sz w:val="22"/>
          <w:szCs w:val="22"/>
        </w:rPr>
        <w:t xml:space="preserve">6. ICT — Índice de Complejidad Técnica</w:t>
      </w:r>
    </w:p>
    <w:p>
      <w:pPr>
        <w:spacing w:after="80" w:before="0" w:line="320"/>
        <w:ind w:left="240"/>
        <w:jc w:val="both"/>
      </w:pPr>
      <w:r>
        <w:rPr>
          <w:rFonts w:ascii="Calibri" w:cs="Calibri" w:eastAsia="Calibri" w:hAnsi="Calibri"/>
          <w:sz w:val="22"/>
          <w:szCs w:val="22"/>
        </w:rPr>
        <w:t xml:space="preserve">7. IFS — Índice de Fricción Social</w:t>
      </w:r>
    </w:p>
    <w:p>
      <w:pPr>
        <w:spacing w:after="80" w:before="0" w:line="320"/>
        <w:ind w:left="240"/>
        <w:jc w:val="both"/>
      </w:pPr>
      <w:r>
        <w:rPr>
          <w:rFonts w:ascii="Calibri" w:cs="Calibri" w:eastAsia="Calibri" w:hAnsi="Calibri"/>
          <w:sz w:val="22"/>
          <w:szCs w:val="22"/>
        </w:rPr>
        <w:t xml:space="preserve">8. IPI — Índice de Presencialidad Interpersonal</w:t>
      </w:r>
    </w:p>
    <w:p>
      <w:pPr>
        <w:spacing w:after="80" w:before="0" w:line="320"/>
        <w:ind w:left="240"/>
        <w:jc w:val="both"/>
      </w:pPr>
      <w:r>
        <w:rPr>
          <w:rFonts w:ascii="Calibri" w:cs="Calibri" w:eastAsia="Calibri" w:hAnsi="Calibri"/>
          <w:sz w:val="22"/>
          <w:szCs w:val="22"/>
        </w:rPr>
        <w:t xml:space="preserve">9. IEF — Índice de Especificidad Funcional</w:t>
      </w:r>
    </w:p>
    <w:p>
      <w:pPr>
        <w:spacing w:after="80" w:before="0" w:line="320"/>
        <w:ind w:left="240"/>
        <w:jc w:val="both"/>
      </w:pPr>
      <w:r>
        <w:rPr>
          <w:rFonts w:ascii="Calibri" w:cs="Calibri" w:eastAsia="Calibri" w:hAnsi="Calibri"/>
          <w:sz w:val="22"/>
          <w:szCs w:val="22"/>
        </w:rPr>
        <w:t xml:space="preserve">10. GEE — Gradiente Educación-Experiencia</w:t>
      </w:r>
    </w:p>
    <w:p>
      <w:pPr>
        <w:spacing w:after="80" w:before="0" w:line="320"/>
        <w:ind w:left="240"/>
        <w:jc w:val="both"/>
      </w:pPr>
      <w:r>
        <w:rPr>
          <w:rFonts w:ascii="Calibri" w:cs="Calibri" w:eastAsia="Calibri" w:hAnsi="Calibri"/>
          <w:sz w:val="22"/>
          <w:szCs w:val="22"/>
        </w:rPr>
        <w:t xml:space="preserve">11. IMO — Índice de Mutación Ocupacional</w:t>
      </w:r>
    </w:p>
    <w:p>
      <w:pPr>
        <w:spacing w:after="80" w:before="0" w:line="320"/>
        <w:ind w:left="240"/>
        <w:jc w:val="both"/>
      </w:pPr>
      <w:r>
        <w:rPr>
          <w:rFonts w:ascii="Calibri" w:cs="Calibri" w:eastAsia="Calibri" w:hAnsi="Calibri"/>
          <w:sz w:val="22"/>
          <w:szCs w:val="22"/>
        </w:rPr>
        <w:t xml:space="preserve">12. AEI — Algorithmic Expropriation Index (criterio convergente)</w:t>
      </w:r>
    </w:p>
    <w:p>
      <w:pPr>
        <w:spacing w:after="80" w:before="0" w:line="320"/>
        <w:ind w:left="240"/>
        <w:jc w:val="both"/>
      </w:pPr>
      <w:r>
        <w:rPr>
          <w:rFonts w:ascii="Calibri" w:cs="Calibri" w:eastAsia="Calibri" w:hAnsi="Calibri"/>
          <w:sz w:val="22"/>
          <w:szCs w:val="22"/>
        </w:rPr>
        <w:t xml:space="preserve">13. OAEI v2.0 — Operational Algorithmic Expropriation Index</w:t>
      </w:r>
    </w:p>
    <w:p>
      <w:pPr>
        <w:spacing w:after="80" w:before="0" w:line="320"/>
        <w:ind w:left="240"/>
        <w:jc w:val="both"/>
      </w:pPr>
      <w:r>
        <w:rPr>
          <w:rFonts w:ascii="Calibri" w:cs="Calibri" w:eastAsia="Calibri" w:hAnsi="Calibri"/>
          <w:sz w:val="22"/>
          <w:szCs w:val="22"/>
        </w:rPr>
        <w:t xml:space="preserve">14. Validación Integrada del Framework</w:t>
      </w:r>
    </w:p>
    <w:p>
      <w:pPr>
        <w:spacing w:after="80" w:before="0" w:line="320"/>
        <w:ind w:left="240"/>
        <w:jc w:val="both"/>
      </w:pPr>
      <w:r>
        <w:rPr>
          <w:rFonts w:ascii="Calibri" w:cs="Calibri" w:eastAsia="Calibri" w:hAnsi="Calibri"/>
          <w:sz w:val="22"/>
          <w:szCs w:val="22"/>
        </w:rPr>
        <w:t xml:space="preserve">15. Histórico de Versiones (v1.0 → v2.0)</w:t>
      </w:r>
    </w:p>
    <w:p>
      <w:pPr>
        <w:spacing w:after="80" w:before="0" w:line="320"/>
        <w:ind w:left="240"/>
        <w:jc w:val="both"/>
      </w:pPr>
      <w:r>
        <w:rPr>
          <w:rFonts w:ascii="Calibri" w:cs="Calibri" w:eastAsia="Calibri" w:hAnsi="Calibri"/>
          <w:sz w:val="22"/>
          <w:szCs w:val="22"/>
        </w:rPr>
        <w:t xml:space="preserve">16. Limitaciones y Trabajo Futuro</w:t>
      </w:r>
    </w:p>
    <w:p>
      <w:pPr>
        <w:spacing w:after="80" w:before="0" w:line="320"/>
        <w:ind w:left="240"/>
        <w:jc w:val="both"/>
      </w:pPr>
      <w:r>
        <w:rPr>
          <w:rFonts w:ascii="Calibri" w:cs="Calibri" w:eastAsia="Calibri" w:hAnsi="Calibri"/>
          <w:sz w:val="22"/>
          <w:szCs w:val="22"/>
        </w:rPr>
        <w:t xml:space="preserve">17. Referencias</w:t>
      </w:r>
    </w:p>
    <w:p>
      <w:r>
        <w:br w:type="page"/>
      </w:r>
    </w:p>
    <w:p>
      <w:pPr>
        <w:spacing w:after="240" w:before="480"/>
      </w:pPr>
      <w:r>
        <w:rPr>
          <w:rFonts w:ascii="Calibri" w:cs="Calibri" w:eastAsia="Calibri" w:hAnsi="Calibri"/>
          <w:b/>
          <w:bCs/>
          <w:color w:val="1F4E79"/>
          <w:sz w:val="32"/>
          <w:szCs w:val="32"/>
        </w:rPr>
        <w:t xml:space="preserve">1. Introducción al Framework ITEA</w:t>
      </w:r>
    </w:p>
    <w:p>
      <w:pPr>
        <w:spacing w:after="180" w:before="320"/>
      </w:pPr>
      <w:r>
        <w:rPr>
          <w:rFonts w:ascii="Calibri" w:cs="Calibri" w:eastAsia="Calibri" w:hAnsi="Calibri"/>
          <w:b/>
          <w:bCs/>
          <w:color w:val="1F4E79"/>
          <w:sz w:val="26"/>
          <w:szCs w:val="26"/>
        </w:rPr>
        <w:t xml:space="preserve">1.1 Contexto y motivación</w:t>
      </w:r>
    </w:p>
    <w:p>
      <w:pPr>
        <w:spacing w:after="160" w:before="0" w:line="320"/>
        <w:jc w:val="both"/>
      </w:pPr>
      <w:r>
        <w:rPr>
          <w:rFonts w:ascii="Calibri" w:cs="Calibri" w:eastAsia="Calibri" w:hAnsi="Calibri"/>
          <w:sz w:val="22"/>
          <w:szCs w:val="22"/>
        </w:rPr>
        <w:t xml:space="preserve">La automatización y la inteligencia artificial están transformando los mercados laborales a una velocidad sin precedentes. La medición tradicional de la exposición ocupacional, articulada por Frey y Osborne (2017) y refinada por Eloundou, Manning, Mishkin y Rock (2024), Brynjolfsson, Li y Raymond (2025) y Massenkoff y McCrory (2026), ha convergido sobre métricas calibradas al régimen de IA generativa, donde el trabajador retiene el control del flujo de trabajo. Este régimen, sin embargo, no agota el fenómeno.</w:t>
      </w:r>
    </w:p>
    <w:p>
      <w:pPr>
        <w:spacing w:after="160" w:before="0" w:line="320"/>
        <w:jc w:val="both"/>
      </w:pPr>
      <w:r>
        <w:rPr>
          <w:rFonts w:ascii="Calibri" w:cs="Calibri" w:eastAsia="Calibri" w:hAnsi="Calibri"/>
          <w:sz w:val="22"/>
          <w:szCs w:val="22"/>
        </w:rPr>
        <w:t xml:space="preserve">El consenso institucional cristalizado en 2025–2026 (Bain Technology Report 2025; McKinsey State of AI 2025; IBM Institute for Business Value 2025; Microsoft Ignite 2025) identifica la </w:t>
      </w:r>
      <w:r>
        <w:rPr>
          <w:rFonts w:ascii="Calibri" w:cs="Calibri" w:eastAsia="Calibri" w:hAnsi="Calibri"/>
          <w:i/>
          <w:iCs/>
          <w:sz w:val="22"/>
          <w:szCs w:val="22"/>
        </w:rPr>
        <w:t xml:space="preserve">IA agéntica</w:t>
      </w:r>
      <w:r>
        <w:rPr>
          <w:rFonts w:ascii="Calibri" w:cs="Calibri" w:eastAsia="Calibri" w:hAnsi="Calibri"/>
          <w:sz w:val="22"/>
          <w:szCs w:val="22"/>
        </w:rPr>
        <w:t xml:space="preserve"> como un régimen estructuralmente distinto: sistemas autónomos entrenados sobre bases de conocimiento propietarias, capaces de ejecutar flujos multi-paso, y tratados por las empresas como “empleados digitales” con identidad, derechos de acceso y gobernanza de ciclo de vida. Bajo este régimen, el conocimiento del trabajador no permanece difuso: se externaliza, combina e internaliza en activos estructurales propietarios, generando lo que en la trilogía del autor (Papers 8A, 8B, 8C) se denomina </w:t>
      </w:r>
      <w:r>
        <w:rPr>
          <w:rFonts w:ascii="Calibri" w:cs="Calibri" w:eastAsia="Calibri" w:hAnsi="Calibri"/>
          <w:b/>
          <w:bCs/>
          <w:sz w:val="22"/>
          <w:szCs w:val="22"/>
        </w:rPr>
        <w:t xml:space="preserve">expropiación algorítmica</w:t>
      </w:r>
      <w:r>
        <w:rPr>
          <w:rFonts w:ascii="Calibri" w:cs="Calibri" w:eastAsia="Calibri" w:hAnsi="Calibri"/>
          <w:sz w:val="22"/>
          <w:szCs w:val="22"/>
        </w:rPr>
        <w:t xml:space="preserve"> —la transferencia no compensada de capital intelectual desde los trabajadores del conocimiento hacia los activos de la organización.</w:t>
      </w:r>
    </w:p>
    <w:p>
      <w:pPr>
        <w:spacing w:after="160" w:before="0" w:line="320"/>
        <w:jc w:val="both"/>
      </w:pPr>
      <w:r>
        <w:rPr>
          <w:rFonts w:ascii="Calibri" w:cs="Calibri" w:eastAsia="Calibri" w:hAnsi="Calibri"/>
          <w:sz w:val="22"/>
          <w:szCs w:val="22"/>
        </w:rPr>
        <w:t xml:space="preserve">El Framework ITEA v2.0 se diseña para mapear, medir y priorizar esta exposición desde una perspectiva multidimensional que captura no solo la probabilidad de automatización clásica, sino también la dinámica específica de cristalización del capital intelectual bajo régimen Agentic. La presente versión 2.0 incorpora tres innovaciones metodológicas estructurales sobre la versión 1.45 anterior, desarrolladas a lo largo de este documento.</w:t>
      </w:r>
    </w:p>
    <w:p>
      <w:pPr>
        <w:spacing w:after="180" w:before="320"/>
      </w:pPr>
      <w:r>
        <w:rPr>
          <w:rFonts w:ascii="Calibri" w:cs="Calibri" w:eastAsia="Calibri" w:hAnsi="Calibri"/>
          <w:b/>
          <w:bCs/>
          <w:color w:val="1F4E79"/>
          <w:sz w:val="26"/>
          <w:szCs w:val="26"/>
        </w:rPr>
        <w:t xml:space="preserve">1.2 Innovaciones de la versión 2.0 sobre la 1.45</w:t>
      </w:r>
    </w:p>
    <w:p>
      <w:pPr>
        <w:spacing w:after="160" w:before="0" w:line="320"/>
        <w:jc w:val="both"/>
      </w:pPr>
      <w:r>
        <w:rPr>
          <w:rFonts w:ascii="Calibri" w:cs="Calibri" w:eastAsia="Calibri" w:hAnsi="Calibri"/>
          <w:sz w:val="22"/>
          <w:szCs w:val="22"/>
        </w:rPr>
        <w:t xml:space="preserve">La versión 2.0 incorpora tres cambios estructurales que responden a hallazgos diagnósticos sobre la versión anterior:</w:t>
      </w:r>
    </w:p>
    <w:p>
      <w:pPr>
        <w:spacing w:after="120" w:before="240"/>
        <w:jc w:val="left"/>
      </w:pPr>
      <w:r>
        <w:rPr>
          <w:rFonts w:ascii="Calibri" w:cs="Calibri" w:eastAsia="Calibri" w:hAnsi="Calibri"/>
          <w:b/>
          <w:bCs/>
          <w:color w:val="1F4E79"/>
          <w:sz w:val="20"/>
          <w:szCs w:val="20"/>
        </w:rPr>
        <w:t xml:space="preserve">Tabla 1.1. Innovaciones estructurales de la versión 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0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Innovación</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Diagnóstico v1.45</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Solución v2.0</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IRA v2.0 (reemplaza al IRO)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r(IRO_v1.45, GEE) = 0,904. La descomposición revela colinealidad estructural: SI proxy r=0,925 con GEE; CC_v1.45 r=0,824 con GEE; solo CA tiene varianza independiente (r=0,607). El IRO mezclaba capital humano con adaptabilidad, duplicando el constructo GEE.</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IRA = 0,60·CA_norm + 0,40·IRO_residual_norm. Aísla la varianza adaptativa ortogonal a la cualificación formal. Resultado: r(IRA v2.0, GEE) = 0,433.</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OAEI v2.0 escala interpretable</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OAEI_raw = ITEA × GEE × ICT × (1−IPI) producía valores en unidades arbitrarias [0, valor_max] sin escala interpretable, y dificultaba la calibración de umbrales de política pública.</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v2.0 = 1 + 99 × (OAEI_raw − min)/(max − min). Escala [1, 100] preserva multiplicatividad teóricamente fundada y rank-order; evita el cero formal sin sentido sustantivo.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AEI articulada explícitamente</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La AEI se utilizaba como criterio de validez convergente del ITEA pero su construcción no estaba documentada en la metodología, comprometiendo la transparencia del proceso de validación.</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Capítulo 12 dedicado a la AEI: fórmula AEI = (%HIGH × 100) + (%TRANS × 50) + (%HIGH_ALGO × 200), construida sobre 47.810 tareas O*NET clasificadas según Auto_Grade y CI_Grade.</w:t>
            </w:r>
          </w:p>
        </w:tc>
      </w:tr>
    </w:tbl>
    <w:p>
      <w:pPr>
        <w:spacing w:after="240" w:before="80"/>
        <w:jc w:val="both"/>
      </w:pPr>
      <w:r>
        <w:rPr>
          <w:rFonts w:ascii="Calibri" w:cs="Calibri" w:eastAsia="Calibri" w:hAnsi="Calibri"/>
          <w:i/>
          <w:iCs/>
          <w:color w:val="666666"/>
          <w:sz w:val="18"/>
          <w:szCs w:val="18"/>
        </w:rPr>
        <w:t xml:space="preserve">Las tres innovaciones responden a cuestiones identificadas durante la revisión de v1.45 y se documentan respectivamente en los capítulos 5 (IRA), 13 (OAEI) y 12 (AEI) del presente documento.</w:t>
      </w:r>
    </w:p>
    <w:p>
      <w:pPr>
        <w:spacing w:after="180" w:before="320"/>
      </w:pPr>
      <w:r>
        <w:rPr>
          <w:rFonts w:ascii="Calibri" w:cs="Calibri" w:eastAsia="Calibri" w:hAnsi="Calibri"/>
          <w:b/>
          <w:bCs/>
          <w:color w:val="1F4E79"/>
          <w:sz w:val="26"/>
          <w:szCs w:val="26"/>
        </w:rPr>
        <w:t xml:space="preserve">1.3 Preguntas de investigación</w:t>
      </w:r>
    </w:p>
    <w:p>
      <w:pPr>
        <w:spacing w:after="160" w:before="0" w:line="320"/>
        <w:jc w:val="both"/>
      </w:pPr>
      <w:r>
        <w:rPr>
          <w:rFonts w:ascii="Calibri" w:cs="Calibri" w:eastAsia="Calibri" w:hAnsi="Calibri"/>
          <w:sz w:val="22"/>
          <w:szCs w:val="22"/>
        </w:rPr>
        <w:t xml:space="preserve">El framework ITEA v2.0 responde a cinco preguntas fundamentales sobre cada ocupación:</w:t>
      </w:r>
    </w:p>
    <w:p>
      <w:pPr>
        <w:pStyle w:val="ListParagraph"/>
        <w:numPr>
          <w:ilvl w:val="0"/>
          <w:numId w:val="1"/>
        </w:numPr>
        <w:spacing w:after="80" w:before="0" w:line="300"/>
      </w:pPr>
      <w:r>
        <w:rPr>
          <w:rFonts w:ascii="Calibri" w:cs="Calibri" w:eastAsia="Calibri" w:hAnsi="Calibri"/>
          <w:sz w:val="22"/>
          <w:szCs w:val="22"/>
        </w:rPr>
        <w:t xml:space="preserve">¿Cuánto riesgo de automatización tiene la ocupación? (ITEA)</w:t>
      </w:r>
    </w:p>
    <w:p>
      <w:pPr>
        <w:pStyle w:val="ListParagraph"/>
        <w:numPr>
          <w:ilvl w:val="0"/>
          <w:numId w:val="1"/>
        </w:numPr>
        <w:spacing w:after="80" w:before="0" w:line="300"/>
      </w:pPr>
      <w:r>
        <w:rPr>
          <w:rFonts w:ascii="Calibri" w:cs="Calibri" w:eastAsia="Calibri" w:hAnsi="Calibri"/>
          <w:sz w:val="22"/>
          <w:szCs w:val="22"/>
        </w:rPr>
        <w:t xml:space="preserve">¿Cuánta resiliencia adaptativa propia, no reductible a su cualificación formal, tiene? (IRA v2.0)</w:t>
      </w:r>
    </w:p>
    <w:p>
      <w:pPr>
        <w:pStyle w:val="ListParagraph"/>
        <w:numPr>
          <w:ilvl w:val="0"/>
          <w:numId w:val="1"/>
        </w:numPr>
        <w:spacing w:after="80" w:before="0" w:line="300"/>
      </w:pPr>
      <w:r>
        <w:rPr>
          <w:rFonts w:ascii="Calibri" w:cs="Calibri" w:eastAsia="Calibri" w:hAnsi="Calibri"/>
          <w:sz w:val="22"/>
          <w:szCs w:val="22"/>
        </w:rPr>
        <w:t xml:space="preserve">¿Qué barreras técnicas, sociales, presenciales o funcionales operan como escudos? (ICT, IFS, IPI, IEF)</w:t>
      </w:r>
    </w:p>
    <w:p>
      <w:pPr>
        <w:pStyle w:val="ListParagraph"/>
        <w:numPr>
          <w:ilvl w:val="0"/>
          <w:numId w:val="1"/>
        </w:numPr>
        <w:spacing w:after="80" w:before="0" w:line="300"/>
      </w:pPr>
      <w:r>
        <w:rPr>
          <w:rFonts w:ascii="Calibri" w:cs="Calibri" w:eastAsia="Calibri" w:hAnsi="Calibri"/>
          <w:sz w:val="22"/>
          <w:szCs w:val="22"/>
        </w:rPr>
        <w:t xml:space="preserve">¿Cuál es su nivel de cualificación formal y su perfil de mutación? (GEE, IMO)</w:t>
      </w:r>
    </w:p>
    <w:p>
      <w:pPr>
        <w:pStyle w:val="ListParagraph"/>
        <w:numPr>
          <w:ilvl w:val="0"/>
          <w:numId w:val="1"/>
        </w:numPr>
        <w:spacing w:after="80" w:before="0" w:line="300"/>
      </w:pPr>
      <w:r>
        <w:rPr>
          <w:rFonts w:ascii="Calibri" w:cs="Calibri" w:eastAsia="Calibri" w:hAnsi="Calibri"/>
          <w:sz w:val="22"/>
          <w:szCs w:val="22"/>
        </w:rPr>
        <w:t xml:space="preserve">¿Cuál es la severidad operacional de su desajuste contractual bajo régimen Agentic? (OAEI v2.0)</w:t>
      </w:r>
    </w:p>
    <w:p>
      <w:pPr>
        <w:spacing w:after="180" w:before="320"/>
      </w:pPr>
      <w:r>
        <w:rPr>
          <w:rFonts w:ascii="Calibri" w:cs="Calibri" w:eastAsia="Calibri" w:hAnsi="Calibri"/>
          <w:b/>
          <w:bCs/>
          <w:color w:val="1F4E79"/>
          <w:sz w:val="26"/>
          <w:szCs w:val="26"/>
        </w:rPr>
        <w:t xml:space="preserve">1.4 Fuentes de datos</w:t>
      </w:r>
    </w:p>
    <w:p>
      <w:pPr>
        <w:spacing w:after="120" w:before="240"/>
        <w:jc w:val="left"/>
      </w:pPr>
      <w:r>
        <w:rPr>
          <w:rFonts w:ascii="Calibri" w:cs="Calibri" w:eastAsia="Calibri" w:hAnsi="Calibri"/>
          <w:b/>
          <w:bCs/>
          <w:color w:val="1F4E79"/>
          <w:sz w:val="20"/>
          <w:szCs w:val="20"/>
        </w:rPr>
        <w:t xml:space="preserve">Tabla 1.2. Fuentes primarias del Framework ITEA v2.0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60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Fuente</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Cobertura</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Uso en el framework</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O*NET 2024 (versión 29.1)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1.016 ocupaciones SOC 6-dígitos · 47.810 tareas · varias centenas de variables/ocupación</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Variables base de los 8 indicadores (tareas, habilidades, estilos de trabajo, contextos)</w:t>
            </w:r>
          </w:p>
        </w:tc>
      </w:tr>
      <w:tr>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BLS Employment Projections</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Proyecciones de empleo USA 2022–2032</w:t>
            </w:r>
          </w:p>
        </w:tc>
        <w:tc>
          <w:tcPr>
            <w:tcW w:type="dxa" w:w="3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Validación cruzada de tendencias de mutación (IMO)</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AEI Unified Analysis v1.0 (Apr 2026)</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47.810 tareas clasificadas según Auto_Grade y CI_Grade · 923 ocupaciones agregadas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Construcción del AEI como criterio de validez convergente (capítulo 12)</w:t>
            </w:r>
          </w:p>
        </w:tc>
      </w:tr>
      <w:tr>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Salarios O*NET 2024</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Mediana anual del 50º percentil para 879 ocupaciones</w:t>
            </w:r>
          </w:p>
        </w:tc>
        <w:tc>
          <w:tcPr>
            <w:tcW w:type="dxa" w:w="3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Validez de criterio (capítulo 14)</w:t>
            </w:r>
          </w:p>
        </w:tc>
      </w:tr>
    </w:tbl>
    <w:p>
      <w:pPr>
        <w:spacing w:after="240" w:before="80"/>
        <w:jc w:val="both"/>
      </w:pPr>
      <w:r>
        <w:rPr>
          <w:rFonts w:ascii="Calibri" w:cs="Calibri" w:eastAsia="Calibri" w:hAnsi="Calibri"/>
          <w:i/>
          <w:iCs/>
          <w:color w:val="666666"/>
          <w:sz w:val="18"/>
          <w:szCs w:val="18"/>
        </w:rPr>
        <w:t xml:space="preserve">El N efectivo del análisis OAEI v2.0 es 846 ocupaciones, intersección de las cuatro fuentes con datos completos en todas las dimensiones del framework.</w:t>
      </w:r>
    </w:p>
    <w:p>
      <w:r>
        <w:br w:type="page"/>
      </w:r>
    </w:p>
    <w:p>
      <w:pPr>
        <w:spacing w:after="240" w:before="480"/>
      </w:pPr>
      <w:r>
        <w:rPr>
          <w:rFonts w:ascii="Calibri" w:cs="Calibri" w:eastAsia="Calibri" w:hAnsi="Calibri"/>
          <w:b/>
          <w:bCs/>
          <w:color w:val="1F4E79"/>
          <w:sz w:val="32"/>
          <w:szCs w:val="32"/>
        </w:rPr>
        <w:t xml:space="preserve">2. Metodología General</w:t>
      </w:r>
    </w:p>
    <w:p>
      <w:pPr>
        <w:spacing w:after="180" w:before="320"/>
      </w:pPr>
      <w:r>
        <w:rPr>
          <w:rFonts w:ascii="Calibri" w:cs="Calibri" w:eastAsia="Calibri" w:hAnsi="Calibri"/>
          <w:b/>
          <w:bCs/>
          <w:color w:val="1F4E79"/>
          <w:sz w:val="26"/>
          <w:szCs w:val="26"/>
        </w:rPr>
        <w:t xml:space="preserve">2.1 Principios metodológicos</w:t>
      </w:r>
    </w:p>
    <w:p>
      <w:pPr>
        <w:spacing w:after="120" w:before="240"/>
        <w:jc w:val="left"/>
      </w:pPr>
      <w:r>
        <w:rPr>
          <w:rFonts w:ascii="Calibri" w:cs="Calibri" w:eastAsia="Calibri" w:hAnsi="Calibri"/>
          <w:b/>
          <w:bCs/>
          <w:color w:val="1F4E79"/>
          <w:sz w:val="20"/>
          <w:szCs w:val="20"/>
        </w:rPr>
        <w:t xml:space="preserve">Tabla 2.1. Principios metodológicos del framework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0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Principio</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Descripción</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Implementación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Transparencia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Todas las fórmulas son explícitas y replicables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Código abierto en R/Python; workbook Excel completo</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Reproducibilidad</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Cualquier investigador puede replicar los resultados</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Scripts públicos · datos abiertos · 109+ fórmulas Excel auditables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Validación continua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Cada versión mejora la métrica de la anterior</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Tabla histórica de evolución de métricas (capítulo 15)</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Defensa frente a colinealidad</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Constructos demostrablemente diferenciables</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Validez discriminante explícita: r(IRA v2.0, GEE) = 0,433</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Multidimensionalidad</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Captura simultánea de múltiples dimensiones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8 indicadores no reductibles a un solo escalar; 4 dimensiones moderadoras autónomas</w:t>
            </w:r>
          </w:p>
        </w:tc>
      </w:tr>
    </w:tbl>
    <w:p>
      <w:pPr>
        <w:spacing w:after="180" w:before="320"/>
      </w:pPr>
      <w:r>
        <w:rPr>
          <w:rFonts w:ascii="Calibri" w:cs="Calibri" w:eastAsia="Calibri" w:hAnsi="Calibri"/>
          <w:b/>
          <w:bCs/>
          <w:color w:val="1F4E79"/>
          <w:sz w:val="26"/>
          <w:szCs w:val="26"/>
        </w:rPr>
        <w:t xml:space="preserve">2.2 Tipos de indicadores</w:t>
      </w:r>
    </w:p>
    <w:p>
      <w:pPr>
        <w:spacing w:after="160" w:before="0" w:line="320"/>
        <w:jc w:val="both"/>
      </w:pPr>
      <w:r>
        <w:rPr>
          <w:rFonts w:ascii="Calibri" w:cs="Calibri" w:eastAsia="Calibri" w:hAnsi="Calibri"/>
          <w:b/>
          <w:bCs/>
          <w:sz w:val="22"/>
          <w:szCs w:val="22"/>
        </w:rPr>
        <w:t xml:space="preserve">Indicadores formativos (ITEA, ICT, IPI)</w:t>
      </w:r>
      <w:r>
        <w:rPr>
          <w:rFonts w:ascii="Calibri" w:cs="Calibri" w:eastAsia="Calibri" w:hAnsi="Calibri"/>
          <w:sz w:val="22"/>
          <w:szCs w:val="22"/>
        </w:rPr>
        <w:t xml:space="preserve">: los componentes </w:t>
      </w:r>
      <w:r>
        <w:rPr>
          <w:rFonts w:ascii="Calibri" w:cs="Calibri" w:eastAsia="Calibri" w:hAnsi="Calibri"/>
          <w:i/>
          <w:iCs/>
          <w:sz w:val="22"/>
          <w:szCs w:val="22"/>
        </w:rPr>
        <w:t xml:space="preserve">causan</w:t>
      </w:r>
      <w:r>
        <w:rPr>
          <w:rFonts w:ascii="Calibri" w:cs="Calibri" w:eastAsia="Calibri" w:hAnsi="Calibri"/>
          <w:sz w:val="22"/>
          <w:szCs w:val="22"/>
        </w:rPr>
        <w:t xml:space="preserve"> el indicador. No aplica α de Cronbach. Validación mediante VIF (&lt;5) y estabilidad de pesos.</w:t>
      </w:r>
    </w:p>
    <w:p>
      <w:pPr>
        <w:spacing w:after="160" w:before="0" w:line="320"/>
        <w:jc w:val="both"/>
      </w:pPr>
      <w:r>
        <w:rPr>
          <w:rFonts w:ascii="Calibri" w:cs="Calibri" w:eastAsia="Calibri" w:hAnsi="Calibri"/>
          <w:b/>
          <w:bCs/>
          <w:sz w:val="22"/>
          <w:szCs w:val="22"/>
        </w:rPr>
        <w:t xml:space="preserve">Indicadores reflexivos (IRA, IFS, IEF)</w:t>
      </w:r>
      <w:r>
        <w:rPr>
          <w:rFonts w:ascii="Calibri" w:cs="Calibri" w:eastAsia="Calibri" w:hAnsi="Calibri"/>
          <w:sz w:val="22"/>
          <w:szCs w:val="22"/>
        </w:rPr>
        <w:t xml:space="preserve">: el indicador </w:t>
      </w:r>
      <w:r>
        <w:rPr>
          <w:rFonts w:ascii="Calibri" w:cs="Calibri" w:eastAsia="Calibri" w:hAnsi="Calibri"/>
          <w:i/>
          <w:iCs/>
          <w:sz w:val="22"/>
          <w:szCs w:val="22"/>
        </w:rPr>
        <w:t xml:space="preserve">refleja</w:t>
      </w:r>
      <w:r>
        <w:rPr>
          <w:rFonts w:ascii="Calibri" w:cs="Calibri" w:eastAsia="Calibri" w:hAnsi="Calibri"/>
          <w:sz w:val="22"/>
          <w:szCs w:val="22"/>
        </w:rPr>
        <w:t xml:space="preserve"> un constructo latente. Aplica α de Cronbach (&gt;0,70). Validación mediante consistencia interna.</w:t>
      </w:r>
    </w:p>
    <w:p>
      <w:pPr>
        <w:spacing w:after="160" w:before="0" w:line="320"/>
        <w:jc w:val="both"/>
      </w:pPr>
      <w:r>
        <w:rPr>
          <w:rFonts w:ascii="Calibri" w:cs="Calibri" w:eastAsia="Calibri" w:hAnsi="Calibri"/>
          <w:b/>
          <w:bCs/>
          <w:sz w:val="22"/>
          <w:szCs w:val="22"/>
        </w:rPr>
        <w:t xml:space="preserve">Indicadores híbridos (GEE, IMO)</w:t>
      </w:r>
      <w:r>
        <w:rPr>
          <w:rFonts w:ascii="Calibri" w:cs="Calibri" w:eastAsia="Calibri" w:hAnsi="Calibri"/>
          <w:sz w:val="22"/>
          <w:szCs w:val="22"/>
        </w:rPr>
        <w:t xml:space="preserve">: combinan calibración estadística (GEE: OLS sobre Job Zone) o modelos de dos partes (IMO: Hurdle).</w:t>
      </w:r>
    </w:p>
    <w:p>
      <w:pPr>
        <w:spacing w:after="160" w:before="0" w:line="320"/>
        <w:jc w:val="both"/>
      </w:pPr>
      <w:r>
        <w:rPr>
          <w:rFonts w:ascii="Calibri" w:cs="Calibri" w:eastAsia="Calibri" w:hAnsi="Calibri"/>
          <w:b/>
          <w:bCs/>
          <w:color w:val="C00000"/>
          <w:sz w:val="22"/>
          <w:szCs w:val="22"/>
        </w:rPr>
        <w:t xml:space="preserve">Nota sobre el IRA v2.0</w:t>
      </w:r>
      <w:r>
        <w:rPr>
          <w:rFonts w:ascii="Calibri" w:cs="Calibri" w:eastAsia="Calibri" w:hAnsi="Calibri"/>
          <w:sz w:val="22"/>
          <w:szCs w:val="22"/>
        </w:rPr>
        <w:t xml:space="preserve">. El IRA v2.0 es un constructo </w:t>
      </w:r>
      <w:r>
        <w:rPr>
          <w:rFonts w:ascii="Calibri" w:cs="Calibri" w:eastAsia="Calibri" w:hAnsi="Calibri"/>
          <w:i/>
          <w:iCs/>
          <w:sz w:val="22"/>
          <w:szCs w:val="22"/>
        </w:rPr>
        <w:t xml:space="preserve">residualizado</w:t>
      </w:r>
      <w:r>
        <w:rPr>
          <w:rFonts w:ascii="Calibri" w:cs="Calibri" w:eastAsia="Calibri" w:hAnsi="Calibri"/>
          <w:sz w:val="22"/>
          <w:szCs w:val="22"/>
        </w:rPr>
        <w:t xml:space="preserve">: combina un componente reflexivo (CA, capacidad adaptativa) con residuos ortogonales (IRO_residual_norm) frente al GEE. El cálculo tradicional de α de Cronbach no es directamente aplicable a constructos residualizados, por lo que la validación del IRA se articula mediante (i) validez discriminante explícita frente al GEE, y (ii) coherencia interpretativa del componente CA. Esta limitación está documentada en el capítulo 14 y forma parte del trabajo futuro identificado para v2.1.</w:t>
      </w:r>
    </w:p>
    <w:p>
      <w:pPr>
        <w:spacing w:after="180" w:before="320"/>
      </w:pPr>
      <w:r>
        <w:rPr>
          <w:rFonts w:ascii="Calibri" w:cs="Calibri" w:eastAsia="Calibri" w:hAnsi="Calibri"/>
          <w:b/>
          <w:bCs/>
          <w:color w:val="1F4E79"/>
          <w:sz w:val="26"/>
          <w:szCs w:val="26"/>
        </w:rPr>
        <w:t xml:space="preserve">2.3 Criterios de inclusión y exclusión</w:t>
      </w:r>
    </w:p>
    <w:p>
      <w:pPr>
        <w:spacing w:after="120" w:before="240"/>
        <w:jc w:val="left"/>
      </w:pPr>
      <w:r>
        <w:rPr>
          <w:rFonts w:ascii="Calibri" w:cs="Calibri" w:eastAsia="Calibri" w:hAnsi="Calibri"/>
          <w:b/>
          <w:bCs/>
          <w:color w:val="1F4E79"/>
          <w:sz w:val="20"/>
          <w:szCs w:val="20"/>
        </w:rPr>
        <w:t xml:space="preserve">Tabla 2.2. Criterios de inclusión y exclusión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6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Criterio</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Incluido</w:t>
            </w:r>
          </w:p>
        </w:tc>
        <w:tc>
          <w:tcPr>
            <w:tcW w:type="dxa" w:w="3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Excluido / N efectivo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Universo total O*NET v29.1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1.016 ocupaciones SOC 6-dígitos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Ocupaciones civiles</w:t>
            </w:r>
          </w:p>
        </w:tc>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Todas las del universo</w:t>
            </w:r>
          </w:p>
        </w:tc>
        <w:tc>
          <w:tcPr>
            <w:tcW w:type="dxa" w:w="3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Militares (serie 55-)</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Ocupaciones “All Other”</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N/A</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datos de automatización (~93)</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Datos completos para AEI</w:t>
            </w:r>
          </w:p>
        </w:tc>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 ocupaciones</w:t>
            </w:r>
          </w:p>
        </w:tc>
        <w:tc>
          <w:tcPr>
            <w:tcW w:type="dxa" w:w="3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task_master O*NET (93)</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Datos completos para salarios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879 ocupaciones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BLS-O*NET salarios anuales 2024</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Datos completos para todos los indicadores ITEA</w:t>
            </w:r>
          </w:p>
        </w:tc>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c>
          <w:tcPr>
            <w:tcW w:type="dxa" w:w="3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N efectivo análisis OAEI v2.0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846 ocupaciones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Work Styles + Skills + Knowledge + IPI (170)</w:t>
            </w:r>
          </w:p>
        </w:tc>
      </w:tr>
    </w:tbl>
    <w:p>
      <w:pPr>
        <w:spacing w:after="160" w:before="0" w:line="320"/>
        <w:jc w:val="both"/>
      </w:pPr>
      <w:r>
        <w:rPr>
          <w:rFonts w:ascii="Calibri" w:cs="Calibri" w:eastAsia="Calibri" w:hAnsi="Calibri"/>
          <w:sz w:val="22"/>
          <w:szCs w:val="22"/>
        </w:rPr>
        <w:t xml:space="preserve">Todos los análisis estadísticos del framework v2.0 utilizan </w:t>
      </w:r>
      <w:r>
        <w:rPr>
          <w:rFonts w:ascii="Calibri" w:cs="Calibri" w:eastAsia="Calibri" w:hAnsi="Calibri"/>
          <w:b/>
          <w:bCs/>
          <w:sz w:val="22"/>
          <w:szCs w:val="22"/>
        </w:rPr>
        <w:t xml:space="preserve">N = 846 como muestra efectiva del cálculo OAEI</w:t>
      </w:r>
      <w:r>
        <w:rPr>
          <w:rFonts w:ascii="Calibri" w:cs="Calibri" w:eastAsia="Calibri" w:hAnsi="Calibri"/>
          <w:sz w:val="22"/>
          <w:szCs w:val="22"/>
        </w:rPr>
        <w:t xml:space="preserve">, </w:t>
      </w:r>
      <w:r>
        <w:rPr>
          <w:rFonts w:ascii="Calibri" w:cs="Calibri" w:eastAsia="Calibri" w:hAnsi="Calibri"/>
          <w:b/>
          <w:bCs/>
          <w:sz w:val="22"/>
          <w:szCs w:val="22"/>
        </w:rPr>
        <w:t xml:space="preserve">N = 923 para validez convergente con AEI</w:t>
      </w:r>
      <w:r>
        <w:rPr>
          <w:rFonts w:ascii="Calibri" w:cs="Calibri" w:eastAsia="Calibri" w:hAnsi="Calibri"/>
          <w:sz w:val="22"/>
          <w:szCs w:val="22"/>
        </w:rPr>
        <w:t xml:space="preserve">, y </w:t>
      </w:r>
      <w:r>
        <w:rPr>
          <w:rFonts w:ascii="Calibri" w:cs="Calibri" w:eastAsia="Calibri" w:hAnsi="Calibri"/>
          <w:b/>
          <w:bCs/>
          <w:sz w:val="22"/>
          <w:szCs w:val="22"/>
        </w:rPr>
        <w:t xml:space="preserve">N = 879 para validez de criterio con salarios</w:t>
      </w:r>
      <w:r>
        <w:rPr>
          <w:rFonts w:ascii="Calibri" w:cs="Calibri" w:eastAsia="Calibri" w:hAnsi="Calibri"/>
          <w:sz w:val="22"/>
          <w:szCs w:val="22"/>
        </w:rPr>
        <w:t xml:space="preserve">, salvo indicación explícita en contrario. Esta cascada de N declarativos sustituye al N agregado de v1.45 (que reportaba indistintamente N=862 o N=1016), introduciendo transparencia sobre la población efectiva de cada análisis.</w:t>
      </w:r>
    </w:p>
    <w:p>
      <w:r>
        <w:br w:type="page"/>
      </w:r>
    </w:p>
    <w:p>
      <w:pPr>
        <w:spacing w:after="240" w:before="480"/>
      </w:pPr>
      <w:r>
        <w:rPr>
          <w:rFonts w:ascii="Calibri" w:cs="Calibri" w:eastAsia="Calibri" w:hAnsi="Calibri"/>
          <w:b/>
          <w:bCs/>
          <w:color w:val="1F4E79"/>
          <w:sz w:val="32"/>
          <w:szCs w:val="32"/>
        </w:rPr>
        <w:t xml:space="preserve">3. Estructura de Indicadores</w:t>
      </w:r>
    </w:p>
    <w:p>
      <w:pPr>
        <w:spacing w:after="180" w:before="320"/>
      </w:pPr>
      <w:r>
        <w:rPr>
          <w:rFonts w:ascii="Calibri" w:cs="Calibri" w:eastAsia="Calibri" w:hAnsi="Calibri"/>
          <w:b/>
          <w:bCs/>
          <w:color w:val="1F4E79"/>
          <w:sz w:val="26"/>
          <w:szCs w:val="26"/>
        </w:rPr>
        <w:t xml:space="preserve">3.1 Tabla resumen</w:t>
      </w:r>
    </w:p>
    <w:p>
      <w:pPr>
        <w:spacing w:after="120" w:before="240"/>
        <w:jc w:val="left"/>
      </w:pPr>
      <w:r>
        <w:rPr>
          <w:rFonts w:ascii="Calibri" w:cs="Calibri" w:eastAsia="Calibri" w:hAnsi="Calibri"/>
          <w:b/>
          <w:bCs/>
          <w:color w:val="1F4E79"/>
          <w:sz w:val="20"/>
          <w:szCs w:val="20"/>
        </w:rPr>
        <w:t xml:space="preserve">Tabla 3.1. Estructura completa del Framework ITEA v2.0 (8 indicadores principales + AEI + OAEI)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500"/>
        <w:gridCol w:w="1100"/>
        <w:gridCol w:w="700"/>
        <w:gridCol w:w="1500"/>
        <w:gridCol w:w="2700"/>
      </w:tblGrid>
      <w:tr>
        <w:trPr>
          <w:tblHeader/>
        </w:trPr>
        <w:tc>
          <w:tcPr>
            <w:tcW w:type="dxa" w:w="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w:t>
            </w:r>
          </w:p>
        </w:tc>
        <w:tc>
          <w:tcPr>
            <w:tcW w:type="dxa" w:w="13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Indicador</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Tipo</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Rango</w:t>
            </w:r>
          </w:p>
        </w:tc>
        <w:tc>
          <w:tcPr>
            <w:tcW w:type="dxa" w:w="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N</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Métrica clave</w:t>
            </w:r>
          </w:p>
        </w:tc>
        <w:tc>
          <w:tcPr>
            <w:tcW w:type="dxa" w:w="2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Cambio v1.45 → v2.0</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1</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ITEA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Formativo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VIF 1,21</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4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2</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IRA v2.0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Residualizado</w:t>
            </w:r>
          </w:p>
        </w:tc>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846</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r(IRA, GEE)=0,433</w:t>
            </w:r>
          </w:p>
        </w:tc>
        <w:tc>
          <w:tcPr>
            <w:tcW w:type="dxa" w:w="2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REEMPLAZA al IRO. Reconceptualización mayor.</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3</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ICT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Formativo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1.016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VIF 1,15</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4</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IFS</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Reflexivo</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α=0,749</w:t>
            </w:r>
          </w:p>
        </w:tc>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5</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IPI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Formativo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r(IPI,IFS)=−0,156</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6</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IEF</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Reflexivo</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α=0,919</w:t>
            </w:r>
          </w:p>
        </w:tc>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7</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GEE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Híbrido (OLS)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ρ JZ=0,927</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8</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IMO</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Híbrido (Hurdle)</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 1]</w:t>
            </w:r>
          </w:p>
        </w:tc>
        <w:tc>
          <w:tcPr>
            <w:tcW w:type="dxa" w:w="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76,9% ceros</w:t>
            </w:r>
          </w:p>
        </w:tc>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4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AEI</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Auxiliar (criterio)</w:t>
            </w:r>
          </w:p>
        </w:tc>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[34,8; 113,5]</w:t>
            </w:r>
          </w:p>
        </w:tc>
        <w:tc>
          <w:tcPr>
            <w:tcW w:type="dxa" w:w="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r(ITEA,AEI)=0,720</w:t>
            </w:r>
          </w:p>
        </w:tc>
        <w:tc>
          <w:tcPr>
            <w:tcW w:type="dxa" w:w="2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Articulada explícitamente</w:t>
            </w:r>
          </w:p>
        </w:tc>
      </w:tr>
      <w:tr>
        <w:tc>
          <w:tcPr>
            <w:tcW w:type="dxa" w:w="4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v2.0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Compuesto</w:t>
            </w:r>
          </w:p>
        </w:tc>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 100]</w:t>
            </w:r>
          </w:p>
        </w:tc>
        <w:tc>
          <w:tcPr>
            <w:tcW w:type="dxa" w:w="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846</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r(OAEI,Wage)=0,607</w:t>
            </w:r>
          </w:p>
        </w:tc>
        <w:tc>
          <w:tcPr>
            <w:tcW w:type="dxa" w:w="2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Recalibración a escala interpretable</w:t>
            </w:r>
          </w:p>
        </w:tc>
      </w:tr>
    </w:tbl>
    <w:p>
      <w:pPr>
        <w:spacing w:after="240" w:before="80"/>
        <w:jc w:val="both"/>
      </w:pPr>
      <w:r>
        <w:rPr>
          <w:rFonts w:ascii="Calibri" w:cs="Calibri" w:eastAsia="Calibri" w:hAnsi="Calibri"/>
          <w:i/>
          <w:iCs/>
          <w:color w:val="666666"/>
          <w:sz w:val="18"/>
          <w:szCs w:val="18"/>
        </w:rPr>
        <w:t xml:space="preserve">Filas resaltadas: indicadores con cambios estructurales en v2.0. El IRA v2.0 reemplaza al IRO de v1.45; la AEI se articula explícitamente como criterio convergente; el OAEI se recalibra a escala [1, 100].</w:t>
      </w:r>
    </w:p>
    <w:p>
      <w:r>
        <w:br w:type="page"/>
      </w:r>
    </w:p>
    <w:p>
      <w:pPr>
        <w:spacing w:after="240" w:before="480"/>
      </w:pPr>
      <w:r>
        <w:rPr>
          <w:rFonts w:ascii="Calibri" w:cs="Calibri" w:eastAsia="Calibri" w:hAnsi="Calibri"/>
          <w:b/>
          <w:bCs/>
          <w:color w:val="1F4E79"/>
          <w:sz w:val="32"/>
          <w:szCs w:val="32"/>
        </w:rPr>
        <w:t xml:space="preserve">4. ITEA — Índice de Triple Exposición a la Automatización</w:t>
      </w:r>
    </w:p>
    <w:p>
      <w:pPr>
        <w:spacing w:after="180" w:before="320"/>
      </w:pPr>
      <w:r>
        <w:rPr>
          <w:rFonts w:ascii="Calibri" w:cs="Calibri" w:eastAsia="Calibri" w:hAnsi="Calibri"/>
          <w:b/>
          <w:bCs/>
          <w:color w:val="1F4E79"/>
          <w:sz w:val="26"/>
          <w:szCs w:val="26"/>
        </w:rPr>
        <w:t xml:space="preserve">4.1 Definición conceptual</w:t>
      </w:r>
    </w:p>
    <w:p>
      <w:pPr>
        <w:spacing w:after="160" w:before="0" w:line="320"/>
        <w:jc w:val="both"/>
      </w:pPr>
      <w:r>
        <w:rPr>
          <w:rFonts w:ascii="Calibri" w:cs="Calibri" w:eastAsia="Calibri" w:hAnsi="Calibri"/>
          <w:sz w:val="22"/>
          <w:szCs w:val="22"/>
        </w:rPr>
        <w:t xml:space="preserve">El ITEA mide el nivel de exposición de una ocupación a tres fuentes distintas de automatización: cognitiva (EAC), general (EIG) e inteligencia artificial específica (EIA). Es el indicador central del framework por capturar simultáneamente las tres tecnologías de automatización dominantes a 2026.</w:t>
      </w:r>
    </w:p>
    <w:p>
      <w:pPr>
        <w:spacing w:after="120" w:before="240"/>
        <w:jc w:val="left"/>
      </w:pPr>
      <w:r>
        <w:rPr>
          <w:rFonts w:ascii="Calibri" w:cs="Calibri" w:eastAsia="Calibri" w:hAnsi="Calibri"/>
          <w:b/>
          <w:bCs/>
          <w:color w:val="1F4E79"/>
          <w:sz w:val="20"/>
          <w:szCs w:val="20"/>
        </w:rPr>
        <w:t xml:space="preserve">Tabla 4.1. Componentes del ITEA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3000"/>
        <w:gridCol w:w="32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Componente</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Sigla</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Mide</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Ejemplo de tarea de alta exposición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Exposición Automatización Cognitiva</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EAC</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Tareas repetitivas basadas en reglas explícitas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Procesamiento de datos, clasificación deterministica</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Exposición Inteligencia General</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EIG</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Automatización de tareas rutinarias mediante LLMs de propósito general</w:t>
            </w:r>
          </w:p>
        </w:tc>
        <w:tc>
          <w:tcPr>
            <w:tcW w:type="dxa" w:w="3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Entrada de datos, redacción simple, resúmenes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Exposición IA Específica</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EIA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Vulnerabilidad a LLMs entrenados en corpora propietarios (régimen Agentic)</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Análisis financiero especializado, diagnóstico médico, generación de informes técnicos</w:t>
            </w:r>
          </w:p>
        </w:tc>
      </w:tr>
    </w:tbl>
    <w:p>
      <w:pPr>
        <w:spacing w:after="240" w:before="80"/>
        <w:jc w:val="both"/>
      </w:pPr>
      <w:r>
        <w:rPr>
          <w:rFonts w:ascii="Calibri" w:cs="Calibri" w:eastAsia="Calibri" w:hAnsi="Calibri"/>
          <w:i/>
          <w:iCs/>
          <w:color w:val="666666"/>
          <w:sz w:val="18"/>
          <w:szCs w:val="18"/>
        </w:rPr>
        <w:t xml:space="preserve">EIA es el componente más relevante para el régimen Agentic AI y exhibe la correlación más alta con el AEI: r(EIA, AEI) = 0,939.</w:t>
      </w:r>
    </w:p>
    <w:p>
      <w:pPr>
        <w:spacing w:after="180" w:before="320"/>
      </w:pPr>
      <w:r>
        <w:rPr>
          <w:rFonts w:ascii="Calibri" w:cs="Calibri" w:eastAsia="Calibri" w:hAnsi="Calibri"/>
          <w:b/>
          <w:bCs/>
          <w:color w:val="1F4E79"/>
          <w:sz w:val="26"/>
          <w:szCs w:val="26"/>
        </w:rPr>
        <w:t xml:space="preserve">4.2 Formulación matemática</w:t>
      </w:r>
    </w:p>
    <w:p>
      <w:pPr>
        <w:spacing w:after="160" w:before="0" w:line="320"/>
        <w:jc w:val="both"/>
      </w:pPr>
      <w:r>
        <w:rPr>
          <w:rFonts w:ascii="Calibri" w:cs="Calibri" w:eastAsia="Calibri" w:hAnsi="Calibri"/>
          <w:b/>
          <w:bCs/>
          <w:sz w:val="22"/>
          <w:szCs w:val="22"/>
        </w:rPr>
        <w:t xml:space="preserve">ITEA = (1/3) · EAC + (1/3) · EIG + (1/3) · EIA</w:t>
      </w:r>
    </w:p>
    <w:p>
      <w:pPr>
        <w:spacing w:after="160" w:before="0" w:line="320"/>
        <w:jc w:val="both"/>
      </w:pPr>
      <w:r>
        <w:rPr>
          <w:rFonts w:ascii="Calibri" w:cs="Calibri" w:eastAsia="Calibri" w:hAnsi="Calibri"/>
          <w:sz w:val="22"/>
          <w:szCs w:val="22"/>
        </w:rPr>
        <w:t xml:space="preserve">Donde EAC, EIG, EIA ∈ [0, 1]. Pesos iguales (1/3): decisión metodológica basada en análisis de sensibilidad; variaciones &lt;10% en pesos producen cambios &lt;2% en el ITEA agregado. La calibración empírica vía análisis de componentes principales (PCA) o modelos de ecuaciones estructurales (SEM) se identifica como línea de investigación futura para v2.1.</w:t>
      </w:r>
    </w:p>
    <w:p>
      <w:pPr>
        <w:spacing w:after="180" w:before="320"/>
      </w:pPr>
      <w:r>
        <w:rPr>
          <w:rFonts w:ascii="Calibri" w:cs="Calibri" w:eastAsia="Calibri" w:hAnsi="Calibri"/>
          <w:b/>
          <w:bCs/>
          <w:color w:val="1F4E79"/>
          <w:sz w:val="26"/>
          <w:szCs w:val="26"/>
        </w:rPr>
        <w:t xml:space="preserve">4.3 Interpretación de valores</w:t>
      </w:r>
    </w:p>
    <w:p>
      <w:pPr>
        <w:spacing w:after="120" w:before="240"/>
        <w:jc w:val="left"/>
      </w:pPr>
      <w:r>
        <w:rPr>
          <w:rFonts w:ascii="Calibri" w:cs="Calibri" w:eastAsia="Calibri" w:hAnsi="Calibri"/>
          <w:b/>
          <w:bCs/>
          <w:color w:val="1F4E79"/>
          <w:sz w:val="20"/>
          <w:szCs w:val="20"/>
        </w:rPr>
        <w:t xml:space="preserve">Tabla 4.2. Interpretación del ITEA por rangos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Rango</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Interpretación</w:t>
            </w:r>
          </w:p>
        </w:tc>
        <w:tc>
          <w:tcPr>
            <w:tcW w:type="dxa" w:w="5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Implicación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0,00 – 0,25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Muy baja exposición</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Ocupaciones seguras a corto/medio plazo</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0,25 – 0,50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Baja-moderada exposición</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Riesgo limitado; algunas tareas automatizables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0,50 – 0,75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Moderada-alta exposición</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Riesgo significativo; transformación probable</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0,75 – 1,00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Muy alta exposición</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Reestructuración severa o sustitución funcional probable</w:t>
            </w:r>
          </w:p>
        </w:tc>
      </w:tr>
    </w:tbl>
    <w:p>
      <w:pPr>
        <w:spacing w:after="180" w:before="320"/>
      </w:pPr>
      <w:r>
        <w:rPr>
          <w:rFonts w:ascii="Calibri" w:cs="Calibri" w:eastAsia="Calibri" w:hAnsi="Calibri"/>
          <w:b/>
          <w:bCs/>
          <w:color w:val="1F4E79"/>
          <w:sz w:val="26"/>
          <w:szCs w:val="26"/>
        </w:rPr>
        <w:t xml:space="preserve">4.4 Ejemplos concretos (v2.0)</w:t>
      </w:r>
    </w:p>
    <w:p>
      <w:pPr>
        <w:spacing w:after="120" w:before="240"/>
        <w:jc w:val="left"/>
      </w:pPr>
      <w:r>
        <w:rPr>
          <w:rFonts w:ascii="Calibri" w:cs="Calibri" w:eastAsia="Calibri" w:hAnsi="Calibri"/>
          <w:b/>
          <w:bCs/>
          <w:color w:val="1F4E79"/>
          <w:sz w:val="20"/>
          <w:szCs w:val="20"/>
        </w:rPr>
        <w:t xml:space="preserve">Tabla 4.3. Ejemplos ilustrativos de ITEA</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4500"/>
      </w:tblGrid>
      <w:tr>
        <w:trPr>
          <w:tblHeader/>
        </w:trPr>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Ocupación</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ITEA</w:t>
            </w:r>
          </w:p>
        </w:tc>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Razón principal</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Market Research Analysts (13-1161.00)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0,540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Alta EIG (1,000) y EIA (0,300)</w:t>
            </w:r>
          </w:p>
        </w:tc>
      </w:tr>
      <w:tr>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Credit Analysts (13-2041.00)</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0,535</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Alta exposición a análisis financiero automatizado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Physicians, Pathologists (29-1222.00)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0,525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Alta EIG (0,955) y EIA (0,318); diagnóstico vulnerable</w:t>
            </w:r>
          </w:p>
        </w:tc>
      </w:tr>
      <w:tr>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Emergency Medicine Physicians (29-1214.00)</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0,491</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Alta EIG; modulada por presencialidad alta</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Roofers (47-2181.00)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0,230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Muy baja; tareas físicas no rutinarias</w:t>
            </w:r>
          </w:p>
        </w:tc>
      </w:tr>
    </w:tbl>
    <w:p>
      <w:pPr>
        <w:spacing w:after="180" w:before="320"/>
      </w:pPr>
      <w:r>
        <w:rPr>
          <w:rFonts w:ascii="Calibri" w:cs="Calibri" w:eastAsia="Calibri" w:hAnsi="Calibri"/>
          <w:b/>
          <w:bCs/>
          <w:color w:val="1F4E79"/>
          <w:sz w:val="26"/>
          <w:szCs w:val="26"/>
        </w:rPr>
        <w:t xml:space="preserve">4.5 Implementación en R</w:t>
      </w:r>
    </w:p>
    <w:p>
      <w:pPr>
        <w:shd w:fill="F5F5F5" w:val="clear"/>
        <w:spacing w:after="80" w:before="80" w:line="280"/>
        <w:ind w:left="240"/>
      </w:pPr>
      <w:r>
        <w:rPr>
          <w:rFonts w:ascii="Consolas" w:cs="Consolas" w:eastAsia="Consolas" w:hAnsi="Consolas"/>
          <w:sz w:val="18"/>
          <w:szCs w:val="18"/>
        </w:rPr>
        <w:t xml:space="preserve">calcular_itea &lt;- function(eac, eig, eia) {</w:t>
      </w:r>
    </w:p>
    <w:p>
      <w:pPr>
        <w:shd w:fill="F5F5F5" w:val="clear"/>
        <w:spacing w:after="80" w:before="80" w:line="280"/>
        <w:ind w:left="240"/>
      </w:pPr>
      <w:r>
        <w:rPr>
          <w:rFonts w:ascii="Consolas" w:cs="Consolas" w:eastAsia="Consolas" w:hAnsi="Consolas"/>
          <w:sz w:val="18"/>
          <w:szCs w:val="18"/>
        </w:rPr>
        <w:t xml:space="preserve">  if(any(c(eac, eig, eia) &lt; 0 | c(eac, eig, eia) &gt; 1))</w:t>
      </w:r>
    </w:p>
    <w:p>
      <w:pPr>
        <w:shd w:fill="F5F5F5" w:val="clear"/>
        <w:spacing w:after="80" w:before="80" w:line="280"/>
        <w:ind w:left="240"/>
      </w:pPr>
      <w:r>
        <w:rPr>
          <w:rFonts w:ascii="Consolas" w:cs="Consolas" w:eastAsia="Consolas" w:hAnsi="Consolas"/>
          <w:sz w:val="18"/>
          <w:szCs w:val="18"/>
        </w:rPr>
        <w:t xml:space="preserve">    warning("Valores deben estar en [0,1]")</w:t>
      </w:r>
    </w:p>
    <w:p>
      <w:pPr>
        <w:shd w:fill="F5F5F5" w:val="clear"/>
        <w:spacing w:after="80" w:before="80" w:line="280"/>
        <w:ind w:left="240"/>
      </w:pPr>
      <w:r>
        <w:rPr>
          <w:rFonts w:ascii="Consolas" w:cs="Consolas" w:eastAsia="Consolas" w:hAnsi="Consolas"/>
          <w:sz w:val="18"/>
          <w:szCs w:val="18"/>
        </w:rPr>
        <w:t xml:space="preserve">  itea &lt;- (eac + eig + eia) / 3</w:t>
      </w:r>
    </w:p>
    <w:p>
      <w:pPr>
        <w:shd w:fill="F5F5F5" w:val="clear"/>
        <w:spacing w:after="80" w:before="80" w:line="280"/>
        <w:ind w:left="240"/>
      </w:pPr>
      <w:r>
        <w:rPr>
          <w:rFonts w:ascii="Consolas" w:cs="Consolas" w:eastAsia="Consolas" w:hAnsi="Consolas"/>
          <w:sz w:val="18"/>
          <w:szCs w:val="18"/>
        </w:rPr>
        <w:t xml:space="preserve">  return(itea)</w:t>
      </w:r>
    </w:p>
    <w:p>
      <w:pPr>
        <w:shd w:fill="F5F5F5" w:val="clear"/>
        <w:spacing w:after="80" w:before="80" w:line="280"/>
        <w:ind w:left="240"/>
      </w:pPr>
      <w:r>
        <w:rPr>
          <w:rFonts w:ascii="Consolas" w:cs="Consolas" w:eastAsia="Consolas" w:hAnsi="Consolas"/>
          <w:sz w:val="18"/>
          <w:szCs w:val="18"/>
        </w:rPr>
        <w:t xml:space="preserve">}</w:t>
      </w:r>
    </w:p>
    <w:p>
      <w:pPr>
        <w:spacing w:after="180" w:before="320"/>
      </w:pPr>
      <w:r>
        <w:rPr>
          <w:rFonts w:ascii="Calibri" w:cs="Calibri" w:eastAsia="Calibri" w:hAnsi="Calibri"/>
          <w:b/>
          <w:bCs/>
          <w:color w:val="1F4E79"/>
          <w:sz w:val="26"/>
          <w:szCs w:val="26"/>
        </w:rPr>
        <w:t xml:space="preserve">4.6 Implementación en Python</w:t>
      </w:r>
    </w:p>
    <w:p>
      <w:pPr>
        <w:shd w:fill="F5F5F5" w:val="clear"/>
        <w:spacing w:after="80" w:before="80" w:line="280"/>
        <w:ind w:left="240"/>
      </w:pPr>
      <w:r>
        <w:rPr>
          <w:rFonts w:ascii="Consolas" w:cs="Consolas" w:eastAsia="Consolas" w:hAnsi="Consolas"/>
          <w:sz w:val="18"/>
          <w:szCs w:val="18"/>
        </w:rPr>
        <w:t xml:space="preserve">def calcular_itea(eac, eig, eia):</w:t>
      </w:r>
    </w:p>
    <w:p>
      <w:pPr>
        <w:shd w:fill="F5F5F5" w:val="clear"/>
        <w:spacing w:after="80" w:before="80" w:line="280"/>
        <w:ind w:left="240"/>
      </w:pPr>
      <w:r>
        <w:rPr>
          <w:rFonts w:ascii="Consolas" w:cs="Consolas" w:eastAsia="Consolas" w:hAnsi="Consolas"/>
          <w:sz w:val="18"/>
          <w:szCs w:val="18"/>
        </w:rPr>
        <w:t xml:space="preserve">    eac, eig, eia = np.asarray(eac), np.asarray(eig), np.asarray(eia)</w:t>
      </w:r>
    </w:p>
    <w:p>
      <w:pPr>
        <w:shd w:fill="F5F5F5" w:val="clear"/>
        <w:spacing w:after="80" w:before="80" w:line="280"/>
        <w:ind w:left="240"/>
      </w:pPr>
      <w:r>
        <w:rPr>
          <w:rFonts w:ascii="Consolas" w:cs="Consolas" w:eastAsia="Consolas" w:hAnsi="Consolas"/>
          <w:sz w:val="18"/>
          <w:szCs w:val="18"/>
        </w:rPr>
        <w:t xml:space="preserve">    return (eac + eig + eia) / 3</w:t>
      </w:r>
    </w:p>
    <w:p>
      <w:pPr>
        <w:spacing w:after="180" w:before="320"/>
      </w:pPr>
      <w:r>
        <w:rPr>
          <w:rFonts w:ascii="Calibri" w:cs="Calibri" w:eastAsia="Calibri" w:hAnsi="Calibri"/>
          <w:b/>
          <w:bCs/>
          <w:color w:val="1F4E79"/>
          <w:sz w:val="26"/>
          <w:szCs w:val="26"/>
        </w:rPr>
        <w:t xml:space="preserve">4.7 Evolución v1.0 → v2.0</w:t>
      </w:r>
    </w:p>
    <w:p>
      <w:pPr>
        <w:spacing w:after="120" w:before="240"/>
        <w:jc w:val="left"/>
      </w:pPr>
      <w:r>
        <w:rPr>
          <w:rFonts w:ascii="Calibri" w:cs="Calibri" w:eastAsia="Calibri" w:hAnsi="Calibri"/>
          <w:b/>
          <w:bCs/>
          <w:color w:val="1F4E79"/>
          <w:sz w:val="20"/>
          <w:szCs w:val="20"/>
        </w:rPr>
        <w:t xml:space="preserve">Tabla 4.4. Histórico de versiones del ITEA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1500"/>
        <w:gridCol w:w="1500"/>
        <w:gridCol w:w="15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Versión</w:t>
            </w:r>
          </w:p>
        </w:tc>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Cambio principal</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r(ITEA,AEI)</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VIF máx</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Estabilidad pesos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v1.0</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Pesos teóricos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0,487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1,45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0,923</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v1.1</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Agregación aditiva</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0,543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1,18</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0,965</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v1.2</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Refinamiento componentes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0,561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1,15</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0,979</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v1.3</w:t>
            </w:r>
          </w:p>
        </w:tc>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Reformulación CC</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0,572</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1,21</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0,981</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v1.45</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Optimización CC reducido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1,21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0,983</w:t>
            </w:r>
          </w:p>
        </w:tc>
      </w:tr>
      <w:tr>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v2.0</w:t>
            </w:r>
          </w:p>
        </w:tc>
        <w:tc>
          <w:tcPr>
            <w:tcW w:type="dxa" w:w="4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 estructurales sobre v1.45</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1,21</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0,983</w:t>
            </w:r>
          </w:p>
        </w:tc>
      </w:tr>
    </w:tbl>
    <w:p>
      <w:r>
        <w:br w:type="page"/>
      </w:r>
    </w:p>
    <w:p>
      <w:pPr>
        <w:spacing w:after="240" w:before="480"/>
      </w:pPr>
      <w:r>
        <w:rPr>
          <w:rFonts w:ascii="Calibri" w:cs="Calibri" w:eastAsia="Calibri" w:hAnsi="Calibri"/>
          <w:b/>
          <w:bCs/>
          <w:color w:val="1F4E79"/>
          <w:sz w:val="32"/>
          <w:szCs w:val="32"/>
        </w:rPr>
        <w:t xml:space="preserve">5. IRA v2.0 — Índice de Resiliencia Adaptativa (reemplaza al IRO)</w:t>
      </w:r>
    </w:p>
    <w:p>
      <w:pPr>
        <w:spacing w:after="160" w:before="0" w:line="320"/>
        <w:jc w:val="both"/>
      </w:pPr>
      <w:r>
        <w:rPr>
          <w:rFonts w:ascii="Calibri" w:cs="Calibri" w:eastAsia="Calibri" w:hAnsi="Calibri"/>
          <w:b/>
          <w:bCs/>
          <w:color w:val="C00000"/>
          <w:sz w:val="22"/>
          <w:szCs w:val="22"/>
        </w:rPr>
        <w:t xml:space="preserve">ATENCIÓN: cambio estructural mayor en v2.0</w:t>
      </w:r>
      <w:r>
        <w:rPr>
          <w:rFonts w:ascii="Calibri" w:cs="Calibri" w:eastAsia="Calibri" w:hAnsi="Calibri"/>
          <w:sz w:val="22"/>
          <w:szCs w:val="22"/>
        </w:rPr>
        <w:t xml:space="preserve">. El presente capítulo documenta la sustitución del Índice de Resiliencia Ocupacional (IRO) por el Índice de Resiliencia Adaptativa (IRA v2.0). El cambio responde al diagnóstico de colinealidad estructural identificado en v1.45 y constituye la innovación central del salto de versión.</w:t>
      </w:r>
    </w:p>
    <w:p>
      <w:pPr>
        <w:spacing w:after="180" w:before="320"/>
      </w:pPr>
      <w:r>
        <w:rPr>
          <w:rFonts w:ascii="Calibri" w:cs="Calibri" w:eastAsia="Calibri" w:hAnsi="Calibri"/>
          <w:b/>
          <w:bCs/>
          <w:color w:val="1F4E79"/>
          <w:sz w:val="26"/>
          <w:szCs w:val="26"/>
        </w:rPr>
        <w:t xml:space="preserve">5.1 Diagnóstico del problema en v1.45</w:t>
      </w:r>
    </w:p>
    <w:p>
      <w:pPr>
        <w:spacing w:after="160" w:before="0" w:line="320"/>
        <w:jc w:val="both"/>
      </w:pPr>
      <w:r>
        <w:rPr>
          <w:rFonts w:ascii="Calibri" w:cs="Calibri" w:eastAsia="Calibri" w:hAnsi="Calibri"/>
          <w:sz w:val="22"/>
          <w:szCs w:val="22"/>
        </w:rPr>
        <w:t xml:space="preserve">La versión 1.45 articulaba el IRO como combinación lineal de tres componentes: capacidad adaptativa (CA, peso 0,35), complejidad cognitiva reducida a dos ítems (CC_v1.45 = Critical Thinking + Problem Solving, peso 0,35) y seguridad institucional (SI proxy, peso 0,30). En el análisis de validación cruzada con el resto del framework, esta construcción exhibía:</w:t>
      </w:r>
    </w:p>
    <w:p>
      <w:pPr>
        <w:spacing w:after="160" w:before="0" w:line="320"/>
        <w:jc w:val="both"/>
      </w:pPr>
      <w:r>
        <w:rPr>
          <w:rFonts w:ascii="Calibri" w:cs="Calibri" w:eastAsia="Calibri" w:hAnsi="Calibri"/>
          <w:b/>
          <w:bCs/>
          <w:color w:val="C00000"/>
          <w:sz w:val="22"/>
          <w:szCs w:val="22"/>
        </w:rPr>
        <w:t xml:space="preserve">r(IRO_v1.45, GEE) = 0,904</w:t>
      </w:r>
    </w:p>
    <w:p>
      <w:pPr>
        <w:spacing w:after="160" w:before="0" w:line="320"/>
        <w:jc w:val="both"/>
      </w:pPr>
      <w:r>
        <w:rPr>
          <w:rFonts w:ascii="Calibri" w:cs="Calibri" w:eastAsia="Calibri" w:hAnsi="Calibri"/>
          <w:sz w:val="22"/>
          <w:szCs w:val="22"/>
        </w:rPr>
        <w:t xml:space="preserve">Una colinealidad estructural que comprometía la interpretación del IRO como dimensión moderadora autónoma. La descomposición del IRO_v1.45 por componentes revela el origen estructural del problema:</w:t>
      </w:r>
    </w:p>
    <w:p>
      <w:pPr>
        <w:spacing w:after="120" w:before="240"/>
        <w:jc w:val="left"/>
      </w:pPr>
      <w:r>
        <w:rPr>
          <w:rFonts w:ascii="Calibri" w:cs="Calibri" w:eastAsia="Calibri" w:hAnsi="Calibri"/>
          <w:b/>
          <w:bCs/>
          <w:color w:val="1F4E79"/>
          <w:sz w:val="20"/>
          <w:szCs w:val="20"/>
        </w:rPr>
        <w:t xml:space="preserve">Tabla 5.1. Descomposición de la colinealidad IRO_v1.45 con GEE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Componente</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 con GEE</w:t>
            </w:r>
          </w:p>
        </w:tc>
        <w:tc>
          <w:tcPr>
            <w:tcW w:type="dxa" w:w="5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Diagnóstico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CA (Capacidad Adaptativa)</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0,607</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Componente más independiente. Mide actualización de conocimiento, aprendizaje activo y adaptabilidad/flexibilidad. Su correlación natural con GEE refleja que ciertos perfiles cualificados sí requieren operacionalmente alta adaptabilidad.</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CC_v1.45 (Critical Thinking + Problem Solving)</w:t>
            </w:r>
          </w:p>
        </w:tc>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0,824</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Mide capacidad cognitiva, que correlaciona naturalmente con educación formal. La reducción de 4 a 2 ítems en v1.45 no resolvió la duplicación con GEE.</w:t>
            </w:r>
          </w:p>
        </w:tc>
      </w:tr>
      <w:tr>
        <w:tc>
          <w:tcPr>
            <w:tcW w:type="dxa" w:w="3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SI proxy (Seguridad Institucional)</w:t>
            </w:r>
          </w:p>
        </w:tc>
        <w:tc>
          <w:tcPr>
            <w:tcW w:type="dxa" w:w="2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0,925</w:t>
            </w:r>
          </w:p>
        </w:tc>
        <w:tc>
          <w:tcPr>
            <w:tcW w:type="dxa" w:w="5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Cuasi-clon de GEE. La SI se construye como proxy a partir de Job Zone, que es precisamente la base sobre la que GEE se calibra. Duplicación instrumental directa.</w:t>
            </w:r>
          </w:p>
        </w:tc>
      </w:tr>
      <w:tr>
        <w:tc>
          <w:tcPr>
            <w:tcW w:type="dxa" w:w="3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IRO_v1.45 agregado</w:t>
            </w:r>
          </w:p>
        </w:tc>
        <w:tc>
          <w:tcPr>
            <w:tcW w:type="dxa" w:w="2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0,904</w:t>
            </w:r>
          </w:p>
        </w:tc>
        <w:tc>
          <w:tcPr>
            <w:tcW w:type="dxa" w:w="5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Producto de los tres componentes; la combinación refuerza la duplicación más que diluirla.</w:t>
            </w:r>
          </w:p>
        </w:tc>
      </w:tr>
    </w:tbl>
    <w:p>
      <w:pPr>
        <w:spacing w:after="240" w:before="80"/>
        <w:jc w:val="both"/>
      </w:pPr>
      <w:r>
        <w:rPr>
          <w:rFonts w:ascii="Calibri" w:cs="Calibri" w:eastAsia="Calibri" w:hAnsi="Calibri"/>
          <w:i/>
          <w:iCs/>
          <w:color w:val="666666"/>
          <w:sz w:val="18"/>
          <w:szCs w:val="18"/>
        </w:rPr>
        <w:t xml:space="preserve">La descomposición revela que el IRO_v1.45 no era un constructo autónomo de "resiliencia" sino una recombinación parcial del capital humano formal ya capturado por GEE. La duplicación es estructural, no metodológicamente corregible mediante recalibración de pesos.</w:t>
      </w:r>
    </w:p>
    <w:p>
      <w:pPr>
        <w:spacing w:after="160" w:before="0" w:line="320"/>
        <w:jc w:val="both"/>
      </w:pPr>
      <w:r>
        <w:rPr>
          <w:rFonts w:ascii="Calibri" w:cs="Calibri" w:eastAsia="Calibri" w:hAnsi="Calibri"/>
          <w:b/>
          <w:bCs/>
          <w:sz w:val="22"/>
          <w:szCs w:val="22"/>
        </w:rPr>
        <w:t xml:space="preserve">Conclusión diagnóstica</w:t>
      </w:r>
      <w:r>
        <w:rPr>
          <w:rFonts w:ascii="Calibri" w:cs="Calibri" w:eastAsia="Calibri" w:hAnsi="Calibri"/>
          <w:sz w:val="22"/>
          <w:szCs w:val="22"/>
        </w:rPr>
        <w:t xml:space="preserve">. El IRO_v1.45 mezclaba </w:t>
      </w:r>
      <w:r>
        <w:rPr>
          <w:rFonts w:ascii="Calibri" w:cs="Calibri" w:eastAsia="Calibri" w:hAnsi="Calibri"/>
          <w:i/>
          <w:iCs/>
          <w:sz w:val="22"/>
          <w:szCs w:val="22"/>
        </w:rPr>
        <w:t xml:space="preserve">capital humano</w:t>
      </w:r>
      <w:r>
        <w:rPr>
          <w:rFonts w:ascii="Calibri" w:cs="Calibri" w:eastAsia="Calibri" w:hAnsi="Calibri"/>
          <w:sz w:val="22"/>
          <w:szCs w:val="22"/>
        </w:rPr>
        <w:t xml:space="preserve"> (CC, SI) con </w:t>
      </w:r>
      <w:r>
        <w:rPr>
          <w:rFonts w:ascii="Calibri" w:cs="Calibri" w:eastAsia="Calibri" w:hAnsi="Calibri"/>
          <w:i/>
          <w:iCs/>
          <w:sz w:val="22"/>
          <w:szCs w:val="22"/>
        </w:rPr>
        <w:t xml:space="preserve">adaptabilidad</w:t>
      </w:r>
      <w:r>
        <w:rPr>
          <w:rFonts w:ascii="Calibri" w:cs="Calibri" w:eastAsia="Calibri" w:hAnsi="Calibri"/>
          <w:sz w:val="22"/>
          <w:szCs w:val="22"/>
        </w:rPr>
        <w:t xml:space="preserve">. Como GEE ya mide el capital humano, la duplicación era estructural y comprometía toda interpretación del IRO como dimensión moderadora autónoma. La solución requería reconceptualización, no recalibración.</w:t>
      </w:r>
    </w:p>
    <w:p>
      <w:pPr>
        <w:spacing w:after="180" w:before="320"/>
      </w:pPr>
      <w:r>
        <w:rPr>
          <w:rFonts w:ascii="Calibri" w:cs="Calibri" w:eastAsia="Calibri" w:hAnsi="Calibri"/>
          <w:b/>
          <w:bCs/>
          <w:color w:val="1F4E79"/>
          <w:sz w:val="26"/>
          <w:szCs w:val="26"/>
        </w:rPr>
        <w:t xml:space="preserve">5.2 Definición conceptual del IRA v2.0</w:t>
      </w:r>
    </w:p>
    <w:p>
      <w:pPr>
        <w:spacing w:after="160" w:before="0" w:line="320"/>
        <w:jc w:val="both"/>
      </w:pPr>
      <w:r>
        <w:rPr>
          <w:rFonts w:ascii="Calibri" w:cs="Calibri" w:eastAsia="Calibri" w:hAnsi="Calibri"/>
          <w:b/>
          <w:bCs/>
          <w:sz w:val="22"/>
          <w:szCs w:val="22"/>
        </w:rPr>
        <w:t xml:space="preserve">Definición. </w:t>
      </w:r>
      <w:r>
        <w:rPr>
          <w:rFonts w:ascii="Calibri" w:cs="Calibri" w:eastAsia="Calibri" w:hAnsi="Calibri"/>
          <w:sz w:val="22"/>
          <w:szCs w:val="22"/>
        </w:rPr>
        <w:t xml:space="preserve">El IRA v2.0 (Índice de Resiliencia Adaptativa) mide la capacidad de una ocupación para reconfigurarse y adaptarse a cambios tecnológicos disruptivos, definida operacionalmente como la </w:t>
      </w:r>
      <w:r>
        <w:rPr>
          <w:rFonts w:ascii="Calibri" w:cs="Calibri" w:eastAsia="Calibri" w:hAnsi="Calibri"/>
          <w:b/>
          <w:bCs/>
          <w:i/>
          <w:iCs/>
          <w:sz w:val="22"/>
          <w:szCs w:val="22"/>
        </w:rPr>
        <w:t xml:space="preserve">varianza de adaptabilidad ortogonal a la cualificación formal</w:t>
      </w:r>
      <w:r>
        <w:rPr>
          <w:rFonts w:ascii="Calibri" w:cs="Calibri" w:eastAsia="Calibri" w:hAnsi="Calibri"/>
          <w:sz w:val="22"/>
          <w:szCs w:val="22"/>
        </w:rPr>
        <w:t xml:space="preserve">. Por construcción, el IRA captura aquello que la cualificación (GEE) no predice por sí sola.</w:t>
      </w:r>
    </w:p>
    <w:p>
      <w:pPr>
        <w:spacing w:after="160" w:before="0" w:line="320"/>
        <w:jc w:val="both"/>
      </w:pPr>
      <w:r>
        <w:rPr>
          <w:rFonts w:ascii="Calibri" w:cs="Calibri" w:eastAsia="Calibri" w:hAnsi="Calibri"/>
          <w:sz w:val="22"/>
          <w:szCs w:val="22"/>
        </w:rPr>
        <w:t xml:space="preserve">La reconceptualización IRO → IRA refleja un cambio sustantivo de la definición del constructo: la versión 1.45 entendía la resiliencia como una mezcla de adaptabilidad, capacidad cognitiva y seguridad institucional; la versión 2.0 la define como adaptabilidad pura, aislada de las dimensiones de capital humano que GEE captura por su lado. Esto permite testar empíricamente la interacción GEE × IRA —imposible bajo la formulación v1.45 por la duplicación instrumental— y articular hipótesis discriminantes sobre la inversión Insider-Outsider bajo régimen Agentic.</w:t>
      </w:r>
    </w:p>
    <w:p>
      <w:pPr>
        <w:spacing w:after="180" w:before="320"/>
      </w:pPr>
      <w:r>
        <w:rPr>
          <w:rFonts w:ascii="Calibri" w:cs="Calibri" w:eastAsia="Calibri" w:hAnsi="Calibri"/>
          <w:b/>
          <w:bCs/>
          <w:color w:val="1F4E79"/>
          <w:sz w:val="26"/>
          <w:szCs w:val="26"/>
        </w:rPr>
        <w:t xml:space="preserve">5.3 Formulación matemática</w:t>
      </w:r>
    </w:p>
    <w:p>
      <w:pPr>
        <w:spacing w:after="160" w:before="0" w:line="320"/>
        <w:jc w:val="both"/>
      </w:pPr>
      <w:r>
        <w:rPr>
          <w:rFonts w:ascii="Calibri" w:cs="Calibri" w:eastAsia="Calibri" w:hAnsi="Calibri"/>
          <w:b/>
          <w:bCs/>
          <w:sz w:val="22"/>
          <w:szCs w:val="22"/>
        </w:rPr>
        <w:t xml:space="preserve">La construcción del IRA v2.0 procede en tres pasos secuenciales.</w:t>
      </w:r>
    </w:p>
    <w:p>
      <w:pPr>
        <w:spacing w:after="160" w:before="0" w:line="320"/>
        <w:jc w:val="both"/>
      </w:pPr>
      <w:r>
        <w:rPr>
          <w:rFonts w:ascii="Calibri" w:cs="Calibri" w:eastAsia="Calibri" w:hAnsi="Calibri"/>
          <w:b/>
          <w:bCs/>
          <w:sz w:val="22"/>
          <w:szCs w:val="22"/>
        </w:rPr>
        <w:t xml:space="preserve">Paso 1. </w:t>
      </w:r>
      <w:r>
        <w:rPr>
          <w:rFonts w:ascii="Calibri" w:cs="Calibri" w:eastAsia="Calibri" w:hAnsi="Calibri"/>
          <w:sz w:val="22"/>
          <w:szCs w:val="22"/>
        </w:rPr>
        <w:t xml:space="preserve">Residualización del IRO_v1.45 frente a GEE.</w:t>
      </w:r>
    </w:p>
    <w:p>
      <w:pPr>
        <w:spacing w:after="160" w:before="0" w:line="320"/>
        <w:jc w:val="both"/>
      </w:pPr>
      <w:r>
        <w:rPr>
          <w:rFonts w:ascii="Calibri" w:cs="Calibri" w:eastAsia="Calibri" w:hAnsi="Calibri"/>
          <w:sz w:val="22"/>
          <w:szCs w:val="22"/>
        </w:rPr>
        <w:t xml:space="preserve">Se calcula la regresión OLS univariante:</w:t>
      </w:r>
    </w:p>
    <w:p>
      <w:pPr>
        <w:spacing w:after="160" w:before="0" w:line="320"/>
        <w:jc w:val="both"/>
      </w:pPr>
      <w:r>
        <w:rPr>
          <w:rFonts w:ascii="Calibri" w:cs="Calibri" w:eastAsia="Calibri" w:hAnsi="Calibri"/>
          <w:b/>
          <w:bCs/>
          <w:sz w:val="22"/>
          <w:szCs w:val="22"/>
        </w:rPr>
        <w:t xml:space="preserve">    IRO_v1.45 = α + β · GEE + ε</w:t>
      </w:r>
    </w:p>
    <w:p>
      <w:pPr>
        <w:spacing w:after="160" w:before="0" w:line="320"/>
        <w:jc w:val="both"/>
      </w:pPr>
      <w:r>
        <w:rPr>
          <w:rFonts w:ascii="Calibri" w:cs="Calibri" w:eastAsia="Calibri" w:hAnsi="Calibri"/>
          <w:sz w:val="22"/>
          <w:szCs w:val="22"/>
        </w:rPr>
        <w:t xml:space="preserve">Se extraen los residuos ε como “varianza de IRO no explicada por GEE”. Estos residuos, normalizados a [0, 1] mediante transformación min-max, constituyen IRO_residual_norm. Por construcción analítica, r(IRO_residual_norm, GEE) = 0 exacto.</w:t>
      </w:r>
    </w:p>
    <w:p>
      <w:pPr>
        <w:spacing w:after="160" w:before="0" w:line="320"/>
        <w:jc w:val="both"/>
      </w:pPr>
      <w:r>
        <w:rPr>
          <w:rFonts w:ascii="Calibri" w:cs="Calibri" w:eastAsia="Calibri" w:hAnsi="Calibri"/>
          <w:b/>
          <w:bCs/>
          <w:sz w:val="22"/>
          <w:szCs w:val="22"/>
        </w:rPr>
        <w:t xml:space="preserve">Paso 2. </w:t>
      </w:r>
      <w:r>
        <w:rPr>
          <w:rFonts w:ascii="Calibri" w:cs="Calibri" w:eastAsia="Calibri" w:hAnsi="Calibri"/>
          <w:sz w:val="22"/>
          <w:szCs w:val="22"/>
        </w:rPr>
        <w:t xml:space="preserve">Identificación del componente más independiente.</w:t>
      </w:r>
    </w:p>
    <w:p>
      <w:pPr>
        <w:spacing w:after="160" w:before="0" w:line="320"/>
        <w:jc w:val="both"/>
      </w:pPr>
      <w:r>
        <w:rPr>
          <w:rFonts w:ascii="Calibri" w:cs="Calibri" w:eastAsia="Calibri" w:hAnsi="Calibri"/>
          <w:sz w:val="22"/>
          <w:szCs w:val="22"/>
        </w:rPr>
        <w:t xml:space="preserve">La capacidad adaptativa (CA), definida como promedio de cinco ítems de O*NET (Innovation, Adaptability, Tolerance, Curiosity, Initiative), exhibe la correlación más baja con GEE entre los tres componentes del IRO_v1.45 (r = 0,607). Se normaliza CA a [0, 1]:</w:t>
      </w:r>
    </w:p>
    <w:p>
      <w:pPr>
        <w:spacing w:after="160" w:before="0" w:line="320"/>
        <w:jc w:val="both"/>
      </w:pPr>
      <w:r>
        <w:rPr>
          <w:rFonts w:ascii="Calibri" w:cs="Calibri" w:eastAsia="Calibri" w:hAnsi="Calibri"/>
          <w:b/>
          <w:bCs/>
          <w:sz w:val="22"/>
          <w:szCs w:val="22"/>
        </w:rPr>
        <w:t xml:space="preserve">    CA_norm = (CA − min(CA)) / (max(CA) − min(CA))</w:t>
      </w:r>
    </w:p>
    <w:p>
      <w:pPr>
        <w:spacing w:after="160" w:before="0" w:line="320"/>
        <w:jc w:val="both"/>
      </w:pPr>
      <w:r>
        <w:rPr>
          <w:rFonts w:ascii="Calibri" w:cs="Calibri" w:eastAsia="Calibri" w:hAnsi="Calibri"/>
          <w:b/>
          <w:bCs/>
          <w:sz w:val="22"/>
          <w:szCs w:val="22"/>
        </w:rPr>
        <w:t xml:space="preserve">Paso 3. </w:t>
      </w:r>
      <w:r>
        <w:rPr>
          <w:rFonts w:ascii="Calibri" w:cs="Calibri" w:eastAsia="Calibri" w:hAnsi="Calibri"/>
          <w:sz w:val="22"/>
          <w:szCs w:val="22"/>
        </w:rPr>
        <w:t xml:space="preserve">Construcción del IRA v2.0 mediante combinación ponderada.</w:t>
      </w:r>
    </w:p>
    <w:p>
      <w:pPr>
        <w:spacing w:after="160" w:before="0" w:line="320"/>
        <w:jc w:val="both"/>
      </w:pPr>
      <w:r>
        <w:rPr>
          <w:rFonts w:ascii="Calibri" w:cs="Calibri" w:eastAsia="Calibri" w:hAnsi="Calibri"/>
          <w:b/>
          <w:bCs/>
          <w:color w:val="1F4E79"/>
          <w:sz w:val="22"/>
          <w:szCs w:val="22"/>
        </w:rPr>
        <w:t xml:space="preserve">    IRA_v2.0 = 0,60 · CA_norm + 0,40 · IRO_residual_norm</w:t>
      </w:r>
    </w:p>
    <w:p>
      <w:pPr>
        <w:spacing w:after="120" w:before="240"/>
        <w:jc w:val="left"/>
      </w:pPr>
      <w:r>
        <w:rPr>
          <w:rFonts w:ascii="Calibri" w:cs="Calibri" w:eastAsia="Calibri" w:hAnsi="Calibri"/>
          <w:b/>
          <w:bCs/>
          <w:color w:val="1F4E79"/>
          <w:sz w:val="20"/>
          <w:szCs w:val="20"/>
        </w:rPr>
        <w:t xml:space="preserve">Tabla 5.2. Justificación de los pesos del IRA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2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Componente</w:t>
            </w:r>
          </w:p>
        </w:tc>
        <w:tc>
          <w:tcPr>
            <w:tcW w:type="dxa" w:w="1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Peso</w:t>
            </w:r>
          </w:p>
        </w:tc>
        <w:tc>
          <w:tcPr>
            <w:tcW w:type="dxa" w:w="7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Justificación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CA_norm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0,60</w:t>
            </w:r>
          </w:p>
        </w:tc>
        <w:tc>
          <w:tcPr>
            <w:tcW w:type="dxa" w:w="7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Componente conceptualmente más alineado con la noción de adaptabilidad pura. Es la dimensión empíricamente más independiente (r=0,607 con GEE, frente a 0,824 de CC y 0,925 de SI). Su mayor peso refleja su mayor solidez como medida de adaptabilidad operacional.</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IRO_residual_norm</w:t>
            </w:r>
          </w:p>
        </w:tc>
        <w:tc>
          <w:tcPr>
            <w:tcW w:type="dxa" w:w="1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7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Captura la varianza de resiliencia ortogonal a la cualificación que CA no recoge directamente. Por construcción, estos residuos son perfectamente ortogonales a GEE; complementan a CA capturando dimensiones de adaptabilidad que la CA pura no incluye explícitamente (e.g., aspectos de la complejidad cognitiva o de la seguridad institucional que excedan la predicción del nivel educativo).</w:t>
            </w:r>
          </w:p>
        </w:tc>
      </w:tr>
    </w:tbl>
    <w:p>
      <w:pPr>
        <w:spacing w:after="240" w:before="80"/>
        <w:jc w:val="both"/>
      </w:pPr>
      <w:r>
        <w:rPr>
          <w:rFonts w:ascii="Calibri" w:cs="Calibri" w:eastAsia="Calibri" w:hAnsi="Calibri"/>
          <w:i/>
          <w:iCs/>
          <w:color w:val="666666"/>
          <w:sz w:val="18"/>
          <w:szCs w:val="18"/>
        </w:rPr>
        <w:t xml:space="preserve">La ponderación 60/40 es una decisión metodológica calibrada para preservar la centralidad conceptual de la capacidad adaptativa pura (CA) sin descartar la información residual de las otras dos dimensiones del IRO_v1.45 que excede la duplicación con GEE. El análisis de sensibilidad sobre la ponderación (50/50 o 70/30) produce variaciones en r(IRA, GEE) menores a 0,05, indicando robustez de la construcción.</w:t>
      </w:r>
    </w:p>
    <w:p>
      <w:pPr>
        <w:spacing w:after="180" w:before="320"/>
      </w:pPr>
      <w:r>
        <w:rPr>
          <w:rFonts w:ascii="Calibri" w:cs="Calibri" w:eastAsia="Calibri" w:hAnsi="Calibri"/>
          <w:b/>
          <w:bCs/>
          <w:color w:val="1F4E79"/>
          <w:sz w:val="26"/>
          <w:szCs w:val="26"/>
        </w:rPr>
        <w:t xml:space="preserve">5.4 Validación de la construcción</w:t>
      </w:r>
    </w:p>
    <w:p>
      <w:pPr>
        <w:spacing w:after="160" w:before="0" w:line="320"/>
        <w:jc w:val="both"/>
      </w:pPr>
      <w:r>
        <w:rPr>
          <w:rFonts w:ascii="Calibri" w:cs="Calibri" w:eastAsia="Calibri" w:hAnsi="Calibri"/>
          <w:sz w:val="22"/>
          <w:szCs w:val="22"/>
        </w:rPr>
        <w:t xml:space="preserve">La validez de la construcción IRA v2.0 se evalúa frente a tres criterios:</w:t>
      </w:r>
    </w:p>
    <w:p>
      <w:pPr>
        <w:spacing w:after="120" w:before="240"/>
        <w:jc w:val="left"/>
      </w:pPr>
      <w:r>
        <w:rPr>
          <w:rFonts w:ascii="Calibri" w:cs="Calibri" w:eastAsia="Calibri" w:hAnsi="Calibri"/>
          <w:b/>
          <w:bCs/>
          <w:color w:val="1F4E79"/>
          <w:sz w:val="20"/>
          <w:szCs w:val="20"/>
        </w:rPr>
        <w:t xml:space="preserve">Tabla 5.3. Validación del IRA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Criterio</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Resultado</w:t>
            </w:r>
          </w:p>
        </w:tc>
        <w:tc>
          <w:tcPr>
            <w:tcW w:type="dxa" w:w="5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Interpretación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Validez discriminante (r con GEE)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0,433</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Reducido sustancialmente desde 0,904 en v1.45. La correlación residual de 0,433 —no la ortogonalidad perfecta— es esperable: CA mantiene su correlación natural de 0,607 con GEE porque ciertos perfiles ocupacionales de alta cualificación sí requieren operacionalmente alta adaptabilidad. La transición v1.45 → v2.0 elimina la duplicación instrumental, no la asociación natural.</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Distribución (rango efectivo)</w:t>
            </w:r>
          </w:p>
        </w:tc>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[0,000; 0,975]</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Distribución amplia, con presencia significativa en los cuatro cuadrantes GEE × IRA. Mediana 0,180; media 0,222; std 0,151. Asimetría positiva moderada.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Coherencia interpretativa</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Las ocupaciones con IRA alto son aquellas cuyo perfil O*NET refleja explícitamente alta adaptabilidad (científicos, profesionales sanitarios, especialistas en informática), independientemente del nivel exacto de cualificación formal.</w:t>
            </w:r>
          </w:p>
        </w:tc>
      </w:tr>
    </w:tbl>
    <w:p>
      <w:pPr>
        <w:spacing w:after="180" w:before="320"/>
      </w:pPr>
      <w:r>
        <w:rPr>
          <w:rFonts w:ascii="Calibri" w:cs="Calibri" w:eastAsia="Calibri" w:hAnsi="Calibri"/>
          <w:b/>
          <w:bCs/>
          <w:color w:val="1F4E79"/>
          <w:sz w:val="26"/>
          <w:szCs w:val="26"/>
        </w:rPr>
        <w:t xml:space="preserve">5.5 Interpretación por rangos</w:t>
      </w:r>
    </w:p>
    <w:p>
      <w:pPr>
        <w:spacing w:after="120" w:before="240"/>
        <w:jc w:val="left"/>
      </w:pPr>
      <w:r>
        <w:rPr>
          <w:rFonts w:ascii="Calibri" w:cs="Calibri" w:eastAsia="Calibri" w:hAnsi="Calibri"/>
          <w:b/>
          <w:bCs/>
          <w:color w:val="1F4E79"/>
          <w:sz w:val="20"/>
          <w:szCs w:val="20"/>
        </w:rPr>
        <w:t xml:space="preserve">Tabla 5.4. Interpretación del IRA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Rango</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Interpretación</w:t>
            </w:r>
          </w:p>
        </w:tc>
        <w:tc>
          <w:tcPr>
            <w:tcW w:type="dxa" w:w="5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Implicación bajo régimen Agentic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0,00 – 0,15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Adaptabilidad mínima</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Vulnerabilidad alta a sustitución; incluso si GEE es alto, la rigidez funcional limita reconversión</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0,15 – 0,30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Adaptabilidad moderada-baja</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Capacidad de aprendizaje continuo limitada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0,30 – 0,50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Adaptabilidad moderada</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Capacidad operativa de reconfiguración tareas</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0,50 – 0,75</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Adaptabilidad alta</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Bajo régimen Agentic, este rango paradójicamente AMPLIFICA la cristalización del capital intelectual (ver capítulo 13)</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0,75 – 1,00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Adaptabilidad muy alta</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Combinada con GEE alto, define el cuadrante Q1 de máxima exposición a expropiación algorítmica</w:t>
            </w:r>
          </w:p>
        </w:tc>
      </w:tr>
    </w:tbl>
    <w:p>
      <w:pPr>
        <w:spacing w:after="160" w:before="0" w:line="320"/>
        <w:jc w:val="both"/>
      </w:pPr>
      <w:r>
        <w:rPr>
          <w:rFonts w:ascii="Calibri" w:cs="Calibri" w:eastAsia="Calibri" w:hAnsi="Calibri"/>
          <w:b/>
          <w:bCs/>
          <w:color w:val="C00000"/>
          <w:sz w:val="22"/>
          <w:szCs w:val="22"/>
        </w:rPr>
        <w:t xml:space="preserve">Nota interpretativa importante</w:t>
      </w:r>
      <w:r>
        <w:rPr>
          <w:rFonts w:ascii="Calibri" w:cs="Calibri" w:eastAsia="Calibri" w:hAnsi="Calibri"/>
          <w:sz w:val="22"/>
          <w:szCs w:val="22"/>
        </w:rPr>
        <w:t xml:space="preserve">. Bajo el régimen industrial canónico pre-Agentic, el IRA alto operaría sin ambigüedad como </w:t>
      </w:r>
      <w:r>
        <w:rPr>
          <w:rFonts w:ascii="Calibri" w:cs="Calibri" w:eastAsia="Calibri" w:hAnsi="Calibri"/>
          <w:i/>
          <w:iCs/>
          <w:sz w:val="22"/>
          <w:szCs w:val="22"/>
        </w:rPr>
        <w:t xml:space="preserve">factor protector</w:t>
      </w:r>
      <w:r>
        <w:rPr>
          <w:rFonts w:ascii="Calibri" w:cs="Calibri" w:eastAsia="Calibri" w:hAnsi="Calibri"/>
          <w:sz w:val="22"/>
          <w:szCs w:val="22"/>
        </w:rPr>
        <w:t xml:space="preserve">. Bajo régimen Agentic, su efecto se invierte: el trabajador con alta capacidad adaptativa alimenta continuamente la espiral SECI que el sistema Agentic captura, cristalizando capital intelectual a mayor velocidad. Esta es la inversión refinada de la teoría Insider-Outsider que el Paper 8A documenta empíricamente. Véase la documentación del análisis cuadrante en el capítulo 14 y en el Paper 8A §4.3.</w:t>
      </w:r>
    </w:p>
    <w:p>
      <w:pPr>
        <w:spacing w:after="180" w:before="320"/>
      </w:pPr>
      <w:r>
        <w:rPr>
          <w:rFonts w:ascii="Calibri" w:cs="Calibri" w:eastAsia="Calibri" w:hAnsi="Calibri"/>
          <w:b/>
          <w:bCs/>
          <w:color w:val="1F4E79"/>
          <w:sz w:val="26"/>
          <w:szCs w:val="26"/>
        </w:rPr>
        <w:t xml:space="preserve">5.6 Implementación en Python</w:t>
      </w:r>
    </w:p>
    <w:p>
      <w:pPr>
        <w:shd w:fill="F5F5F5" w:val="clear"/>
        <w:spacing w:after="80" w:before="80" w:line="280"/>
        <w:ind w:left="240"/>
      </w:pPr>
      <w:r>
        <w:rPr>
          <w:rFonts w:ascii="Consolas" w:cs="Consolas" w:eastAsia="Consolas" w:hAnsi="Consolas"/>
          <w:sz w:val="18"/>
          <w:szCs w:val="18"/>
        </w:rPr>
        <w:t xml:space="preserve">def calcular_ira_v2(ca, iro_v145, gee):</w:t>
      </w:r>
    </w:p>
    <w:p>
      <w:pPr>
        <w:shd w:fill="F5F5F5" w:val="clear"/>
        <w:spacing w:after="80" w:before="80" w:line="280"/>
        <w:ind w:left="240"/>
      </w:pPr>
      <w:r>
        <w:rPr>
          <w:rFonts w:ascii="Consolas" w:cs="Consolas" w:eastAsia="Consolas" w:hAnsi="Consolas"/>
          <w:sz w:val="18"/>
          <w:szCs w:val="18"/>
        </w:rPr>
        <w:t xml:space="preserve">    """IRA v2.0 = 0.60 * CA_norm + 0.40 * IRO_residual_norm"""</w:t>
      </w:r>
    </w:p>
    <w:p>
      <w:pPr>
        <w:shd w:fill="F5F5F5" w:val="clear"/>
        <w:spacing w:after="80" w:before="80" w:line="280"/>
        <w:ind w:left="240"/>
      </w:pPr>
      <w:r>
        <w:rPr>
          <w:rFonts w:ascii="Consolas" w:cs="Consolas" w:eastAsia="Consolas" w:hAnsi="Consolas"/>
          <w:sz w:val="18"/>
          <w:szCs w:val="18"/>
        </w:rPr>
        <w:t xml:space="preserve">    from sklearn.linear_model import LinearRegression</w:t>
      </w:r>
    </w:p>
    <w:p>
      <w:pPr>
        <w:shd w:fill="F5F5F5" w:val="clear"/>
        <w:spacing w:after="80" w:before="80" w:line="280"/>
        <w:ind w:left="240"/>
      </w:pPr>
      <w:r>
        <w:rPr>
          <w:rFonts w:ascii="Consolas" w:cs="Consolas" w:eastAsia="Consolas" w:hAnsi="Consolas"/>
          <w:sz w:val="18"/>
          <w:szCs w:val="18"/>
        </w:rPr>
        <w:t xml:space="preserve">    import numpy as np</w:t>
      </w:r>
    </w:p>
    <w:p>
      <w:pPr>
        <w:shd w:fill="F5F5F5" w:val="clear"/>
        <w:spacing w:after="80" w:before="80" w:line="280"/>
        <w:ind w:left="240"/>
      </w:pPr>
      <w:r>
        <w:rPr>
          <w:rFonts w:ascii="Consolas" w:cs="Consolas" w:eastAsia="Consolas" w:hAnsi="Consolas"/>
          <w:sz w:val="18"/>
          <w:szCs w:val="18"/>
        </w:rPr>
        <w:t xml:space="preserve">    # Paso 1: residualizar IRO frente a GEE</w:t>
      </w:r>
    </w:p>
    <w:p>
      <w:pPr>
        <w:shd w:fill="F5F5F5" w:val="clear"/>
        <w:spacing w:after="80" w:before="80" w:line="280"/>
        <w:ind w:left="240"/>
      </w:pPr>
      <w:r>
        <w:rPr>
          <w:rFonts w:ascii="Consolas" w:cs="Consolas" w:eastAsia="Consolas" w:hAnsi="Consolas"/>
          <w:sz w:val="18"/>
          <w:szCs w:val="18"/>
        </w:rPr>
        <w:t xml:space="preserve">    X = np.array(gee).reshape(-1, 1)</w:t>
      </w:r>
    </w:p>
    <w:p>
      <w:pPr>
        <w:shd w:fill="F5F5F5" w:val="clear"/>
        <w:spacing w:after="80" w:before="80" w:line="280"/>
        <w:ind w:left="240"/>
      </w:pPr>
      <w:r>
        <w:rPr>
          <w:rFonts w:ascii="Consolas" w:cs="Consolas" w:eastAsia="Consolas" w:hAnsi="Consolas"/>
          <w:sz w:val="18"/>
          <w:szCs w:val="18"/>
        </w:rPr>
        <w:t xml:space="preserve">    y = np.array(iro_v145)</w:t>
      </w:r>
    </w:p>
    <w:p>
      <w:pPr>
        <w:shd w:fill="F5F5F5" w:val="clear"/>
        <w:spacing w:after="80" w:before="80" w:line="280"/>
        <w:ind w:left="240"/>
      </w:pPr>
      <w:r>
        <w:rPr>
          <w:rFonts w:ascii="Consolas" w:cs="Consolas" w:eastAsia="Consolas" w:hAnsi="Consolas"/>
          <w:sz w:val="18"/>
          <w:szCs w:val="18"/>
        </w:rPr>
        <w:t xml:space="preserve">    reg = LinearRegression().fit(X, y)</w:t>
      </w:r>
    </w:p>
    <w:p>
      <w:pPr>
        <w:shd w:fill="F5F5F5" w:val="clear"/>
        <w:spacing w:after="80" w:before="80" w:line="280"/>
        <w:ind w:left="240"/>
      </w:pPr>
      <w:r>
        <w:rPr>
          <w:rFonts w:ascii="Consolas" w:cs="Consolas" w:eastAsia="Consolas" w:hAnsi="Consolas"/>
          <w:sz w:val="18"/>
          <w:szCs w:val="18"/>
        </w:rPr>
        <w:t xml:space="preserve">    iro_residual = y - reg.predict(X)</w:t>
      </w:r>
    </w:p>
    <w:p>
      <w:pPr>
        <w:shd w:fill="F5F5F5" w:val="clear"/>
        <w:spacing w:after="80" w:before="80" w:line="280"/>
        <w:ind w:left="240"/>
      </w:pPr>
      <w:r>
        <w:rPr>
          <w:rFonts w:ascii="Consolas" w:cs="Consolas" w:eastAsia="Consolas" w:hAnsi="Consolas"/>
          <w:sz w:val="18"/>
          <w:szCs w:val="18"/>
        </w:rPr>
        <w:t xml:space="preserve">    iro_residual_norm = (iro_residual - iro_residual.min()) / (iro_residual.max() - iro_residual.min())</w:t>
      </w:r>
    </w:p>
    <w:p>
      <w:pPr>
        <w:shd w:fill="F5F5F5" w:val="clear"/>
        <w:spacing w:after="80" w:before="80" w:line="280"/>
        <w:ind w:left="240"/>
      </w:pPr>
      <w:r>
        <w:rPr>
          <w:rFonts w:ascii="Consolas" w:cs="Consolas" w:eastAsia="Consolas" w:hAnsi="Consolas"/>
          <w:sz w:val="18"/>
          <w:szCs w:val="18"/>
        </w:rPr>
        <w:t xml:space="preserve">    # Paso 2: normalizar CA</w:t>
      </w:r>
    </w:p>
    <w:p>
      <w:pPr>
        <w:shd w:fill="F5F5F5" w:val="clear"/>
        <w:spacing w:after="80" w:before="80" w:line="280"/>
        <w:ind w:left="240"/>
      </w:pPr>
      <w:r>
        <w:rPr>
          <w:rFonts w:ascii="Consolas" w:cs="Consolas" w:eastAsia="Consolas" w:hAnsi="Consolas"/>
          <w:sz w:val="18"/>
          <w:szCs w:val="18"/>
        </w:rPr>
        <w:t xml:space="preserve">    ca_arr = np.array(ca)</w:t>
      </w:r>
    </w:p>
    <w:p>
      <w:pPr>
        <w:shd w:fill="F5F5F5" w:val="clear"/>
        <w:spacing w:after="80" w:before="80" w:line="280"/>
        <w:ind w:left="240"/>
      </w:pPr>
      <w:r>
        <w:rPr>
          <w:rFonts w:ascii="Consolas" w:cs="Consolas" w:eastAsia="Consolas" w:hAnsi="Consolas"/>
          <w:sz w:val="18"/>
          <w:szCs w:val="18"/>
        </w:rPr>
        <w:t xml:space="preserve">    ca_norm = (ca_arr - ca_arr.min()) / (ca_arr.max() - ca_arr.min())</w:t>
      </w:r>
    </w:p>
    <w:p>
      <w:pPr>
        <w:shd w:fill="F5F5F5" w:val="clear"/>
        <w:spacing w:after="80" w:before="80" w:line="280"/>
        <w:ind w:left="240"/>
      </w:pPr>
      <w:r>
        <w:rPr>
          <w:rFonts w:ascii="Consolas" w:cs="Consolas" w:eastAsia="Consolas" w:hAnsi="Consolas"/>
          <w:sz w:val="18"/>
          <w:szCs w:val="18"/>
        </w:rPr>
        <w:t xml:space="preserve">    # Paso 3: combinar</w:t>
      </w:r>
    </w:p>
    <w:p>
      <w:pPr>
        <w:shd w:fill="F5F5F5" w:val="clear"/>
        <w:spacing w:after="80" w:before="80" w:line="280"/>
        <w:ind w:left="240"/>
      </w:pPr>
      <w:r>
        <w:rPr>
          <w:rFonts w:ascii="Consolas" w:cs="Consolas" w:eastAsia="Consolas" w:hAnsi="Consolas"/>
          <w:sz w:val="18"/>
          <w:szCs w:val="18"/>
        </w:rPr>
        <w:t xml:space="preserve">    return 0.60 * ca_norm + 0.40 * iro_residual_norm</w:t>
      </w:r>
    </w:p>
    <w:p>
      <w:pPr>
        <w:spacing w:after="180" w:before="320"/>
      </w:pPr>
      <w:r>
        <w:rPr>
          <w:rFonts w:ascii="Calibri" w:cs="Calibri" w:eastAsia="Calibri" w:hAnsi="Calibri"/>
          <w:b/>
          <w:bCs/>
          <w:color w:val="1F4E79"/>
          <w:sz w:val="26"/>
          <w:szCs w:val="26"/>
        </w:rPr>
        <w:t xml:space="preserve">5.7 Limitaciones reconocidas del IRA v2.0</w:t>
      </w:r>
    </w:p>
    <w:p>
      <w:pPr>
        <w:pStyle w:val="ListParagraph"/>
        <w:numPr>
          <w:ilvl w:val="0"/>
          <w:numId w:val="1"/>
        </w:numPr>
        <w:spacing w:after="80" w:before="0" w:line="300"/>
      </w:pPr>
      <w:r>
        <w:rPr>
          <w:rFonts w:ascii="Calibri" w:cs="Calibri" w:eastAsia="Calibri" w:hAnsi="Calibri"/>
          <w:sz w:val="22"/>
          <w:szCs w:val="22"/>
        </w:rPr>
        <w:t xml:space="preserve">La correlación residual con GEE de 0,433 refleja la asociación natural entre cualificación y adaptabilidad operativa que ningún ajuste metodológico puede eliminar sin perder validez de constructo. La interpretación del IRA como “varianza adaptativa ortogonal a la cualificación” es defendible pero merece refinamiento futuro.</w:t>
      </w:r>
    </w:p>
    <w:p>
      <w:pPr>
        <w:pStyle w:val="ListParagraph"/>
        <w:numPr>
          <w:ilvl w:val="0"/>
          <w:numId w:val="1"/>
        </w:numPr>
        <w:spacing w:after="80" w:before="0" w:line="300"/>
      </w:pPr>
      <w:r>
        <w:rPr>
          <w:rFonts w:ascii="Calibri" w:cs="Calibri" w:eastAsia="Calibri" w:hAnsi="Calibri"/>
          <w:sz w:val="22"/>
          <w:szCs w:val="22"/>
        </w:rPr>
        <w:t xml:space="preserve">El cálculo tradicional del α de Cronbach no es directamente aplicable al constructo residualizado. Esto se documenta en el capítulo 14.</w:t>
      </w:r>
    </w:p>
    <w:p>
      <w:pPr>
        <w:pStyle w:val="ListParagraph"/>
        <w:numPr>
          <w:ilvl w:val="0"/>
          <w:numId w:val="1"/>
        </w:numPr>
        <w:spacing w:after="80" w:before="0" w:line="300"/>
      </w:pPr>
      <w:r>
        <w:rPr>
          <w:rFonts w:ascii="Calibri" w:cs="Calibri" w:eastAsia="Calibri" w:hAnsi="Calibri"/>
          <w:sz w:val="22"/>
          <w:szCs w:val="22"/>
        </w:rPr>
        <w:t xml:space="preserve">Futuras versiones (v2.1) podrían incorporar dimensiones adicionales de adaptabilidad no capturadas en O*NET: redes profesionales efectivas, capital social específico, sindicación formal/informal, y diversidad de habilidades transferibles cross-domain. La arquitectura modular del IRA permite añadir estas dimensiones como componentes adicionales sin reformulación estructural.</w:t>
      </w:r>
    </w:p>
    <w:p>
      <w:r>
        <w:br w:type="page"/>
      </w:r>
    </w:p>
    <w:p>
      <w:pPr>
        <w:spacing w:after="240" w:before="480"/>
      </w:pPr>
      <w:r>
        <w:rPr>
          <w:rFonts w:ascii="Calibri" w:cs="Calibri" w:eastAsia="Calibri" w:hAnsi="Calibri"/>
          <w:b/>
          <w:bCs/>
          <w:color w:val="1F4E79"/>
          <w:sz w:val="32"/>
          <w:szCs w:val="32"/>
        </w:rPr>
        <w:t xml:space="preserve">6. ICT — Índice de Complejidad Técnica</w:t>
      </w:r>
    </w:p>
    <w:p>
      <w:pPr>
        <w:spacing w:after="180" w:before="320"/>
      </w:pPr>
      <w:r>
        <w:rPr>
          <w:rFonts w:ascii="Calibri" w:cs="Calibri" w:eastAsia="Calibri" w:hAnsi="Calibri"/>
          <w:b/>
          <w:bCs/>
          <w:color w:val="1F4E79"/>
          <w:sz w:val="26"/>
          <w:szCs w:val="26"/>
        </w:rPr>
        <w:t xml:space="preserve">6.1 Definición conceptual</w:t>
      </w:r>
    </w:p>
    <w:p>
      <w:pPr>
        <w:spacing w:after="160" w:before="0" w:line="320"/>
        <w:jc w:val="both"/>
      </w:pPr>
      <w:r>
        <w:rPr>
          <w:rFonts w:ascii="Calibri" w:cs="Calibri" w:eastAsia="Calibri" w:hAnsi="Calibri"/>
          <w:sz w:val="22"/>
          <w:szCs w:val="22"/>
        </w:rPr>
        <w:t xml:space="preserve">El ICT mide el grado en que una ocupación requiere el uso de herramientas tecnológicas avanzadas, actualización técnica continua y la capacidad de operar fuera de rutinas secuenciales rígidas. Es un indicador formativo: los componentes causan el indicador.</w:t>
      </w:r>
    </w:p>
    <w:p>
      <w:pPr>
        <w:spacing w:after="180" w:before="320"/>
      </w:pPr>
      <w:r>
        <w:rPr>
          <w:rFonts w:ascii="Calibri" w:cs="Calibri" w:eastAsia="Calibri" w:hAnsi="Calibri"/>
          <w:b/>
          <w:bCs/>
          <w:color w:val="1F4E79"/>
          <w:sz w:val="26"/>
          <w:szCs w:val="26"/>
        </w:rPr>
        <w:t xml:space="preserve">6.2 Formulación matemática</w:t>
      </w:r>
    </w:p>
    <w:p>
      <w:pPr>
        <w:spacing w:after="160" w:before="0" w:line="320"/>
        <w:jc w:val="both"/>
      </w:pPr>
      <w:r>
        <w:rPr>
          <w:rFonts w:ascii="Calibri" w:cs="Calibri" w:eastAsia="Calibri" w:hAnsi="Calibri"/>
          <w:b/>
          <w:bCs/>
          <w:sz w:val="22"/>
          <w:szCs w:val="22"/>
        </w:rPr>
        <w:t xml:space="preserve">ICT = 0,35 · ITD + 0,30 · ATE + 0,35 · (1 − DTS)</w:t>
      </w:r>
    </w:p>
    <w:p>
      <w:pPr>
        <w:spacing w:after="120" w:before="240"/>
        <w:jc w:val="left"/>
      </w:pPr>
      <w:r>
        <w:rPr>
          <w:rFonts w:ascii="Calibri" w:cs="Calibri" w:eastAsia="Calibri" w:hAnsi="Calibri"/>
          <w:b/>
          <w:bCs/>
          <w:color w:val="1F4E79"/>
          <w:sz w:val="20"/>
          <w:szCs w:val="20"/>
        </w:rPr>
        <w:t xml:space="preserve">Tabla 6.1. Componentes del ICT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8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Componente</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Sigla</w:t>
            </w:r>
          </w:p>
        </w:tc>
        <w:tc>
          <w:tcPr>
            <w:tcW w:type="dxa" w:w="1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Peso</w:t>
            </w:r>
          </w:p>
        </w:tc>
        <w:tc>
          <w:tcPr>
            <w:tcW w:type="dxa" w:w="5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Descripción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Intensidad Tecnológica Digital</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ITD</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35%</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Frecuencia y diversidad de herramientas digitales utilizadas en la ocupación (software, hardware, plataformas)</w:t>
            </w:r>
          </w:p>
        </w:tc>
      </w:tr>
      <w:tr>
        <w:tc>
          <w:tcPr>
            <w:tcW w:type="dxa" w:w="2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Actualización Técnica</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ATE</w:t>
            </w:r>
          </w:p>
        </w:tc>
        <w:tc>
          <w:tcPr>
            <w:tcW w:type="dxa" w:w="1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30%</w:t>
            </w:r>
          </w:p>
        </w:tc>
        <w:tc>
          <w:tcPr>
            <w:tcW w:type="dxa" w:w="5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Necesidad de actualización continua: educación continua, certificaciones, formación técnica recurrente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Independencia Secuencial (1 − DTS)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(1−DTS)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35%</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Capacidad de operar fuera de rutinas secuenciales fijas. DTS (Dependencia Tecnológica Secuencial) se invierte: menor dependencia = mayor complejidad técnica autónoma</w:t>
            </w:r>
          </w:p>
        </w:tc>
      </w:tr>
    </w:tbl>
    <w:p>
      <w:pPr>
        <w:spacing w:after="240" w:before="80"/>
        <w:jc w:val="both"/>
      </w:pPr>
      <w:r>
        <w:rPr>
          <w:rFonts w:ascii="Calibri" w:cs="Calibri" w:eastAsia="Calibri" w:hAnsi="Calibri"/>
          <w:i/>
          <w:iCs/>
          <w:color w:val="666666"/>
          <w:sz w:val="18"/>
          <w:szCs w:val="18"/>
        </w:rPr>
        <w:t xml:space="preserve">VIF máximo 1,15. Sin cambios estructurales en v2.0 respecto a v1.45.</w:t>
      </w:r>
    </w:p>
    <w:p>
      <w:pPr>
        <w:spacing w:after="160" w:before="0" w:line="320"/>
        <w:jc w:val="both"/>
      </w:pPr>
      <w:r>
        <w:rPr>
          <w:rFonts w:ascii="Calibri" w:cs="Calibri" w:eastAsia="Calibri" w:hAnsi="Calibri"/>
          <w:sz w:val="22"/>
          <w:szCs w:val="22"/>
        </w:rPr>
        <w:t xml:space="preserve">DTS se invierte en la fórmula porque mide la rigidez secuencial: ocupaciones con baja DTS son aquellas que pueden adaptar su flujo de trabajo dinámicamente, lo que indica mayor complejidad técnica autónoma.</w:t>
      </w:r>
    </w:p>
    <w:p>
      <w:pPr>
        <w:spacing w:after="180" w:before="320"/>
      </w:pPr>
      <w:r>
        <w:rPr>
          <w:rFonts w:ascii="Calibri" w:cs="Calibri" w:eastAsia="Calibri" w:hAnsi="Calibri"/>
          <w:b/>
          <w:bCs/>
          <w:color w:val="1F4E79"/>
          <w:sz w:val="26"/>
          <w:szCs w:val="26"/>
        </w:rPr>
        <w:t xml:space="preserve">6.3 Evolución v1.0 → v2.0</w:t>
      </w:r>
    </w:p>
    <w:p>
      <w:pPr>
        <w:spacing w:after="120" w:before="240"/>
        <w:jc w:val="left"/>
      </w:pPr>
      <w:r>
        <w:rPr>
          <w:rFonts w:ascii="Calibri" w:cs="Calibri" w:eastAsia="Calibri" w:hAnsi="Calibri"/>
          <w:b/>
          <w:bCs/>
          <w:color w:val="1F4E79"/>
          <w:sz w:val="20"/>
          <w:szCs w:val="20"/>
        </w:rPr>
        <w:t xml:space="preserve">Tabla 6.2. Histórico ICT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2000"/>
        <w:gridCol w:w="24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Versión</w:t>
            </w:r>
          </w:p>
        </w:tc>
        <w:tc>
          <w:tcPr>
            <w:tcW w:type="dxa" w:w="5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Cambio principal</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VIF máx</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Estabilidad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Pesos teóricos uniformes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1,32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0,945</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v1.2</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Inversión de DTS</w:t>
            </w:r>
          </w:p>
        </w:tc>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1,18</w:t>
            </w:r>
          </w:p>
        </w:tc>
        <w:tc>
          <w:tcPr>
            <w:tcW w:type="dxa" w:w="2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0,968</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v1.45</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Mantenimiento estable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1,15</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0,981</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v2.0</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1,15</w:t>
            </w:r>
          </w:p>
        </w:tc>
        <w:tc>
          <w:tcPr>
            <w:tcW w:type="dxa" w:w="2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0,981</w:t>
            </w:r>
          </w:p>
        </w:tc>
      </w:tr>
    </w:tbl>
    <w:p>
      <w:r>
        <w:br w:type="page"/>
      </w:r>
    </w:p>
    <w:p>
      <w:pPr>
        <w:spacing w:after="240" w:before="480"/>
      </w:pPr>
      <w:r>
        <w:rPr>
          <w:rFonts w:ascii="Calibri" w:cs="Calibri" w:eastAsia="Calibri" w:hAnsi="Calibri"/>
          <w:b/>
          <w:bCs/>
          <w:color w:val="1F4E79"/>
          <w:sz w:val="32"/>
          <w:szCs w:val="32"/>
        </w:rPr>
        <w:t xml:space="preserve">7. IFS — Índice de Fricción Social</w:t>
      </w:r>
    </w:p>
    <w:p>
      <w:pPr>
        <w:spacing w:after="180" w:before="320"/>
      </w:pPr>
      <w:r>
        <w:rPr>
          <w:rFonts w:ascii="Calibri" w:cs="Calibri" w:eastAsia="Calibri" w:hAnsi="Calibri"/>
          <w:b/>
          <w:bCs/>
          <w:color w:val="1F4E79"/>
          <w:sz w:val="26"/>
          <w:szCs w:val="26"/>
        </w:rPr>
        <w:t xml:space="preserve">7.1 Definición conceptual</w:t>
      </w:r>
    </w:p>
    <w:p>
      <w:pPr>
        <w:spacing w:after="160" w:before="0" w:line="320"/>
        <w:jc w:val="both"/>
      </w:pPr>
      <w:r>
        <w:rPr>
          <w:rFonts w:ascii="Calibri" w:cs="Calibri" w:eastAsia="Calibri" w:hAnsi="Calibri"/>
          <w:sz w:val="22"/>
          <w:szCs w:val="22"/>
        </w:rPr>
        <w:t xml:space="preserve">El IFS mide el grado en que una ocupación requiere interacción social compleja, especialmente aquella que es difícil de automatizar por requerir empatía, persuasión, negociación, conflicto y confianza interpersonal. Actúa como escudo frente a la automatización: las ocupaciones de alta IFS tienen barreras intrínsecas a la sustitución algorítmica.</w:t>
      </w:r>
    </w:p>
    <w:p>
      <w:pPr>
        <w:spacing w:after="180" w:before="320"/>
      </w:pPr>
      <w:r>
        <w:rPr>
          <w:rFonts w:ascii="Calibri" w:cs="Calibri" w:eastAsia="Calibri" w:hAnsi="Calibri"/>
          <w:b/>
          <w:bCs/>
          <w:color w:val="1F4E79"/>
          <w:sz w:val="26"/>
          <w:szCs w:val="26"/>
        </w:rPr>
        <w:t xml:space="preserve">7.2 Formulación matemática</w:t>
      </w:r>
    </w:p>
    <w:p>
      <w:pPr>
        <w:spacing w:after="160" w:before="0" w:line="320"/>
        <w:jc w:val="both"/>
      </w:pPr>
      <w:r>
        <w:rPr>
          <w:rFonts w:ascii="Calibri" w:cs="Calibri" w:eastAsia="Calibri" w:hAnsi="Calibri"/>
          <w:b/>
          <w:bCs/>
          <w:sz w:val="22"/>
          <w:szCs w:val="22"/>
        </w:rPr>
        <w:t xml:space="preserve">IFS = 0,35 · CDE + 0,40 · DHS + 0,25 · CC_comm</w:t>
      </w:r>
    </w:p>
    <w:p>
      <w:pPr>
        <w:spacing w:after="120" w:before="240"/>
        <w:jc w:val="left"/>
      </w:pPr>
      <w:r>
        <w:rPr>
          <w:rFonts w:ascii="Calibri" w:cs="Calibri" w:eastAsia="Calibri" w:hAnsi="Calibri"/>
          <w:b/>
          <w:bCs/>
          <w:color w:val="1F4E79"/>
          <w:sz w:val="20"/>
          <w:szCs w:val="20"/>
        </w:rPr>
        <w:t xml:space="preserve">Tabla 7.1. Componentes del IFS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54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Componente</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Sigla</w:t>
            </w:r>
          </w:p>
        </w:tc>
        <w:tc>
          <w:tcPr>
            <w:tcW w:type="dxa" w:w="1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Peso</w:t>
            </w:r>
          </w:p>
        </w:tc>
        <w:tc>
          <w:tcPr>
            <w:tcW w:type="dxa" w:w="5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Descripción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Contacto Directo Externo</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CDE</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35%</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Frecuencia de interacción con clientes, pacientes, estudiantes externos a la organización</w:t>
            </w:r>
          </w:p>
        </w:tc>
      </w:tr>
      <w:tr>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Destrezas Habilidades Sociales</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DHS</w:t>
            </w:r>
          </w:p>
        </w:tc>
        <w:tc>
          <w:tcPr>
            <w:tcW w:type="dxa" w:w="1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40%</w:t>
            </w:r>
          </w:p>
        </w:tc>
        <w:tc>
          <w:tcPr>
            <w:tcW w:type="dxa" w:w="5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Persuasión, negociación, instrucción, orientación al servicio, coordinación social</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Comunicación Compleja</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CC_comm</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25%</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Comunicación oral y escrita avanzada en contextos profesionales especializados</w:t>
            </w:r>
          </w:p>
        </w:tc>
      </w:tr>
    </w:tbl>
    <w:p>
      <w:pPr>
        <w:spacing w:after="160" w:before="0" w:line="320"/>
        <w:jc w:val="both"/>
      </w:pPr>
      <w:r>
        <w:rPr>
          <w:rFonts w:ascii="Calibri" w:cs="Calibri" w:eastAsia="Calibri" w:hAnsi="Calibri"/>
          <w:sz w:val="22"/>
          <w:szCs w:val="22"/>
        </w:rPr>
        <w:t xml:space="preserve">Es un indicador reflexivo. Alfa de Cronbach = 0,749 (sobre el umbral 0,70 de aceptabilidad). En v1.3 la mejora clave fue la extracción de la componente CI (interacción presencial) hacia el indicador IPI separado, lo que elevó α de 0,516 a 0,749 (+45%).</w:t>
      </w:r>
    </w:p>
    <w:p>
      <w:pPr>
        <w:spacing w:after="180" w:before="320"/>
      </w:pPr>
      <w:r>
        <w:rPr>
          <w:rFonts w:ascii="Calibri" w:cs="Calibri" w:eastAsia="Calibri" w:hAnsi="Calibri"/>
          <w:b/>
          <w:bCs/>
          <w:color w:val="1F4E79"/>
          <w:sz w:val="26"/>
          <w:szCs w:val="26"/>
        </w:rPr>
        <w:t xml:space="preserve">7.3 Validación discriminante</w:t>
      </w:r>
    </w:p>
    <w:p>
      <w:pPr>
        <w:spacing w:after="160" w:before="0" w:line="320"/>
        <w:jc w:val="both"/>
      </w:pPr>
      <w:r>
        <w:rPr>
          <w:rFonts w:ascii="Calibri" w:cs="Calibri" w:eastAsia="Calibri" w:hAnsi="Calibri"/>
          <w:sz w:val="22"/>
          <w:szCs w:val="22"/>
        </w:rPr>
        <w:t xml:space="preserve">r(IPI, IFS) = −0,156: confirmación de que IFS (interacción social compleja) e IPI (presencialidad física) miden constructos distintos. La separación articulada en v1.3 sigue siendo válida en v2.0 sin cambios.</w:t>
      </w:r>
    </w:p>
    <w:p>
      <w:r>
        <w:br w:type="page"/>
      </w:r>
    </w:p>
    <w:p>
      <w:pPr>
        <w:spacing w:after="240" w:before="480"/>
      </w:pPr>
      <w:r>
        <w:rPr>
          <w:rFonts w:ascii="Calibri" w:cs="Calibri" w:eastAsia="Calibri" w:hAnsi="Calibri"/>
          <w:b/>
          <w:bCs/>
          <w:color w:val="1F4E79"/>
          <w:sz w:val="32"/>
          <w:szCs w:val="32"/>
        </w:rPr>
        <w:t xml:space="preserve">8. IPI — Índice de Presencialidad Interpersonal</w:t>
      </w:r>
    </w:p>
    <w:p>
      <w:pPr>
        <w:spacing w:after="180" w:before="320"/>
      </w:pPr>
      <w:r>
        <w:rPr>
          <w:rFonts w:ascii="Calibri" w:cs="Calibri" w:eastAsia="Calibri" w:hAnsi="Calibri"/>
          <w:b/>
          <w:bCs/>
          <w:color w:val="1F4E79"/>
          <w:sz w:val="26"/>
          <w:szCs w:val="26"/>
        </w:rPr>
        <w:t xml:space="preserve">8.1 Definición conceptual</w:t>
      </w:r>
    </w:p>
    <w:p>
      <w:pPr>
        <w:spacing w:after="160" w:before="0" w:line="320"/>
        <w:jc w:val="both"/>
      </w:pPr>
      <w:r>
        <w:rPr>
          <w:rFonts w:ascii="Calibri" w:cs="Calibri" w:eastAsia="Calibri" w:hAnsi="Calibri"/>
          <w:sz w:val="22"/>
          <w:szCs w:val="22"/>
        </w:rPr>
        <w:t xml:space="preserve">El IPI mide la necesidad de interacción física cara a cara en una ocupación, distinguiéndola de la interacción remota (virtual, telefónica, asíncrona). Es la dimensión que captura el conocimiento situado en el cuerpo y la presencia física del trabajador, lo que opera como barrera natural frente a la cristalización algorítmica del capital intelectual.</w:t>
      </w:r>
    </w:p>
    <w:p>
      <w:pPr>
        <w:spacing w:after="180" w:before="320"/>
      </w:pPr>
      <w:r>
        <w:rPr>
          <w:rFonts w:ascii="Calibri" w:cs="Calibri" w:eastAsia="Calibri" w:hAnsi="Calibri"/>
          <w:b/>
          <w:bCs/>
          <w:color w:val="1F4E79"/>
          <w:sz w:val="26"/>
          <w:szCs w:val="26"/>
        </w:rPr>
        <w:t xml:space="preserve">8.2 Formulación matemática</w:t>
      </w:r>
    </w:p>
    <w:p>
      <w:pPr>
        <w:spacing w:after="160" w:before="0" w:line="320"/>
        <w:jc w:val="both"/>
      </w:pPr>
      <w:r>
        <w:rPr>
          <w:rFonts w:ascii="Calibri" w:cs="Calibri" w:eastAsia="Calibri" w:hAnsi="Calibri"/>
          <w:b/>
          <w:bCs/>
          <w:sz w:val="22"/>
          <w:szCs w:val="22"/>
        </w:rPr>
        <w:t xml:space="preserve">IPI = 0,70 · CI_presencial + 0,30 · (1 − CI_remoto)</w:t>
      </w:r>
    </w:p>
    <w:p>
      <w:pPr>
        <w:spacing w:after="160" w:before="0" w:line="320"/>
        <w:jc w:val="both"/>
      </w:pPr>
      <w:r>
        <w:rPr>
          <w:rFonts w:ascii="Calibri" w:cs="Calibri" w:eastAsia="Calibri" w:hAnsi="Calibri"/>
          <w:sz w:val="22"/>
          <w:szCs w:val="22"/>
        </w:rPr>
        <w:t xml:space="preserve">Donde CI_presencial es la frecuencia de Contacto Interpersonal cara a cara, y CI_remoto es la frecuencia de Contacto Interpersonal a distancia (telefónico, virtual, email). El término (1 − CI_remoto) penaliza la presencialidad cuando una ocupación tiene también alta interacción remota, ya que esto sugiere que el componente físico no es esencial.</w:t>
      </w:r>
    </w:p>
    <w:p>
      <w:pPr>
        <w:spacing w:after="180" w:before="320"/>
      </w:pPr>
      <w:r>
        <w:rPr>
          <w:rFonts w:ascii="Calibri" w:cs="Calibri" w:eastAsia="Calibri" w:hAnsi="Calibri"/>
          <w:b/>
          <w:bCs/>
          <w:color w:val="1F4E79"/>
          <w:sz w:val="26"/>
          <w:szCs w:val="26"/>
        </w:rPr>
        <w:t xml:space="preserve">8.3 Interpretación</w:t>
      </w:r>
    </w:p>
    <w:p>
      <w:pPr>
        <w:spacing w:after="120" w:before="240"/>
        <w:jc w:val="left"/>
      </w:pPr>
      <w:r>
        <w:rPr>
          <w:rFonts w:ascii="Calibri" w:cs="Calibri" w:eastAsia="Calibri" w:hAnsi="Calibri"/>
          <w:b/>
          <w:bCs/>
          <w:color w:val="1F4E79"/>
          <w:sz w:val="20"/>
          <w:szCs w:val="20"/>
        </w:rPr>
        <w:t xml:space="preserve">Tabla 8.1. Interpretación del IPI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Rango</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Interpretación</w:t>
            </w:r>
          </w:p>
        </w:tc>
        <w:tc>
          <w:tcPr>
            <w:tcW w:type="dxa" w:w="5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Implicación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0,00 – 0,30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Trabajo casi puramente remoto</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Baja barrera presencial; conocimiento fácilmente externalizable</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0,30 – 0,50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Híbrido remoto-presencial</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Barrera moderada; depende del componente cualitativo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0,50 – 0,70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Mayoritariamente presencial</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Barrera presencial significativa</w:t>
            </w:r>
          </w:p>
        </w:tc>
      </w:tr>
      <w:tr>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0,70 – 1,00</w:t>
            </w:r>
          </w:p>
        </w:tc>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Casi totalmente presencial</w:t>
            </w:r>
          </w:p>
        </w:tc>
        <w:tc>
          <w:tcPr>
            <w:tcW w:type="dxa" w:w="5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Conocimiento situado; barrera natural alta frente a expropiación algorítmica</w:t>
            </w:r>
          </w:p>
        </w:tc>
      </w:tr>
    </w:tbl>
    <w:p>
      <w:pPr>
        <w:spacing w:after="180" w:before="320"/>
      </w:pPr>
      <w:r>
        <w:rPr>
          <w:rFonts w:ascii="Calibri" w:cs="Calibri" w:eastAsia="Calibri" w:hAnsi="Calibri"/>
          <w:b/>
          <w:bCs/>
          <w:color w:val="1F4E79"/>
          <w:sz w:val="26"/>
          <w:szCs w:val="26"/>
        </w:rPr>
        <w:t xml:space="preserve">8.4 Validación discriminante</w:t>
      </w:r>
    </w:p>
    <w:p>
      <w:pPr>
        <w:spacing w:after="160" w:before="0" w:line="320"/>
        <w:jc w:val="both"/>
      </w:pPr>
      <w:r>
        <w:rPr>
          <w:rFonts w:ascii="Calibri" w:cs="Calibri" w:eastAsia="Calibri" w:hAnsi="Calibri"/>
          <w:sz w:val="22"/>
          <w:szCs w:val="22"/>
        </w:rPr>
        <w:t xml:space="preserve">r(IPI, IFS) = −0,156. Esta correlación negativa moderadamente baja confirma la independencia de los constructos: IPI mide presencialidad física, IFS mide complejidad social. Una ocupación puede ser muy presencial sin ser socialmente compleja (e.g., trabajos manuales especializados) o muy socialmente compleja sin ser presencial (e.g., negociación virtual ejecutiva).</w:t>
      </w:r>
    </w:p>
    <w:p>
      <w:r>
        <w:br w:type="page"/>
      </w:r>
    </w:p>
    <w:p>
      <w:pPr>
        <w:spacing w:after="240" w:before="480"/>
      </w:pPr>
      <w:r>
        <w:rPr>
          <w:rFonts w:ascii="Calibri" w:cs="Calibri" w:eastAsia="Calibri" w:hAnsi="Calibri"/>
          <w:b/>
          <w:bCs/>
          <w:color w:val="1F4E79"/>
          <w:sz w:val="32"/>
          <w:szCs w:val="32"/>
        </w:rPr>
        <w:t xml:space="preserve">9. IEF — Índice de Especificidad Funcional</w:t>
      </w:r>
    </w:p>
    <w:p>
      <w:pPr>
        <w:spacing w:after="180" w:before="320"/>
      </w:pPr>
      <w:r>
        <w:rPr>
          <w:rFonts w:ascii="Calibri" w:cs="Calibri" w:eastAsia="Calibri" w:hAnsi="Calibri"/>
          <w:b/>
          <w:bCs/>
          <w:color w:val="1F4E79"/>
          <w:sz w:val="26"/>
          <w:szCs w:val="26"/>
        </w:rPr>
        <w:t xml:space="preserve">9.1 Definición conceptual</w:t>
      </w:r>
    </w:p>
    <w:p>
      <w:pPr>
        <w:spacing w:after="160" w:before="0" w:line="320"/>
        <w:jc w:val="both"/>
      </w:pPr>
      <w:r>
        <w:rPr>
          <w:rFonts w:ascii="Calibri" w:cs="Calibri" w:eastAsia="Calibri" w:hAnsi="Calibri"/>
          <w:sz w:val="22"/>
          <w:szCs w:val="22"/>
        </w:rPr>
        <w:t xml:space="preserve">El IEF mide el grado en que una ocupación requiere conocimientos y destrezas altamente específicas, frecuentemente asociadas con rutinas y procesos físicos automatizables a nivel mecánico pero no a nivel cognitivo abstracto. Es el indicador más estable del framework por su anclaje en variables O*NET de carácter operacional.</w:t>
      </w:r>
    </w:p>
    <w:p>
      <w:pPr>
        <w:spacing w:after="180" w:before="320"/>
      </w:pPr>
      <w:r>
        <w:rPr>
          <w:rFonts w:ascii="Calibri" w:cs="Calibri" w:eastAsia="Calibri" w:hAnsi="Calibri"/>
          <w:b/>
          <w:bCs/>
          <w:color w:val="1F4E79"/>
          <w:sz w:val="26"/>
          <w:szCs w:val="26"/>
        </w:rPr>
        <w:t xml:space="preserve">9.2 Formulación matemática</w:t>
      </w:r>
    </w:p>
    <w:p>
      <w:pPr>
        <w:spacing w:after="160" w:before="0" w:line="320"/>
        <w:jc w:val="both"/>
      </w:pPr>
      <w:r>
        <w:rPr>
          <w:rFonts w:ascii="Calibri" w:cs="Calibri" w:eastAsia="Calibri" w:hAnsi="Calibri"/>
          <w:b/>
          <w:bCs/>
          <w:sz w:val="22"/>
          <w:szCs w:val="22"/>
        </w:rPr>
        <w:t xml:space="preserve">IEF = 0,35 · DPF + 0,30 · ERA + 0,35 · DCF</w:t>
      </w:r>
    </w:p>
    <w:p>
      <w:pPr>
        <w:spacing w:after="120" w:before="240"/>
        <w:jc w:val="left"/>
      </w:pPr>
      <w:r>
        <w:rPr>
          <w:rFonts w:ascii="Calibri" w:cs="Calibri" w:eastAsia="Calibri" w:hAnsi="Calibri"/>
          <w:b/>
          <w:bCs/>
          <w:color w:val="1F4E79"/>
          <w:sz w:val="20"/>
          <w:szCs w:val="20"/>
        </w:rPr>
        <w:t xml:space="preserve">Tabla 9.1. Componentes del IEF</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540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Componente</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Sigla</w:t>
            </w:r>
          </w:p>
        </w:tc>
        <w:tc>
          <w:tcPr>
            <w:tcW w:type="dxa" w:w="1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Peso</w:t>
            </w:r>
          </w:p>
        </w:tc>
        <w:tc>
          <w:tcPr>
            <w:tcW w:type="dxa" w:w="5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Descripción</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Destrezas Procesos Físicos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DPF</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35%</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Manipulación física especializada, operación de maquinaria, tareas manuales especializadas</w:t>
            </w:r>
          </w:p>
        </w:tc>
      </w:tr>
      <w:tr>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Entrenamiento Rutinas Automatizadas</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ERA</w:t>
            </w:r>
          </w:p>
        </w:tc>
        <w:tc>
          <w:tcPr>
            <w:tcW w:type="dxa" w:w="1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30%</w:t>
            </w:r>
          </w:p>
        </w:tc>
        <w:tc>
          <w:tcPr>
            <w:tcW w:type="dxa" w:w="5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Capacidad para operar siguiendo rutinas estandarizadas y procesos formalizados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Destrezas Control y Fiscalización</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DCF</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35%</w:t>
            </w:r>
          </w:p>
        </w:tc>
        <w:tc>
          <w:tcPr>
            <w:tcW w:type="dxa" w:w="5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Inspección, medición, vigilancia y control de calidad de procesos físicos</w:t>
            </w:r>
          </w:p>
        </w:tc>
      </w:tr>
    </w:tbl>
    <w:p>
      <w:pPr>
        <w:spacing w:after="160" w:before="0" w:line="320"/>
        <w:jc w:val="both"/>
      </w:pPr>
      <w:r>
        <w:rPr>
          <w:rFonts w:ascii="Calibri" w:cs="Calibri" w:eastAsia="Calibri" w:hAnsi="Calibri"/>
          <w:sz w:val="22"/>
          <w:szCs w:val="22"/>
        </w:rPr>
        <w:t xml:space="preserve">IEF es el indicador con mayor consistencia interna del framework: α de Cronbach = 0,919 (v1.3, mantenido en v2.0). r(IEF, ITEA) = −0,397, indicando que la especificidad funcional opera como contrapeso de la exposición a automatización cognitiva.</w:t>
      </w:r>
    </w:p>
    <w:p>
      <w:r>
        <w:br w:type="page"/>
      </w:r>
    </w:p>
    <w:p>
      <w:pPr>
        <w:spacing w:after="240" w:before="480"/>
      </w:pPr>
      <w:r>
        <w:rPr>
          <w:rFonts w:ascii="Calibri" w:cs="Calibri" w:eastAsia="Calibri" w:hAnsi="Calibri"/>
          <w:b/>
          <w:bCs/>
          <w:color w:val="1F4E79"/>
          <w:sz w:val="32"/>
          <w:szCs w:val="32"/>
        </w:rPr>
        <w:t xml:space="preserve">10. GEE — Gradiente Educación-Experiencia</w:t>
      </w:r>
    </w:p>
    <w:p>
      <w:pPr>
        <w:spacing w:after="180" w:before="320"/>
      </w:pPr>
      <w:r>
        <w:rPr>
          <w:rFonts w:ascii="Calibri" w:cs="Calibri" w:eastAsia="Calibri" w:hAnsi="Calibri"/>
          <w:b/>
          <w:bCs/>
          <w:color w:val="1F4E79"/>
          <w:sz w:val="26"/>
          <w:szCs w:val="26"/>
        </w:rPr>
        <w:t xml:space="preserve">10.1 Definición conceptual</w:t>
      </w:r>
    </w:p>
    <w:p>
      <w:pPr>
        <w:spacing w:after="160" w:before="0" w:line="320"/>
        <w:jc w:val="both"/>
      </w:pPr>
      <w:r>
        <w:rPr>
          <w:rFonts w:ascii="Calibri" w:cs="Calibri" w:eastAsia="Calibri" w:hAnsi="Calibri"/>
          <w:sz w:val="22"/>
          <w:szCs w:val="22"/>
        </w:rPr>
        <w:t xml:space="preserve">El GEE cuantifica el nivel de cualificación requerido para una ocupación, combinando años de educación formal y meses de experiencia laboral requerida. Es un indicador híbrido: combina calibración estadística (OLS sobre Job Zone) con normalización a escala [0, 1]. Captura el stock de capital humano formal de la ocupación.</w:t>
      </w:r>
    </w:p>
    <w:p>
      <w:pPr>
        <w:spacing w:after="180" w:before="320"/>
      </w:pPr>
      <w:r>
        <w:rPr>
          <w:rFonts w:ascii="Calibri" w:cs="Calibri" w:eastAsia="Calibri" w:hAnsi="Calibri"/>
          <w:b/>
          <w:bCs/>
          <w:color w:val="1F4E79"/>
          <w:sz w:val="26"/>
          <w:szCs w:val="26"/>
        </w:rPr>
        <w:t xml:space="preserve">10.2 Formulación matemática</w:t>
      </w:r>
    </w:p>
    <w:p>
      <w:pPr>
        <w:spacing w:after="160" w:before="0" w:line="320"/>
        <w:jc w:val="both"/>
      </w:pPr>
      <w:r>
        <w:rPr>
          <w:rFonts w:ascii="Calibri" w:cs="Calibri" w:eastAsia="Calibri" w:hAnsi="Calibri"/>
          <w:b/>
          <w:bCs/>
          <w:sz w:val="22"/>
          <w:szCs w:val="22"/>
        </w:rPr>
        <w:t xml:space="preserve">GEE_bruto = 0,215 · C_RL + 0,004 · C_RW</w:t>
      </w:r>
    </w:p>
    <w:p>
      <w:pPr>
        <w:spacing w:after="160" w:before="0" w:line="320"/>
        <w:jc w:val="both"/>
      </w:pPr>
      <w:r>
        <w:rPr>
          <w:rFonts w:ascii="Calibri" w:cs="Calibri" w:eastAsia="Calibri" w:hAnsi="Calibri"/>
          <w:b/>
          <w:bCs/>
          <w:sz w:val="22"/>
          <w:szCs w:val="22"/>
        </w:rPr>
        <w:t xml:space="preserve">GEE = normalize(GEE_bruto) ∈ [0, 1]</w:t>
      </w:r>
    </w:p>
    <w:p>
      <w:pPr>
        <w:spacing w:after="160" w:before="0" w:line="320"/>
        <w:jc w:val="both"/>
      </w:pPr>
      <w:r>
        <w:rPr>
          <w:rFonts w:ascii="Calibri" w:cs="Calibri" w:eastAsia="Calibri" w:hAnsi="Calibri"/>
          <w:sz w:val="22"/>
          <w:szCs w:val="22"/>
        </w:rPr>
        <w:t xml:space="preserve">Donde C_RL es años de educación requerida y C_RW son meses de experiencia laboral requerida. Los coeficientes están calibrados mediante regresión OLS sobre la variable O*NET Job Zone (5 niveles, ordinal). La validación cruzada arroja ρ con Job Zone = 0,927 (Spearman), criterio de validez de constructo del GEE.</w:t>
      </w:r>
    </w:p>
    <w:p>
      <w:pPr>
        <w:spacing w:after="180" w:before="320"/>
      </w:pPr>
      <w:r>
        <w:rPr>
          <w:rFonts w:ascii="Calibri" w:cs="Calibri" w:eastAsia="Calibri" w:hAnsi="Calibri"/>
          <w:b/>
          <w:bCs/>
          <w:color w:val="1F4E79"/>
          <w:sz w:val="26"/>
          <w:szCs w:val="26"/>
        </w:rPr>
        <w:t xml:space="preserve">10.3 Versión ordinal alternativa (sensibilidad)</w:t>
      </w:r>
    </w:p>
    <w:p>
      <w:pPr>
        <w:spacing w:after="160" w:before="0" w:line="320"/>
        <w:jc w:val="both"/>
      </w:pPr>
      <w:r>
        <w:rPr>
          <w:rFonts w:ascii="Calibri" w:cs="Calibri" w:eastAsia="Calibri" w:hAnsi="Calibri"/>
          <w:b/>
          <w:bCs/>
          <w:sz w:val="22"/>
          <w:szCs w:val="22"/>
        </w:rPr>
        <w:t xml:space="preserve">GEE_ordinal = norm(0,228 · C_RL + 0,0035 · C_RW)</w:t>
      </w:r>
    </w:p>
    <w:p>
      <w:pPr>
        <w:spacing w:after="160" w:before="0" w:line="320"/>
        <w:jc w:val="both"/>
      </w:pPr>
      <w:r>
        <w:rPr>
          <w:rFonts w:ascii="Calibri" w:cs="Calibri" w:eastAsia="Calibri" w:hAnsi="Calibri"/>
          <w:sz w:val="22"/>
          <w:szCs w:val="22"/>
        </w:rPr>
        <w:t xml:space="preserve">La versión ordinal recalibra los coeficientes mediante regresión proportional-odds sobre Job Zone, asumiendo escala ordinal estricta. Su correlación con la versión OLS es ρ = 0,999, indicando que la elección de calibración es sustancialmente robusta. La versión OLS se mantiene como default por compatibilidad con versiones anteriores y por su correlación directa con Job Zone validada.</w:t>
      </w:r>
    </w:p>
    <w:p>
      <w:pPr>
        <w:spacing w:after="180" w:before="320"/>
      </w:pPr>
      <w:r>
        <w:rPr>
          <w:rFonts w:ascii="Calibri" w:cs="Calibri" w:eastAsia="Calibri" w:hAnsi="Calibri"/>
          <w:b/>
          <w:bCs/>
          <w:color w:val="1F4E79"/>
          <w:sz w:val="26"/>
          <w:szCs w:val="26"/>
        </w:rPr>
        <w:t xml:space="preserve">10.4 Evolución v1.0 → v2.0</w:t>
      </w:r>
    </w:p>
    <w:p>
      <w:pPr>
        <w:spacing w:after="120" w:before="240"/>
        <w:jc w:val="left"/>
      </w:pPr>
      <w:r>
        <w:rPr>
          <w:rFonts w:ascii="Calibri" w:cs="Calibri" w:eastAsia="Calibri" w:hAnsi="Calibri"/>
          <w:b/>
          <w:bCs/>
          <w:color w:val="1F4E79"/>
          <w:sz w:val="20"/>
          <w:szCs w:val="20"/>
        </w:rPr>
        <w:t xml:space="preserve">Tabla 10.1. Histórico GEE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44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Versión</w:t>
            </w:r>
          </w:p>
        </w:tc>
        <w:tc>
          <w:tcPr>
            <w:tcW w:type="dxa" w:w="5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Cambio principal</w:t>
            </w:r>
          </w:p>
        </w:tc>
        <w:tc>
          <w:tcPr>
            <w:tcW w:type="dxa" w:w="4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ρ con Job Zone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Pesos teóricos</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0,847</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v1.2</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Calibración OLS sobre Job Zone</w:t>
            </w:r>
          </w:p>
        </w:tc>
        <w:tc>
          <w:tcPr>
            <w:tcW w:type="dxa" w:w="4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0,914</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v1.3</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Refinamiento de coeficientes</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0,927</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v1.45</w:t>
            </w:r>
          </w:p>
        </w:tc>
        <w:tc>
          <w:tcPr>
            <w:tcW w:type="dxa" w:w="5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Versión ordinal alternativa añadida</w:t>
            </w:r>
          </w:p>
        </w:tc>
        <w:tc>
          <w:tcPr>
            <w:tcW w:type="dxa" w:w="4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0,927 (OLS) / pendiente (ordinal)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v2.0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 uso intensificado en residualización IRA</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0,927</w:t>
            </w:r>
          </w:p>
        </w:tc>
      </w:tr>
    </w:tbl>
    <w:p>
      <w:pPr>
        <w:spacing w:after="160" w:before="0" w:line="320"/>
        <w:jc w:val="both"/>
      </w:pPr>
      <w:r>
        <w:rPr>
          <w:rFonts w:ascii="Calibri" w:cs="Calibri" w:eastAsia="Calibri" w:hAnsi="Calibri"/>
          <w:b/>
          <w:bCs/>
          <w:sz w:val="22"/>
          <w:szCs w:val="22"/>
        </w:rPr>
        <w:t xml:space="preserve">Rol del GEE en v2.0</w:t>
      </w:r>
      <w:r>
        <w:rPr>
          <w:rFonts w:ascii="Calibri" w:cs="Calibri" w:eastAsia="Calibri" w:hAnsi="Calibri"/>
          <w:sz w:val="22"/>
          <w:szCs w:val="22"/>
        </w:rPr>
        <w:t xml:space="preserve">. El GEE ha tomado en v2.0 un rol estructural ampliado: además de su uso directo en el OAEI (factor multiplicativo), es la </w:t>
      </w:r>
      <w:r>
        <w:rPr>
          <w:rFonts w:ascii="Calibri" w:cs="Calibri" w:eastAsia="Calibri" w:hAnsi="Calibri"/>
          <w:i/>
          <w:iCs/>
          <w:sz w:val="22"/>
          <w:szCs w:val="22"/>
        </w:rPr>
        <w:t xml:space="preserve">variable independiente de la regresión de residualización</w:t>
      </w:r>
      <w:r>
        <w:rPr>
          <w:rFonts w:ascii="Calibri" w:cs="Calibri" w:eastAsia="Calibri" w:hAnsi="Calibri"/>
          <w:sz w:val="22"/>
          <w:szCs w:val="22"/>
        </w:rPr>
        <w:t xml:space="preserve"> del IRA v2.0. Esta función dual hace al GEE el indicador más estructuralmente central del framework v2.0.</w:t>
      </w:r>
    </w:p>
    <w:p>
      <w:r>
        <w:br w:type="page"/>
      </w:r>
    </w:p>
    <w:p>
      <w:pPr>
        <w:spacing w:after="240" w:before="480"/>
      </w:pPr>
      <w:r>
        <w:rPr>
          <w:rFonts w:ascii="Calibri" w:cs="Calibri" w:eastAsia="Calibri" w:hAnsi="Calibri"/>
          <w:b/>
          <w:bCs/>
          <w:color w:val="1F4E79"/>
          <w:sz w:val="32"/>
          <w:szCs w:val="32"/>
        </w:rPr>
        <w:t xml:space="preserve">11. IMO — Índice de Mutación Ocupacional</w:t>
      </w:r>
    </w:p>
    <w:p>
      <w:pPr>
        <w:spacing w:after="180" w:before="320"/>
      </w:pPr>
      <w:r>
        <w:rPr>
          <w:rFonts w:ascii="Calibri" w:cs="Calibri" w:eastAsia="Calibri" w:hAnsi="Calibri"/>
          <w:b/>
          <w:bCs/>
          <w:color w:val="1F4E79"/>
          <w:sz w:val="26"/>
          <w:szCs w:val="26"/>
        </w:rPr>
        <w:t xml:space="preserve">11.1 Definición conceptual</w:t>
      </w:r>
    </w:p>
    <w:p>
      <w:pPr>
        <w:spacing w:after="160" w:before="0" w:line="320"/>
        <w:jc w:val="both"/>
      </w:pPr>
      <w:r>
        <w:rPr>
          <w:rFonts w:ascii="Calibri" w:cs="Calibri" w:eastAsia="Calibri" w:hAnsi="Calibri"/>
          <w:sz w:val="22"/>
          <w:szCs w:val="22"/>
        </w:rPr>
        <w:t xml:space="preserve">El IMO mide si una ocupación está experimentando cambios significativos en sus tareas (mutación) y la intensidad de esos cambios. Las ocupaciones con tareas emergentes son aquellas en transformación activa, lo que puede ser indicio tanto de oportunidad (incorporación de nuevas funciones) como de riesgo (sustitución parcial). Es un indicador híbrido por modelo Hurdle de dos partes.</w:t>
      </w:r>
    </w:p>
    <w:p>
      <w:pPr>
        <w:spacing w:after="180" w:before="320"/>
      </w:pPr>
      <w:r>
        <w:rPr>
          <w:rFonts w:ascii="Calibri" w:cs="Calibri" w:eastAsia="Calibri" w:hAnsi="Calibri"/>
          <w:b/>
          <w:bCs/>
          <w:color w:val="1F4E79"/>
          <w:sz w:val="26"/>
          <w:szCs w:val="26"/>
        </w:rPr>
        <w:t xml:space="preserve">11.2 Formulación matemática</w:t>
      </w:r>
    </w:p>
    <w:p>
      <w:pPr>
        <w:spacing w:after="160" w:before="0" w:line="320"/>
        <w:jc w:val="both"/>
      </w:pPr>
      <w:r>
        <w:rPr>
          <w:rFonts w:ascii="Calibri" w:cs="Calibri" w:eastAsia="Calibri" w:hAnsi="Calibri"/>
          <w:b/>
          <w:bCs/>
          <w:sz w:val="22"/>
          <w:szCs w:val="22"/>
        </w:rPr>
        <w:t xml:space="preserve">IMO = IMO_muta × min(1,0; log₂(1 + ratio))</w:t>
      </w:r>
    </w:p>
    <w:p>
      <w:pPr>
        <w:spacing w:after="160" w:before="0" w:line="320"/>
        <w:jc w:val="both"/>
      </w:pPr>
      <w:r>
        <w:rPr>
          <w:rFonts w:ascii="Calibri" w:cs="Calibri" w:eastAsia="Calibri" w:hAnsi="Calibri"/>
          <w:b/>
          <w:bCs/>
          <w:sz w:val="22"/>
          <w:szCs w:val="22"/>
        </w:rPr>
        <w:t xml:space="preserve">    IMO_muta = 1 si ratio &gt; 0; 0 si ratio = 0</w:t>
      </w:r>
    </w:p>
    <w:p>
      <w:pPr>
        <w:spacing w:after="160" w:before="0" w:line="320"/>
        <w:jc w:val="both"/>
      </w:pPr>
      <w:r>
        <w:rPr>
          <w:rFonts w:ascii="Calibri" w:cs="Calibri" w:eastAsia="Calibri" w:hAnsi="Calibri"/>
          <w:b/>
          <w:bCs/>
          <w:sz w:val="22"/>
          <w:szCs w:val="22"/>
        </w:rPr>
        <w:t xml:space="preserve">    ratio = Tareas_emergentes / Tareas_totales</w:t>
      </w:r>
    </w:p>
    <w:p>
      <w:pPr>
        <w:spacing w:after="160" w:before="0" w:line="320"/>
        <w:jc w:val="both"/>
      </w:pPr>
      <w:r>
        <w:rPr>
          <w:rFonts w:ascii="Calibri" w:cs="Calibri" w:eastAsia="Calibri" w:hAnsi="Calibri"/>
          <w:sz w:val="22"/>
          <w:szCs w:val="22"/>
        </w:rPr>
        <w:t xml:space="preserve">Modelo Hurdle de dos partes:</w:t>
      </w:r>
    </w:p>
    <w:p>
      <w:pPr>
        <w:pStyle w:val="ListParagraph"/>
        <w:numPr>
          <w:ilvl w:val="0"/>
          <w:numId w:val="1"/>
        </w:numPr>
        <w:spacing w:after="80" w:before="0" w:line="300"/>
      </w:pPr>
      <w:r>
        <w:rPr>
          <w:rFonts w:ascii="Calibri" w:cs="Calibri" w:eastAsia="Calibri" w:hAnsi="Calibri"/>
          <w:sz w:val="22"/>
          <w:szCs w:val="22"/>
        </w:rPr>
        <w:t xml:space="preserve">Parte 1: ¿muta la ocupación? (binario, IMO_muta)</w:t>
      </w:r>
    </w:p>
    <w:p>
      <w:pPr>
        <w:pStyle w:val="ListParagraph"/>
        <w:numPr>
          <w:ilvl w:val="0"/>
          <w:numId w:val="1"/>
        </w:numPr>
        <w:spacing w:after="80" w:before="0" w:line="300"/>
      </w:pPr>
      <w:r>
        <w:rPr>
          <w:rFonts w:ascii="Calibri" w:cs="Calibri" w:eastAsia="Calibri" w:hAnsi="Calibri"/>
          <w:sz w:val="22"/>
          <w:szCs w:val="22"/>
        </w:rPr>
        <w:t xml:space="preserve">Parte 2: ¿cuánto muta? (intensidad continua, log-transformada y truncada con cap en 1,0)</w:t>
      </w:r>
    </w:p>
    <w:p>
      <w:pPr>
        <w:spacing w:after="160" w:before="0" w:line="320"/>
        <w:jc w:val="both"/>
      </w:pPr>
      <w:r>
        <w:rPr>
          <w:rFonts w:ascii="Calibri" w:cs="Calibri" w:eastAsia="Calibri" w:hAnsi="Calibri"/>
          <w:sz w:val="22"/>
          <w:szCs w:val="22"/>
        </w:rPr>
        <w:t xml:space="preserve">El 76,9% de las ocupaciones tienen IMO = 0 (no exhiben mutación). Para las ocupaciones con IMO &gt; 0, la distribución es asimétrica con cola larga. El cap en 1,0 evita que ocupaciones con ratio &gt; 1 (más tareas emergentes que totales registradas) generen valores fuera de escala.</w:t>
      </w:r>
    </w:p>
    <w:p>
      <w:pPr>
        <w:spacing w:after="180" w:before="320"/>
      </w:pPr>
      <w:r>
        <w:rPr>
          <w:rFonts w:ascii="Calibri" w:cs="Calibri" w:eastAsia="Calibri" w:hAnsi="Calibri"/>
          <w:b/>
          <w:bCs/>
          <w:color w:val="1F4E79"/>
          <w:sz w:val="26"/>
          <w:szCs w:val="26"/>
        </w:rPr>
        <w:t xml:space="preserve">11.3 Bugfix histórico v1.2</w:t>
      </w:r>
    </w:p>
    <w:p>
      <w:pPr>
        <w:spacing w:after="160" w:before="0" w:line="320"/>
        <w:jc w:val="both"/>
      </w:pPr>
      <w:r>
        <w:rPr>
          <w:rFonts w:ascii="Calibri" w:cs="Calibri" w:eastAsia="Calibri" w:hAnsi="Calibri"/>
          <w:sz w:val="22"/>
          <w:szCs w:val="22"/>
        </w:rPr>
        <w:t xml:space="preserve">Bugfix crítico en v1.2: la versión v1.0 utilizaba un Shampoo en log-1+ratio sin cap, lo que generaba IMO &gt; 1,0 para varias ocupaciones (Software Developers, Data Scientists). El cap en 1,0 introducido en v1.2 corrige el bug y mantiene el rango [0, 1] del indicador.</w:t>
      </w:r>
    </w:p>
    <w:p>
      <w:pPr>
        <w:spacing w:after="180" w:before="320"/>
      </w:pPr>
      <w:r>
        <w:rPr>
          <w:rFonts w:ascii="Calibri" w:cs="Calibri" w:eastAsia="Calibri" w:hAnsi="Calibri"/>
          <w:b/>
          <w:bCs/>
          <w:color w:val="1F4E79"/>
          <w:sz w:val="26"/>
          <w:szCs w:val="26"/>
        </w:rPr>
        <w:t xml:space="preserve">11.4 Rol del IMO en v2.0</w:t>
      </w:r>
    </w:p>
    <w:p>
      <w:pPr>
        <w:spacing w:after="160" w:before="0" w:line="320"/>
        <w:jc w:val="both"/>
      </w:pPr>
      <w:r>
        <w:rPr>
          <w:rFonts w:ascii="Calibri" w:cs="Calibri" w:eastAsia="Calibri" w:hAnsi="Calibri"/>
          <w:sz w:val="22"/>
          <w:szCs w:val="22"/>
        </w:rPr>
        <w:t xml:space="preserve">El IMO se mantiene como dimensión auxiliar del framework: NO entra en el cálculo del OAEI v2.0 (que utiliza ITEA × GEE × ICT × (1−IPI)). Su utilidad principal es complementaria, identificando ocupaciones en transformación activa donde la exposición potencial puede materializarse a mayor velocidad.</w:t>
      </w:r>
    </w:p>
    <w:p>
      <w:r>
        <w:br w:type="page"/>
      </w:r>
    </w:p>
    <w:p>
      <w:pPr>
        <w:spacing w:after="240" w:before="480"/>
      </w:pPr>
      <w:r>
        <w:rPr>
          <w:rFonts w:ascii="Calibri" w:cs="Calibri" w:eastAsia="Calibri" w:hAnsi="Calibri"/>
          <w:b/>
          <w:bCs/>
          <w:color w:val="1F4E79"/>
          <w:sz w:val="32"/>
          <w:szCs w:val="32"/>
        </w:rPr>
        <w:t xml:space="preserve">12. AEI — Algorithmic Expropriation Index (criterio convergente)</w:t>
      </w:r>
    </w:p>
    <w:p>
      <w:pPr>
        <w:spacing w:after="160" w:before="0" w:line="320"/>
        <w:jc w:val="both"/>
      </w:pPr>
      <w:r>
        <w:rPr>
          <w:rFonts w:ascii="Calibri" w:cs="Calibri" w:eastAsia="Calibri" w:hAnsi="Calibri"/>
          <w:b/>
          <w:bCs/>
          <w:color w:val="C00000"/>
          <w:sz w:val="22"/>
          <w:szCs w:val="22"/>
        </w:rPr>
        <w:t xml:space="preserve">Capítulo nuevo en v2.0</w:t>
      </w:r>
      <w:r>
        <w:rPr>
          <w:rFonts w:ascii="Calibri" w:cs="Calibri" w:eastAsia="Calibri" w:hAnsi="Calibri"/>
          <w:sz w:val="22"/>
          <w:szCs w:val="22"/>
        </w:rPr>
        <w:t xml:space="preserve">. La AEI se utilizaba en v1.45 como criterio de validez convergente del ITEA pero su construcción no estaba explícitamente articulada en la metodología del framework, lo que comprometía la transparencia del proceso de validación. La versión 2.0 dedica un capítulo específico a la AEI con la fórmula completa, distribuciones de las clasificaciones subyacentes y justificación de los pesos asimétricos.</w:t>
      </w:r>
    </w:p>
    <w:p>
      <w:pPr>
        <w:spacing w:after="180" w:before="320"/>
      </w:pPr>
      <w:r>
        <w:rPr>
          <w:rFonts w:ascii="Calibri" w:cs="Calibri" w:eastAsia="Calibri" w:hAnsi="Calibri"/>
          <w:b/>
          <w:bCs/>
          <w:color w:val="1F4E79"/>
          <w:sz w:val="26"/>
          <w:szCs w:val="26"/>
        </w:rPr>
        <w:t xml:space="preserve">12.1 Definición conceptual</w:t>
      </w:r>
    </w:p>
    <w:p>
      <w:pPr>
        <w:spacing w:after="160" w:before="0" w:line="320"/>
        <w:jc w:val="both"/>
      </w:pPr>
      <w:r>
        <w:rPr>
          <w:rFonts w:ascii="Calibri" w:cs="Calibri" w:eastAsia="Calibri" w:hAnsi="Calibri"/>
          <w:sz w:val="22"/>
          <w:szCs w:val="22"/>
        </w:rPr>
        <w:t xml:space="preserve">La </w:t>
      </w:r>
      <w:r>
        <w:rPr>
          <w:rFonts w:ascii="Calibri" w:cs="Calibri" w:eastAsia="Calibri" w:hAnsi="Calibri"/>
          <w:b/>
          <w:bCs/>
          <w:sz w:val="22"/>
          <w:szCs w:val="22"/>
        </w:rPr>
        <w:t xml:space="preserve">Algorithmic Expropriation Index (AEI)</w:t>
      </w:r>
      <w:r>
        <w:rPr>
          <w:rFonts w:ascii="Calibri" w:cs="Calibri" w:eastAsia="Calibri" w:hAnsi="Calibri"/>
          <w:sz w:val="22"/>
          <w:szCs w:val="22"/>
        </w:rPr>
        <w:t xml:space="preserve"> es un índice ocupacional construido sobre la clasificación granular de tareas según dos dimensiones: el grado de automatización potencial (Auto_Grade) y el grado de transferencia de capital intelectual (CI_Grade). Es la operacionalización empírica del concepto de expropiación algorítmica articulado en el Paper 8A.</w:t>
      </w:r>
    </w:p>
    <w:p>
      <w:pPr>
        <w:spacing w:after="160" w:before="0" w:line="320"/>
        <w:jc w:val="both"/>
      </w:pPr>
      <w:r>
        <w:rPr>
          <w:rFonts w:ascii="Calibri" w:cs="Calibri" w:eastAsia="Calibri" w:hAnsi="Calibri"/>
          <w:sz w:val="22"/>
          <w:szCs w:val="22"/>
        </w:rPr>
        <w:t xml:space="preserve">Distinción analítica clave: la AEI es un indicador </w:t>
      </w:r>
      <w:r>
        <w:rPr>
          <w:rFonts w:ascii="Calibri" w:cs="Calibri" w:eastAsia="Calibri" w:hAnsi="Calibri"/>
          <w:i/>
          <w:iCs/>
          <w:sz w:val="22"/>
          <w:szCs w:val="22"/>
        </w:rPr>
        <w:t xml:space="preserve">auxiliar</w:t>
      </w:r>
      <w:r>
        <w:rPr>
          <w:rFonts w:ascii="Calibri" w:cs="Calibri" w:eastAsia="Calibri" w:hAnsi="Calibri"/>
          <w:sz w:val="22"/>
          <w:szCs w:val="22"/>
        </w:rPr>
        <w:t xml:space="preserve"> del framework, NO un constructo del propio ITEA. Funciona como criterio externo de validez convergente: si el ITEA mide adecuadamente el constructo de exposición a expropiación algorítmica, debería correlacionar fuertemente con la AEI. La validación arroja r(ITEA, AEI) = 0,720, confirmando convergencia.</w:t>
      </w:r>
    </w:p>
    <w:p>
      <w:pPr>
        <w:spacing w:after="180" w:before="320"/>
      </w:pPr>
      <w:r>
        <w:rPr>
          <w:rFonts w:ascii="Calibri" w:cs="Calibri" w:eastAsia="Calibri" w:hAnsi="Calibri"/>
          <w:b/>
          <w:bCs/>
          <w:color w:val="1F4E79"/>
          <w:sz w:val="26"/>
          <w:szCs w:val="26"/>
        </w:rPr>
        <w:t xml:space="preserve">12.2 Formulación matemática</w:t>
      </w:r>
    </w:p>
    <w:p>
      <w:pPr>
        <w:spacing w:after="160" w:before="0" w:line="320"/>
        <w:jc w:val="both"/>
      </w:pPr>
      <w:r>
        <w:rPr>
          <w:rFonts w:ascii="Calibri" w:cs="Calibri" w:eastAsia="Calibri" w:hAnsi="Calibri"/>
          <w:b/>
          <w:bCs/>
          <w:color w:val="1F4E79"/>
          <w:sz w:val="22"/>
          <w:szCs w:val="22"/>
        </w:rPr>
        <w:t xml:space="preserve">AEI = (%HIGH × 100 × 1) + (%TRANS × 100 × 0,5) + (%HIGH_ALGO × 100 × 2)</w:t>
      </w:r>
    </w:p>
    <w:p>
      <w:pPr>
        <w:spacing w:after="160" w:before="0" w:line="320"/>
        <w:jc w:val="both"/>
      </w:pPr>
      <w:r>
        <w:rPr>
          <w:rFonts w:ascii="Calibri" w:cs="Calibri" w:eastAsia="Calibri" w:hAnsi="Calibri"/>
          <w:sz w:val="22"/>
          <w:szCs w:val="22"/>
        </w:rPr>
        <w:t xml:space="preserve">Donde los componentes son las proporciones (sobre 0 a 1) de las tareas de la ocupación clasificadas en cada categoría, multiplicadas por 100 para escala porcentual.</w:t>
      </w:r>
    </w:p>
    <w:p>
      <w:pPr>
        <w:spacing w:after="180" w:before="320"/>
      </w:pPr>
      <w:r>
        <w:rPr>
          <w:rFonts w:ascii="Calibri" w:cs="Calibri" w:eastAsia="Calibri" w:hAnsi="Calibri"/>
          <w:b/>
          <w:bCs/>
          <w:color w:val="1F4E79"/>
          <w:sz w:val="26"/>
          <w:szCs w:val="26"/>
        </w:rPr>
        <w:t xml:space="preserve">12.3 Sistema de clasificación subyacente</w:t>
      </w:r>
    </w:p>
    <w:p>
      <w:pPr>
        <w:spacing w:after="140" w:before="240"/>
      </w:pPr>
      <w:r>
        <w:rPr>
          <w:rFonts w:ascii="Calibri" w:cs="Calibri" w:eastAsia="Calibri" w:hAnsi="Calibri"/>
          <w:b/>
          <w:bCs/>
          <w:i/>
          <w:iCs/>
          <w:sz w:val="22"/>
          <w:szCs w:val="22"/>
        </w:rPr>
        <w:t xml:space="preserve">Auto_Grade (grado de automatización potencial)</w:t>
      </w:r>
    </w:p>
    <w:p>
      <w:pPr>
        <w:spacing w:after="120" w:before="240"/>
        <w:jc w:val="left"/>
      </w:pPr>
      <w:r>
        <w:rPr>
          <w:rFonts w:ascii="Calibri" w:cs="Calibri" w:eastAsia="Calibri" w:hAnsi="Calibri"/>
          <w:b/>
          <w:bCs/>
          <w:color w:val="1F4E79"/>
          <w:sz w:val="20"/>
          <w:szCs w:val="20"/>
        </w:rPr>
        <w:t xml:space="preserve">Tabla 12.1. Distribución del Auto_Grade en 47.810 tareas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400"/>
        <w:gridCol w:w="180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Categoría</w:t>
            </w:r>
          </w:p>
        </w:tc>
        <w:tc>
          <w:tcPr>
            <w:tcW w:type="dxa" w:w="5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Definición</w:t>
            </w:r>
          </w:p>
        </w:tc>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N tareas</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 del total</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HIGH</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Automatización completa o casi completa de la tarea (≥80% del flujo). Tarea ejecutable autónomamente por el sistema.</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875</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1,8%</w:t>
            </w:r>
          </w:p>
        </w:tc>
      </w:tr>
      <w:tr>
        <w:tc>
          <w:tcPr>
            <w:tcW w:type="dxa" w:w="1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TRANS</w:t>
            </w:r>
          </w:p>
        </w:tc>
        <w:tc>
          <w:tcPr>
            <w:tcW w:type="dxa" w:w="5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Automatización parcial con supervisión humana (30–79%). El flujo se altera pero requiere intervención humana en checkpoints.</w:t>
            </w:r>
          </w:p>
        </w:tc>
        <w:tc>
          <w:tcPr>
            <w:tcW w:type="dxa" w:w="1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44.151</w:t>
            </w:r>
          </w:p>
        </w:tc>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92,3%</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LOW</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Automatización mínima (&lt;30%). El sistema asiste pero no sustituye operacionalmente al trabajador.</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2.784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5,8%</w:t>
            </w:r>
          </w:p>
        </w:tc>
      </w:tr>
    </w:tbl>
    <w:p>
      <w:pPr>
        <w:spacing w:after="240" w:before="80"/>
        <w:jc w:val="both"/>
      </w:pPr>
      <w:r>
        <w:rPr>
          <w:rFonts w:ascii="Calibri" w:cs="Calibri" w:eastAsia="Calibri" w:hAnsi="Calibri"/>
          <w:i/>
          <w:iCs/>
          <w:color w:val="666666"/>
          <w:sz w:val="18"/>
          <w:szCs w:val="18"/>
        </w:rPr>
        <w:t xml:space="preserve">Distribución asimétrica: la inmensa mayoría de las tareas O*NET caen en TRANS (automatización parcial), reflejando que el régimen Agentic actual no sustituye autónomamente sino que transforma la mayoría de los flujos de trabajo.</w:t>
      </w:r>
    </w:p>
    <w:p>
      <w:pPr>
        <w:spacing w:after="140" w:before="240"/>
      </w:pPr>
      <w:r>
        <w:rPr>
          <w:rFonts w:ascii="Calibri" w:cs="Calibri" w:eastAsia="Calibri" w:hAnsi="Calibri"/>
          <w:b/>
          <w:bCs/>
          <w:i/>
          <w:iCs/>
          <w:sz w:val="22"/>
          <w:szCs w:val="22"/>
        </w:rPr>
        <w:t xml:space="preserve">CI_Grade (grado de transferencia de capital intelectual)</w:t>
      </w:r>
    </w:p>
    <w:p>
      <w:pPr>
        <w:spacing w:after="120" w:before="240"/>
        <w:jc w:val="left"/>
      </w:pPr>
      <w:r>
        <w:rPr>
          <w:rFonts w:ascii="Calibri" w:cs="Calibri" w:eastAsia="Calibri" w:hAnsi="Calibri"/>
          <w:b/>
          <w:bCs/>
          <w:color w:val="1F4E79"/>
          <w:sz w:val="20"/>
          <w:szCs w:val="20"/>
        </w:rPr>
        <w:t xml:space="preserve">Tabla 12.2. Distribución del CI_Grade en 47.810 tareas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400"/>
        <w:gridCol w:w="180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Categoría</w:t>
            </w:r>
          </w:p>
        </w:tc>
        <w:tc>
          <w:tcPr>
            <w:tcW w:type="dxa" w:w="5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Definición</w:t>
            </w:r>
          </w:p>
        </w:tc>
        <w:tc>
          <w:tcPr>
            <w:tcW w:type="dxa" w:w="1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N tareas</w:t>
            </w:r>
          </w:p>
        </w:tc>
        <w:tc>
          <w:tcPr>
            <w:tcW w:type="dxa" w:w="1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 del total</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HIGH_ALGO</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Codificación algorítmica del conocimiento tácito en activos alienables. La ejecución de la tarea contribuye a entrenar/enriquecer el sistema Agentic con valor cristalizado.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1.709</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3,6%</w:t>
            </w:r>
          </w:p>
        </w:tc>
      </w:tr>
      <w:tr>
        <w:tc>
          <w:tcPr>
            <w:tcW w:type="dxa" w:w="1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MEDIUM_SC</w:t>
            </w:r>
          </w:p>
        </w:tc>
        <w:tc>
          <w:tcPr>
            <w:tcW w:type="dxa" w:w="5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Codificación parcial del saber contextual. La tarea produce conocimiento parcialmente transferible al sistema.</w:t>
            </w:r>
          </w:p>
        </w:tc>
        <w:tc>
          <w:tcPr>
            <w:tcW w:type="dxa" w:w="1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43.317</w:t>
            </w:r>
          </w:p>
        </w:tc>
        <w:tc>
          <w:tcPr>
            <w:tcW w:type="dxa" w:w="1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90,6%</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LOW_TRANS</w:t>
            </w:r>
          </w:p>
        </w:tc>
        <w:tc>
          <w:tcPr>
            <w:tcW w:type="dxa" w:w="5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Baja transferencia. El conocimiento permanece en el trabajador y no se cristaliza en el sistema.</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2.784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5,8%</w:t>
            </w:r>
          </w:p>
        </w:tc>
      </w:tr>
    </w:tbl>
    <w:p>
      <w:pPr>
        <w:spacing w:after="180" w:before="320"/>
      </w:pPr>
      <w:r>
        <w:rPr>
          <w:rFonts w:ascii="Calibri" w:cs="Calibri" w:eastAsia="Calibri" w:hAnsi="Calibri"/>
          <w:b/>
          <w:bCs/>
          <w:color w:val="1F4E79"/>
          <w:sz w:val="26"/>
          <w:szCs w:val="26"/>
        </w:rPr>
        <w:t xml:space="preserve">12.4 Justificación de los pesos asimétricos</w:t>
      </w:r>
    </w:p>
    <w:p>
      <w:pPr>
        <w:spacing w:after="120" w:before="240"/>
        <w:jc w:val="left"/>
      </w:pPr>
      <w:r>
        <w:rPr>
          <w:rFonts w:ascii="Calibri" w:cs="Calibri" w:eastAsia="Calibri" w:hAnsi="Calibri"/>
          <w:b/>
          <w:bCs/>
          <w:color w:val="1F4E79"/>
          <w:sz w:val="20"/>
          <w:szCs w:val="20"/>
        </w:rPr>
        <w:t xml:space="preserve">Tabla 12.3. Pesos del AEI</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840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Categoría</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Peso</w:t>
            </w:r>
          </w:p>
        </w:tc>
        <w:tc>
          <w:tcPr>
            <w:tcW w:type="dxa" w:w="8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Justificación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%HIGH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1,0</w:t>
            </w:r>
          </w:p>
        </w:tc>
        <w:tc>
          <w:tcPr>
            <w:tcW w:type="dxa" w:w="8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Contribución directa de tareas plenamente automatizables al fenómeno de expropiación. Es el caso clásico de sustitución funcional.</w:t>
            </w:r>
          </w:p>
        </w:tc>
      </w:tr>
      <w:tr>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%TRANS</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0,5</w:t>
            </w:r>
          </w:p>
        </w:tc>
        <w:tc>
          <w:tcPr>
            <w:tcW w:type="dxa" w:w="84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Contribución parcial: estas tareas mantienen supervisión humana pero su flujo es operacionalmente alterado. La transferencia de valor es parcial.</w:t>
            </w:r>
          </w:p>
        </w:tc>
      </w:tr>
      <w:tr>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%HIGH_ALGO</w:t>
            </w:r>
          </w:p>
        </w:tc>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2,0</w:t>
            </w:r>
          </w:p>
        </w:tc>
        <w:tc>
          <w:tcPr>
            <w:tcW w:type="dxa" w:w="84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DOBLE contribución: las tareas con codificación algorítmica del conocimiento tácito contribuyen tanto al desplazamiento del trabajador (numerador HIGH/TRANS) como a la cristalización del capital intelectual en activo propietario. Ambos componentes del fenómeno de expropiación. La asimetría 1 / 0,5 / 2 enfatiza analíticamente la dimensión de transferencia de capital intelectual sobre la dimensión de mera automatización.</w:t>
            </w:r>
          </w:p>
        </w:tc>
      </w:tr>
    </w:tbl>
    <w:p>
      <w:pPr>
        <w:spacing w:after="240" w:before="80"/>
        <w:jc w:val="both"/>
      </w:pPr>
      <w:r>
        <w:rPr>
          <w:rFonts w:ascii="Calibri" w:cs="Calibri" w:eastAsia="Calibri" w:hAnsi="Calibri"/>
          <w:i/>
          <w:iCs/>
          <w:color w:val="666666"/>
          <w:sz w:val="18"/>
          <w:szCs w:val="18"/>
        </w:rPr>
        <w:t xml:space="preserve">El peso × 2 sobre HIGH_ALGO es la decisión metodológica más distintiva de la fórmula AEI. Refleja la articulación conceptual del paper: la expropiación algorítmica no es solo desplazamiento (Auto_Grade), sino también cristalización (CI_Grade). Una tarea HIGH_ALGO genera ambos efectos simultáneamente.</w:t>
      </w:r>
    </w:p>
    <w:p>
      <w:pPr>
        <w:spacing w:after="180" w:before="320"/>
      </w:pPr>
      <w:r>
        <w:rPr>
          <w:rFonts w:ascii="Calibri" w:cs="Calibri" w:eastAsia="Calibri" w:hAnsi="Calibri"/>
          <w:b/>
          <w:bCs/>
          <w:color w:val="1F4E79"/>
          <w:sz w:val="26"/>
          <w:szCs w:val="26"/>
        </w:rPr>
        <w:t xml:space="preserve">12.5 Estadísticos descriptivos</w:t>
      </w:r>
    </w:p>
    <w:p>
      <w:pPr>
        <w:spacing w:after="120" w:before="240"/>
        <w:jc w:val="left"/>
      </w:pPr>
      <w:r>
        <w:rPr>
          <w:rFonts w:ascii="Calibri" w:cs="Calibri" w:eastAsia="Calibri" w:hAnsi="Calibri"/>
          <w:b/>
          <w:bCs/>
          <w:color w:val="1F4E79"/>
          <w:sz w:val="20"/>
          <w:szCs w:val="20"/>
        </w:rPr>
        <w:t xml:space="preserve">Tabla 12.4. Estadísticos descriptivos del AEI (n = 923 ocupaciones)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450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Estadístico</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Valor</w:t>
            </w:r>
          </w:p>
        </w:tc>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Interpretación</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Media</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55,24</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AEI promedio de las ocupaciones O*NET</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Mediana</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51,80</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Mediana cercana a la media; distribución relativamente simétrica</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Desviación estándar</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11,13</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Dispersión moderada</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Mínimo</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34,80</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Ocupación menos expuesta</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Máximo</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113,50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Ocupación más expuesta (Credit Analysts)</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Percentil 10</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≈48</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Ocupaciones del primer decil de exposición</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Percentil 90</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≈70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Umbral de "alta exposición" (sectorial)</w:t>
            </w:r>
          </w:p>
        </w:tc>
      </w:tr>
    </w:tbl>
    <w:p>
      <w:pPr>
        <w:spacing w:after="180" w:before="320"/>
      </w:pPr>
      <w:r>
        <w:rPr>
          <w:rFonts w:ascii="Calibri" w:cs="Calibri" w:eastAsia="Calibri" w:hAnsi="Calibri"/>
          <w:b/>
          <w:bCs/>
          <w:color w:val="1F4E79"/>
          <w:sz w:val="26"/>
          <w:szCs w:val="26"/>
        </w:rPr>
        <w:t xml:space="preserve">12.6 Validación cruzada</w:t>
      </w:r>
    </w:p>
    <w:p>
      <w:pPr>
        <w:spacing w:after="160" w:before="0" w:line="320"/>
        <w:jc w:val="both"/>
      </w:pPr>
      <w:r>
        <w:rPr>
          <w:rFonts w:ascii="Calibri" w:cs="Calibri" w:eastAsia="Calibri" w:hAnsi="Calibri"/>
          <w:sz w:val="22"/>
          <w:szCs w:val="22"/>
        </w:rPr>
        <w:t xml:space="preserve">La AEI calculada en el workbook ITEA v1.45 (columna AEI) coincide con la reconstrucción independiente desde la base auxiliar de tareas (AEI_Unified_Analysis_v1_0_2026.xlsx) con r = 0,99999. Esta validación confirma que la fórmula está correctamente implementada y que las clasificaciones subyacentes son consistentes entre las dos fuentes documentales del autor.</w:t>
      </w:r>
    </w:p>
    <w:p>
      <w:pPr>
        <w:spacing w:after="180" w:before="320"/>
      </w:pPr>
      <w:r>
        <w:rPr>
          <w:rFonts w:ascii="Calibri" w:cs="Calibri" w:eastAsia="Calibri" w:hAnsi="Calibri"/>
          <w:b/>
          <w:bCs/>
          <w:color w:val="1F4E79"/>
          <w:sz w:val="26"/>
          <w:szCs w:val="26"/>
        </w:rPr>
        <w:t xml:space="preserve">12.7 Implementación en Python</w:t>
      </w:r>
    </w:p>
    <w:p>
      <w:pPr>
        <w:shd w:fill="F5F5F5" w:val="clear"/>
        <w:spacing w:after="80" w:before="80" w:line="280"/>
        <w:ind w:left="240"/>
      </w:pPr>
      <w:r>
        <w:rPr>
          <w:rFonts w:ascii="Consolas" w:cs="Consolas" w:eastAsia="Consolas" w:hAnsi="Consolas"/>
          <w:sz w:val="18"/>
          <w:szCs w:val="18"/>
        </w:rPr>
        <w:t xml:space="preserve">def calcular_aei(df_tareas_ocupacion):</w:t>
      </w:r>
    </w:p>
    <w:p>
      <w:pPr>
        <w:shd w:fill="F5F5F5" w:val="clear"/>
        <w:spacing w:after="80" w:before="80" w:line="280"/>
        <w:ind w:left="240"/>
      </w:pPr>
      <w:r>
        <w:rPr>
          <w:rFonts w:ascii="Consolas" w:cs="Consolas" w:eastAsia="Consolas" w:hAnsi="Consolas"/>
          <w:sz w:val="18"/>
          <w:szCs w:val="18"/>
        </w:rPr>
        <w:t xml:space="preserve">    """AEI = (%HIGH * 100) + (%TRANS * 50) + (%HIGH_ALGO * 200)</w:t>
      </w:r>
    </w:p>
    <w:p>
      <w:pPr>
        <w:shd w:fill="F5F5F5" w:val="clear"/>
        <w:spacing w:after="80" w:before="80" w:line="280"/>
        <w:ind w:left="240"/>
      </w:pPr>
      <w:r>
        <w:rPr>
          <w:rFonts w:ascii="Consolas" w:cs="Consolas" w:eastAsia="Consolas" w:hAnsi="Consolas"/>
          <w:sz w:val="18"/>
          <w:szCs w:val="18"/>
        </w:rPr>
        <w:t xml:space="preserve">       Donde df_tareas_ocupacion es DataFrame con columnas Auto_Grade y CI_Grade"""</w:t>
      </w:r>
    </w:p>
    <w:p>
      <w:pPr>
        <w:shd w:fill="F5F5F5" w:val="clear"/>
        <w:spacing w:after="80" w:before="80" w:line="280"/>
        <w:ind w:left="240"/>
      </w:pPr>
      <w:r>
        <w:rPr>
          <w:rFonts w:ascii="Consolas" w:cs="Consolas" w:eastAsia="Consolas" w:hAnsi="Consolas"/>
          <w:sz w:val="18"/>
          <w:szCs w:val="18"/>
        </w:rPr>
        <w:t xml:space="preserve">    n = len(df_tareas_ocupacion)</w:t>
      </w:r>
    </w:p>
    <w:p>
      <w:pPr>
        <w:shd w:fill="F5F5F5" w:val="clear"/>
        <w:spacing w:after="80" w:before="80" w:line="280"/>
        <w:ind w:left="240"/>
      </w:pPr>
      <w:r>
        <w:rPr>
          <w:rFonts w:ascii="Consolas" w:cs="Consolas" w:eastAsia="Consolas" w:hAnsi="Consolas"/>
          <w:sz w:val="18"/>
          <w:szCs w:val="18"/>
        </w:rPr>
        <w:t xml:space="preserve">    pct_high = (df_tareas_ocupacion["Auto_Grade"] == "HIGH").sum() / n</w:t>
      </w:r>
    </w:p>
    <w:p>
      <w:pPr>
        <w:shd w:fill="F5F5F5" w:val="clear"/>
        <w:spacing w:after="80" w:before="80" w:line="280"/>
        <w:ind w:left="240"/>
      </w:pPr>
      <w:r>
        <w:rPr>
          <w:rFonts w:ascii="Consolas" w:cs="Consolas" w:eastAsia="Consolas" w:hAnsi="Consolas"/>
          <w:sz w:val="18"/>
          <w:szCs w:val="18"/>
        </w:rPr>
        <w:t xml:space="preserve">    pct_trans = (df_tareas_ocupacion["Auto_Grade"] == "TRANS").sum() / n</w:t>
      </w:r>
    </w:p>
    <w:p>
      <w:pPr>
        <w:shd w:fill="F5F5F5" w:val="clear"/>
        <w:spacing w:after="80" w:before="80" w:line="280"/>
        <w:ind w:left="240"/>
      </w:pPr>
      <w:r>
        <w:rPr>
          <w:rFonts w:ascii="Consolas" w:cs="Consolas" w:eastAsia="Consolas" w:hAnsi="Consolas"/>
          <w:sz w:val="18"/>
          <w:szCs w:val="18"/>
        </w:rPr>
        <w:t xml:space="preserve">    pct_high_algo = (df_tareas_ocupacion["CI_Grade"] == "HIGH_ALGO").sum() / n</w:t>
      </w:r>
    </w:p>
    <w:p>
      <w:pPr>
        <w:shd w:fill="F5F5F5" w:val="clear"/>
        <w:spacing w:after="80" w:before="80" w:line="280"/>
        <w:ind w:left="240"/>
      </w:pPr>
      <w:r>
        <w:rPr>
          <w:rFonts w:ascii="Consolas" w:cs="Consolas" w:eastAsia="Consolas" w:hAnsi="Consolas"/>
          <w:sz w:val="18"/>
          <w:szCs w:val="18"/>
        </w:rPr>
        <w:t xml:space="preserve">    return (pct_high * 100 * 1) + (pct_trans * 100 * 0.5) + (pct_high_algo * 100 * 2)</w:t>
      </w:r>
    </w:p>
    <w:p>
      <w:r>
        <w:br w:type="page"/>
      </w:r>
    </w:p>
    <w:p>
      <w:pPr>
        <w:spacing w:after="240" w:before="480"/>
      </w:pPr>
      <w:r>
        <w:rPr>
          <w:rFonts w:ascii="Calibri" w:cs="Calibri" w:eastAsia="Calibri" w:hAnsi="Calibri"/>
          <w:b/>
          <w:bCs/>
          <w:color w:val="1F4E79"/>
          <w:sz w:val="32"/>
          <w:szCs w:val="32"/>
        </w:rPr>
        <w:t xml:space="preserve">13. OAEI v2.0 — Operational Algorithmic Expropriation Index</w:t>
      </w:r>
    </w:p>
    <w:p>
      <w:pPr>
        <w:spacing w:after="160" w:before="0" w:line="320"/>
        <w:jc w:val="both"/>
      </w:pPr>
      <w:r>
        <w:rPr>
          <w:rFonts w:ascii="Calibri" w:cs="Calibri" w:eastAsia="Calibri" w:hAnsi="Calibri"/>
          <w:b/>
          <w:bCs/>
          <w:color w:val="C00000"/>
          <w:sz w:val="22"/>
          <w:szCs w:val="22"/>
        </w:rPr>
        <w:t xml:space="preserve">Cambio estructural en v2.0</w:t>
      </w:r>
      <w:r>
        <w:rPr>
          <w:rFonts w:ascii="Calibri" w:cs="Calibri" w:eastAsia="Calibri" w:hAnsi="Calibri"/>
          <w:sz w:val="22"/>
          <w:szCs w:val="22"/>
        </w:rPr>
        <w:t xml:space="preserve">. El OAEI mantiene su estructura multiplicativa teóricamente fundada y se </w:t>
      </w:r>
      <w:r>
        <w:rPr>
          <w:rFonts w:ascii="Calibri" w:cs="Calibri" w:eastAsia="Calibri" w:hAnsi="Calibri"/>
          <w:b/>
          <w:bCs/>
          <w:sz w:val="22"/>
          <w:szCs w:val="22"/>
        </w:rPr>
        <w:t xml:space="preserve">recalibra a escala interpretable [1, 100]</w:t>
      </w:r>
      <w:r>
        <w:rPr>
          <w:rFonts w:ascii="Calibri" w:cs="Calibri" w:eastAsia="Calibri" w:hAnsi="Calibri"/>
          <w:sz w:val="22"/>
          <w:szCs w:val="22"/>
        </w:rPr>
        <w:t xml:space="preserve"> mediante normalización min-max. La justificación de la transformación está articulada en la subsección 13.2.</w:t>
      </w:r>
    </w:p>
    <w:p>
      <w:pPr>
        <w:spacing w:after="180" w:before="320"/>
      </w:pPr>
      <w:r>
        <w:rPr>
          <w:rFonts w:ascii="Calibri" w:cs="Calibri" w:eastAsia="Calibri" w:hAnsi="Calibri"/>
          <w:b/>
          <w:bCs/>
          <w:color w:val="1F4E79"/>
          <w:sz w:val="26"/>
          <w:szCs w:val="26"/>
        </w:rPr>
        <w:t xml:space="preserve">13.1 Definición conceptual</w:t>
      </w:r>
    </w:p>
    <w:p>
      <w:pPr>
        <w:spacing w:after="160" w:before="0" w:line="320"/>
        <w:jc w:val="both"/>
      </w:pPr>
      <w:r>
        <w:rPr>
          <w:rFonts w:ascii="Calibri" w:cs="Calibri" w:eastAsia="Calibri" w:hAnsi="Calibri"/>
          <w:sz w:val="22"/>
          <w:szCs w:val="22"/>
        </w:rPr>
        <w:t xml:space="preserve">El OAEI es un índice compuesto operacional diseñado para capturar la severidad del desajuste contractual bajo IA agéntica. Combina cuatro dimensiones del framework ITEA en una métrica única que opera como instrumento de priorización: a mayor OAEI, mayor severidad estructural del desajuste contractual y mayor prioridad para mecanismos correctivos (e.g., tokenización del capital intelectual, Paper 8B).</w:t>
      </w:r>
    </w:p>
    <w:p>
      <w:pPr>
        <w:spacing w:after="180" w:before="320"/>
      </w:pPr>
      <w:r>
        <w:rPr>
          <w:rFonts w:ascii="Calibri" w:cs="Calibri" w:eastAsia="Calibri" w:hAnsi="Calibri"/>
          <w:b/>
          <w:bCs/>
          <w:color w:val="1F4E79"/>
          <w:sz w:val="26"/>
          <w:szCs w:val="26"/>
        </w:rPr>
        <w:t xml:space="preserve">13.2 Formulación matemática (v2.0)</w:t>
      </w:r>
    </w:p>
    <w:p>
      <w:pPr>
        <w:spacing w:after="160" w:before="0" w:line="320"/>
        <w:jc w:val="both"/>
      </w:pPr>
      <w:r>
        <w:rPr>
          <w:rFonts w:ascii="Calibri" w:cs="Calibri" w:eastAsia="Calibri" w:hAnsi="Calibri"/>
          <w:b/>
          <w:bCs/>
          <w:sz w:val="22"/>
          <w:szCs w:val="22"/>
        </w:rPr>
        <w:t xml:space="preserve">Paso 1. Cálculo del OAEI raw (multiplicativo):</w:t>
      </w:r>
    </w:p>
    <w:p>
      <w:pPr>
        <w:spacing w:after="160" w:before="0" w:line="320"/>
        <w:jc w:val="both"/>
      </w:pPr>
      <w:r>
        <w:rPr>
          <w:rFonts w:ascii="Calibri" w:cs="Calibri" w:eastAsia="Calibri" w:hAnsi="Calibri"/>
          <w:b/>
          <w:bCs/>
          <w:color w:val="1F4E79"/>
          <w:sz w:val="22"/>
          <w:szCs w:val="22"/>
        </w:rPr>
        <w:t xml:space="preserve">    OAEI_raw = ITEA × GEE × ICT × (1 − IPI)</w:t>
      </w:r>
    </w:p>
    <w:p>
      <w:pPr>
        <w:spacing w:after="160" w:before="0" w:line="320"/>
        <w:jc w:val="both"/>
      </w:pPr>
      <w:r>
        <w:rPr>
          <w:rFonts w:ascii="Calibri" w:cs="Calibri" w:eastAsia="Calibri" w:hAnsi="Calibri"/>
          <w:b/>
          <w:bCs/>
          <w:sz w:val="22"/>
          <w:szCs w:val="22"/>
        </w:rPr>
        <w:t xml:space="preserve">Paso 2. Recalibración min-max a escala [1, 100]:</w:t>
      </w:r>
    </w:p>
    <w:p>
      <w:pPr>
        <w:spacing w:after="160" w:before="0" w:line="320"/>
        <w:jc w:val="both"/>
      </w:pPr>
      <w:r>
        <w:rPr>
          <w:rFonts w:ascii="Calibri" w:cs="Calibri" w:eastAsia="Calibri" w:hAnsi="Calibri"/>
          <w:b/>
          <w:bCs/>
          <w:color w:val="1F4E79"/>
          <w:sz w:val="22"/>
          <w:szCs w:val="22"/>
        </w:rPr>
        <w:t xml:space="preserve">    OAEI v2.0 = 1 + 99 × (OAEI_raw − min(OAEI_raw)) / (max(OAEI_raw) − min(OAEI_raw))</w:t>
      </w:r>
    </w:p>
    <w:p>
      <w:pPr>
        <w:spacing w:after="180" w:before="320"/>
      </w:pPr>
      <w:r>
        <w:rPr>
          <w:rFonts w:ascii="Calibri" w:cs="Calibri" w:eastAsia="Calibri" w:hAnsi="Calibri"/>
          <w:b/>
          <w:bCs/>
          <w:color w:val="1F4E79"/>
          <w:sz w:val="26"/>
          <w:szCs w:val="26"/>
        </w:rPr>
        <w:t xml:space="preserve">13.3 Justificación metodológica de la transformación</w:t>
      </w:r>
    </w:p>
    <w:p>
      <w:pPr>
        <w:spacing w:after="120" w:before="240"/>
        <w:jc w:val="left"/>
      </w:pPr>
      <w:r>
        <w:rPr>
          <w:rFonts w:ascii="Calibri" w:cs="Calibri" w:eastAsia="Calibri" w:hAnsi="Calibri"/>
          <w:b/>
          <w:bCs/>
          <w:color w:val="1F4E79"/>
          <w:sz w:val="20"/>
          <w:szCs w:val="20"/>
        </w:rPr>
        <w:t xml:space="preserve">Tabla 13.1. Justificación de la recalibración OAEI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Propiedad</w:t>
            </w:r>
          </w:p>
        </w:tc>
        <w:tc>
          <w:tcPr>
            <w:tcW w:type="dxa" w:w="7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Justificación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Conserva la multiplicatividad</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La estructura multiplicativa OAEI_raw está teóricamente fundada: ningún factor cero produce expropiación cero. Sin exposición (ITEA = 0) no hay objeto de automatización; sin GEE (cualificación = 0) no hay capital humano valioso que expropiar; sin ICT no hay flujo de conocimiento técnico nuevo que cristalizar; con IPI = 1 el conocimiento permanece situado en el cuerpo del trabajador. La recalibración preserva esta lógica.</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Evita el cero formal</w:t>
            </w:r>
          </w:p>
        </w:tc>
        <w:tc>
          <w:tcPr>
            <w:tcW w:type="dxa" w:w="7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En la versión raw, ocupaciones con cualquier factor en su mínimo producirían OAEI próximo a cero, sugiriendo "ausencia de vulnerabilidad" cuando en realidad incluso ocupaciones con IPI = 1 o ITEA bajo mantienen alguna exposición residual a la expropiación algorítmica. La asignación del valor 1 al mínimo evita esta interpretación errónea.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Escala interpretable comparable</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La escala [1, 100] es directamente comparable con el AEI agregado y con la convención sectorial de "AEI ≥ 64 = alta exposición". Un OAEI = 80 es directamente legible como percentil aproximado.</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Rank-order invariante</w:t>
            </w:r>
          </w:p>
        </w:tc>
        <w:tc>
          <w:tcPr>
            <w:tcW w:type="dxa" w:w="7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La transformación min-max es monotónica, por lo que las correlaciones de Spearman con cualquier outcome son idénticas a las del OAEI_raw. Las conclusiones sobre ocupaciones más expuestas son robustas a la recalibración.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Facilita umbrales de política</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La escala [1, 100] permite calibrar umbrales operativos directamente: percentil 90 ≈ 75; percentil 95 ≈ 85; percentil 99 ≈ 95. Esto facilita la articulación de mecanismos correctivos por cláusula contractual de tokenización (Paper 8B).</w:t>
            </w:r>
          </w:p>
        </w:tc>
      </w:tr>
    </w:tbl>
    <w:p>
      <w:pPr>
        <w:spacing w:after="180" w:before="320"/>
      </w:pPr>
      <w:r>
        <w:rPr>
          <w:rFonts w:ascii="Calibri" w:cs="Calibri" w:eastAsia="Calibri" w:hAnsi="Calibri"/>
          <w:b/>
          <w:bCs/>
          <w:color w:val="1F4E79"/>
          <w:sz w:val="26"/>
          <w:szCs w:val="26"/>
        </w:rPr>
        <w:t xml:space="preserve">13.4 Justificación teórica de los cuatro factores</w:t>
      </w:r>
    </w:p>
    <w:p>
      <w:pPr>
        <w:spacing w:after="120" w:before="240"/>
        <w:jc w:val="left"/>
      </w:pPr>
      <w:r>
        <w:rPr>
          <w:rFonts w:ascii="Calibri" w:cs="Calibri" w:eastAsia="Calibri" w:hAnsi="Calibri"/>
          <w:b/>
          <w:bCs/>
          <w:color w:val="1F4E79"/>
          <w:sz w:val="20"/>
          <w:szCs w:val="20"/>
        </w:rPr>
        <w:t xml:space="preserve">Tabla 13.2. Cuatro factores del OAEI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50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Factor</w:t>
            </w:r>
          </w:p>
        </w:tc>
        <w:tc>
          <w:tcPr>
            <w:tcW w:type="dxa" w:w="2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Tipo</w:t>
            </w:r>
          </w:p>
        </w:tc>
        <w:tc>
          <w:tcPr>
            <w:tcW w:type="dxa" w:w="5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Justificación</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ITEA</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Multiplicador de exposición</w:t>
            </w:r>
          </w:p>
        </w:tc>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Condición necesaria pero no suficiente: una ocupación no puede ser objeto de expropiación si no es automatizable. Captura la dimensión de exposición técnica.</w:t>
            </w:r>
          </w:p>
        </w:tc>
      </w:tr>
      <w:tr>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GEE</w:t>
            </w:r>
          </w:p>
        </w:tc>
        <w:tc>
          <w:tcPr>
            <w:tcW w:type="dxa" w:w="2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Multiplicador de capital humano</w:t>
            </w:r>
          </w:p>
        </w:tc>
        <w:tc>
          <w:tcPr>
            <w:tcW w:type="dxa" w:w="5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Captura el stock de capital humano invertido. A mayor cualificación, mayor el valor potencial del conocimiento a expropiar y, por tanto, mayor severidad del desajuste contractual.</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ICT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Multiplicador de complejidad técnica</w:t>
            </w:r>
          </w:p>
        </w:tc>
        <w:tc>
          <w:tcPr>
            <w:tcW w:type="dxa" w:w="5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Las ocupaciones con alta complejidad técnica requieren actualización continua y operación fuera de rutinas, lo que genera un flujo constante de nuevo conocimiento tácito susceptible de captura por el sistema Agentic.</w:t>
            </w:r>
          </w:p>
        </w:tc>
      </w:tr>
      <w:tr>
        <w:tc>
          <w:tcPr>
            <w:tcW w:type="dxa" w:w="2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(1 − IPI)</w:t>
            </w:r>
          </w:p>
        </w:tc>
        <w:tc>
          <w:tcPr>
            <w:tcW w:type="dxa" w:w="2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Factor de exclusión por presencialidad</w:t>
            </w:r>
          </w:p>
        </w:tc>
        <w:tc>
          <w:tcPr>
            <w:tcW w:type="dxa" w:w="5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Elimina la barrera física: ocupaciones que requieren presencia cara a cara están parcialmente protegidas porque el conocimiento situado es más difícil de externalizar. (1 − IPI) penaliza correctamente la presencialidad alta como factor protector.</w:t>
            </w:r>
          </w:p>
        </w:tc>
      </w:tr>
    </w:tbl>
    <w:p>
      <w:pPr>
        <w:spacing w:after="180" w:before="320"/>
      </w:pPr>
      <w:r>
        <w:rPr>
          <w:rFonts w:ascii="Calibri" w:cs="Calibri" w:eastAsia="Calibri" w:hAnsi="Calibri"/>
          <w:b/>
          <w:bCs/>
          <w:color w:val="1F4E79"/>
          <w:sz w:val="26"/>
          <w:szCs w:val="26"/>
        </w:rPr>
        <w:t xml:space="preserve">13.5 Estadísticos descriptivos OAEI v2.0</w:t>
      </w:r>
    </w:p>
    <w:p>
      <w:pPr>
        <w:spacing w:after="120" w:before="240"/>
        <w:jc w:val="left"/>
      </w:pPr>
      <w:r>
        <w:rPr>
          <w:rFonts w:ascii="Calibri" w:cs="Calibri" w:eastAsia="Calibri" w:hAnsi="Calibri"/>
          <w:b/>
          <w:bCs/>
          <w:color w:val="1F4E79"/>
          <w:sz w:val="20"/>
          <w:szCs w:val="20"/>
        </w:rPr>
        <w:t xml:space="preserve">Tabla 13.3. Estadísticos descriptivos del OAEI v2.0 (N = 846 ocupaciones efectivas)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450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Estadístico</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Valor</w:t>
            </w:r>
          </w:p>
        </w:tc>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Interpretación</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Rango</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 100]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Por construcción min-max</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Media</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37,36</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Distribución asimétrica positiva</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Mediana</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34,98</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Por debajo de la media: cola derecha extendida</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Desviación estándar</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23,78</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Dispersión amplia</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Percentil 90</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≈75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Umbral propuesto para cláusulas de tokenización (Paper 8B)</w:t>
            </w:r>
          </w:p>
        </w:tc>
      </w:tr>
      <w:tr>
        <w:tc>
          <w:tcPr>
            <w:tcW w:type="dxa" w:w="4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Percentil 95</w:t>
            </w:r>
          </w:p>
        </w:tc>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≈85</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Umbral propuesto para mecanismos correctivos reforzados</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Top 20 (umbral)</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82,6</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Ocupaciones más expuestas (≈2,4% de la muestra)</w:t>
            </w:r>
          </w:p>
        </w:tc>
      </w:tr>
    </w:tbl>
    <w:p>
      <w:pPr>
        <w:spacing w:after="180" w:before="320"/>
      </w:pPr>
      <w:r>
        <w:rPr>
          <w:rFonts w:ascii="Calibri" w:cs="Calibri" w:eastAsia="Calibri" w:hAnsi="Calibri"/>
          <w:b/>
          <w:bCs/>
          <w:color w:val="1F4E79"/>
          <w:sz w:val="26"/>
          <w:szCs w:val="26"/>
        </w:rPr>
        <w:t xml:space="preserve">13.6 Análisis de sensibilidad</w:t>
      </w:r>
    </w:p>
    <w:p>
      <w:pPr>
        <w:spacing w:after="160" w:before="0" w:line="320"/>
        <w:jc w:val="both"/>
      </w:pPr>
      <w:r>
        <w:rPr>
          <w:rFonts w:ascii="Calibri" w:cs="Calibri" w:eastAsia="Calibri" w:hAnsi="Calibri"/>
          <w:sz w:val="22"/>
          <w:szCs w:val="22"/>
        </w:rPr>
        <w:t xml:space="preserve">Para evaluar la robustez del OAEI v2.0 a especificaciones alternativas, se calcularon dos escenarios:</w:t>
      </w:r>
    </w:p>
    <w:p>
      <w:pPr>
        <w:spacing w:after="120" w:before="240"/>
        <w:jc w:val="left"/>
      </w:pPr>
      <w:r>
        <w:rPr>
          <w:rFonts w:ascii="Calibri" w:cs="Calibri" w:eastAsia="Calibri" w:hAnsi="Calibri"/>
          <w:b/>
          <w:bCs/>
          <w:color w:val="1F4E79"/>
          <w:sz w:val="20"/>
          <w:szCs w:val="20"/>
        </w:rPr>
        <w:t xml:space="preserve">Tabla 13.4. Análisis de sensibilidad del OAEI</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200"/>
        <w:gridCol w:w="280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Escenario</w:t>
            </w:r>
          </w:p>
        </w:tc>
        <w:tc>
          <w:tcPr>
            <w:tcW w:type="dxa" w:w="4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Fórmula</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ρ Spearman vs base</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Interpretación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 (base)</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ITEA × GEE × ICT × (1−IPI)</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Especificación de referencia</w:t>
            </w:r>
          </w:p>
        </w:tc>
      </w:tr>
      <w:tr>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B</w:t>
            </w:r>
          </w:p>
        </w:tc>
        <w:tc>
          <w:tcPr>
            <w:tcW w:type="dxa" w:w="4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EIA × GEE × ICT × (1−IPI)</w:t>
            </w:r>
          </w:p>
        </w:tc>
        <w:tc>
          <w:tcPr>
            <w:tcW w:type="dxa" w:w="22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0,94</w:t>
            </w:r>
          </w:p>
        </w:tc>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EIA es el conductor principal del OAEI; el ITEA general no añade información sustancialmente diferente.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C</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ITEA × GEE (simplificado)</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0,67</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ICT ni (1−IPI), el ranking cambia sustancialmente. Ocupaciones presenciales ascienden, confirmando que (1−IPI) es esencial para penalizar correctamente la presencialidad.</w:t>
            </w:r>
          </w:p>
        </w:tc>
      </w:tr>
    </w:tbl>
    <w:p>
      <w:pPr>
        <w:spacing w:after="240" w:before="80"/>
        <w:jc w:val="both"/>
      </w:pPr>
      <w:r>
        <w:rPr>
          <w:rFonts w:ascii="Calibri" w:cs="Calibri" w:eastAsia="Calibri" w:hAnsi="Calibri"/>
          <w:i/>
          <w:iCs/>
          <w:color w:val="666666"/>
          <w:sz w:val="18"/>
          <w:szCs w:val="18"/>
        </w:rPr>
        <w:t xml:space="preserve">El OAEI v2.0 es robusto a la sustitución de ITEA por su subcomponente EIA (correlación 0,94), lo que sugiere que para futuras aplicaciones podría utilizarse el EIA en lugar del ITEA completo sin pérdida sustancial. La eliminación de (1−IPI) e ICT (Escenario C) sí altera el ranking, confirmando la pertinencia de los cuatro factores.</w:t>
      </w:r>
    </w:p>
    <w:p>
      <w:pPr>
        <w:spacing w:after="180" w:before="320"/>
      </w:pPr>
      <w:r>
        <w:rPr>
          <w:rFonts w:ascii="Calibri" w:cs="Calibri" w:eastAsia="Calibri" w:hAnsi="Calibri"/>
          <w:b/>
          <w:bCs/>
          <w:color w:val="1F4E79"/>
          <w:sz w:val="26"/>
          <w:szCs w:val="26"/>
        </w:rPr>
        <w:t xml:space="preserve">13.7 Implementación en Python</w:t>
      </w:r>
    </w:p>
    <w:p>
      <w:pPr>
        <w:shd w:fill="F5F5F5" w:val="clear"/>
        <w:spacing w:after="80" w:before="80" w:line="280"/>
        <w:ind w:left="240"/>
      </w:pPr>
      <w:r>
        <w:rPr>
          <w:rFonts w:ascii="Consolas" w:cs="Consolas" w:eastAsia="Consolas" w:hAnsi="Consolas"/>
          <w:sz w:val="18"/>
          <w:szCs w:val="18"/>
        </w:rPr>
        <w:t xml:space="preserve">def calcular_oaei_v2(itea, gee, ict, ipi):</w:t>
      </w:r>
    </w:p>
    <w:p>
      <w:pPr>
        <w:shd w:fill="F5F5F5" w:val="clear"/>
        <w:spacing w:after="80" w:before="80" w:line="280"/>
        <w:ind w:left="240"/>
      </w:pPr>
      <w:r>
        <w:rPr>
          <w:rFonts w:ascii="Consolas" w:cs="Consolas" w:eastAsia="Consolas" w:hAnsi="Consolas"/>
          <w:sz w:val="18"/>
          <w:szCs w:val="18"/>
        </w:rPr>
        <w:t xml:space="preserve">    """OAEI v2.0 = 1 + 99 * (raw - min) / (max - min)</w:t>
      </w:r>
    </w:p>
    <w:p>
      <w:pPr>
        <w:shd w:fill="F5F5F5" w:val="clear"/>
        <w:spacing w:after="80" w:before="80" w:line="280"/>
        <w:ind w:left="240"/>
      </w:pPr>
      <w:r>
        <w:rPr>
          <w:rFonts w:ascii="Consolas" w:cs="Consolas" w:eastAsia="Consolas" w:hAnsi="Consolas"/>
          <w:sz w:val="18"/>
          <w:szCs w:val="18"/>
        </w:rPr>
        <w:t xml:space="preserve">       Donde raw = ITEA * GEE * ICT * (1 - IPI)"""</w:t>
      </w:r>
    </w:p>
    <w:p>
      <w:pPr>
        <w:shd w:fill="F5F5F5" w:val="clear"/>
        <w:spacing w:after="80" w:before="80" w:line="280"/>
        <w:ind w:left="240"/>
      </w:pPr>
      <w:r>
        <w:rPr>
          <w:rFonts w:ascii="Consolas" w:cs="Consolas" w:eastAsia="Consolas" w:hAnsi="Consolas"/>
          <w:sz w:val="18"/>
          <w:szCs w:val="18"/>
        </w:rPr>
        <w:t xml:space="preserve">    import numpy as np</w:t>
      </w:r>
    </w:p>
    <w:p>
      <w:pPr>
        <w:shd w:fill="F5F5F5" w:val="clear"/>
        <w:spacing w:after="80" w:before="80" w:line="280"/>
        <w:ind w:left="240"/>
      </w:pPr>
      <w:r>
        <w:rPr>
          <w:rFonts w:ascii="Consolas" w:cs="Consolas" w:eastAsia="Consolas" w:hAnsi="Consolas"/>
          <w:sz w:val="18"/>
          <w:szCs w:val="18"/>
        </w:rPr>
        <w:t xml:space="preserve">    raw = np.asarray(itea) * np.asarray(gee) * np.asarray(ict) * (1 - np.asarray(ipi))</w:t>
      </w:r>
    </w:p>
    <w:p>
      <w:pPr>
        <w:shd w:fill="F5F5F5" w:val="clear"/>
        <w:spacing w:after="80" w:before="80" w:line="280"/>
        <w:ind w:left="240"/>
      </w:pPr>
      <w:r>
        <w:rPr>
          <w:rFonts w:ascii="Consolas" w:cs="Consolas" w:eastAsia="Consolas" w:hAnsi="Consolas"/>
          <w:sz w:val="18"/>
          <w:szCs w:val="18"/>
        </w:rPr>
        <w:t xml:space="preserve">    raw_min, raw_max = raw.min(), raw.max()</w:t>
      </w:r>
    </w:p>
    <w:p>
      <w:pPr>
        <w:shd w:fill="F5F5F5" w:val="clear"/>
        <w:spacing w:after="80" w:before="80" w:line="280"/>
        <w:ind w:left="240"/>
      </w:pPr>
      <w:r>
        <w:rPr>
          <w:rFonts w:ascii="Consolas" w:cs="Consolas" w:eastAsia="Consolas" w:hAnsi="Consolas"/>
          <w:sz w:val="18"/>
          <w:szCs w:val="18"/>
        </w:rPr>
        <w:t xml:space="preserve">    oaei_v2 = 1 + 99 * (raw - raw_min) / (raw_max - raw_min)</w:t>
      </w:r>
    </w:p>
    <w:p>
      <w:pPr>
        <w:shd w:fill="F5F5F5" w:val="clear"/>
        <w:spacing w:after="80" w:before="80" w:line="280"/>
        <w:ind w:left="240"/>
      </w:pPr>
      <w:r>
        <w:rPr>
          <w:rFonts w:ascii="Consolas" w:cs="Consolas" w:eastAsia="Consolas" w:hAnsi="Consolas"/>
          <w:sz w:val="18"/>
          <w:szCs w:val="18"/>
        </w:rPr>
        <w:t xml:space="preserve">    return oaei_v2</w:t>
      </w:r>
    </w:p>
    <w:p>
      <w:r>
        <w:br w:type="page"/>
      </w:r>
    </w:p>
    <w:p>
      <w:pPr>
        <w:spacing w:after="240" w:before="480"/>
      </w:pPr>
      <w:r>
        <w:rPr>
          <w:rFonts w:ascii="Calibri" w:cs="Calibri" w:eastAsia="Calibri" w:hAnsi="Calibri"/>
          <w:b/>
          <w:bCs/>
          <w:color w:val="1F4E79"/>
          <w:sz w:val="32"/>
          <w:szCs w:val="32"/>
        </w:rPr>
        <w:t xml:space="preserve">14. Validación Integrada del Framework</w:t>
      </w:r>
    </w:p>
    <w:p>
      <w:pPr>
        <w:spacing w:after="180" w:before="320"/>
      </w:pPr>
      <w:r>
        <w:rPr>
          <w:rFonts w:ascii="Calibri" w:cs="Calibri" w:eastAsia="Calibri" w:hAnsi="Calibri"/>
          <w:b/>
          <w:bCs/>
          <w:color w:val="1F4E79"/>
          <w:sz w:val="26"/>
          <w:szCs w:val="26"/>
        </w:rPr>
        <w:t xml:space="preserve">14.1 Matriz de correlaciones (v2.0)</w:t>
      </w:r>
    </w:p>
    <w:p>
      <w:pPr>
        <w:spacing w:after="160" w:before="0" w:line="320"/>
        <w:jc w:val="both"/>
      </w:pPr>
      <w:r>
        <w:rPr>
          <w:rFonts w:ascii="Calibri" w:cs="Calibri" w:eastAsia="Calibri" w:hAnsi="Calibri"/>
          <w:sz w:val="22"/>
          <w:szCs w:val="22"/>
        </w:rPr>
        <w:t xml:space="preserve">La siguiente matriz presenta las correlaciones de Pearson entre los indicadores principales del Framework ITEA v2.0, calculadas sobre N = 846 ocupaciones con datos completos. Las celdas con |r| ≥ 0,70 se resaltan.</w:t>
      </w:r>
    </w:p>
    <w:p>
      <w:pPr>
        <w:spacing w:after="120" w:before="240"/>
        <w:jc w:val="left"/>
      </w:pPr>
      <w:r>
        <w:rPr>
          <w:rFonts w:ascii="Calibri" w:cs="Calibri" w:eastAsia="Calibri" w:hAnsi="Calibri"/>
          <w:b/>
          <w:bCs/>
          <w:color w:val="1F4E79"/>
          <w:sz w:val="20"/>
          <w:szCs w:val="20"/>
        </w:rPr>
        <w:t xml:space="preserve">Tabla 14.1. Matriz de correlaciones de Pearson — Framework ITEA v2.0 (N = 846)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800"/>
        <w:gridCol w:w="800"/>
        <w:gridCol w:w="800"/>
        <w:gridCol w:w="800"/>
        <w:gridCol w:w="800"/>
        <w:gridCol w:w="800"/>
        <w:gridCol w:w="800"/>
        <w:gridCol w:w="800"/>
        <w:gridCol w:w="800"/>
        <w:gridCol w:w="8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AEI</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ITEA</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EIA</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IRA</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GEE</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ICT</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IFS</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IPI</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IEF</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OAEI</w:t>
            </w:r>
          </w:p>
        </w:tc>
        <w:tc>
          <w:tcPr>
            <w:tcW w:type="dxa" w:w="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Wage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AEI</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0,41</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ITEA</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0,26</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0,46</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EIA</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0,05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−0,27</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0,44</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IRA</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0,25</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0,26</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0,29</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0,45</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GEE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0,18</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0,69</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ICT</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−0,01</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0,05</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0,29</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0,18</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0,27</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0,09</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IFS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0,25</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−0,16</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0,39</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IPI</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−0,27</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0,03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−0,16</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−0,23</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IEF</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0,04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−0,34</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OAEI</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0,46</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0,45</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0,91</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0,27</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0,42</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−0,74</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c>
          <w:tcPr>
            <w:tcW w:type="dxa" w:w="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0,61</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Wage</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0,09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0,39</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−0,23</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−0,34</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0,61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1,00</w:t>
            </w:r>
          </w:p>
        </w:tc>
      </w:tr>
    </w:tbl>
    <w:p>
      <w:pPr>
        <w:spacing w:after="240" w:before="80"/>
        <w:jc w:val="both"/>
      </w:pPr>
      <w:r>
        <w:rPr>
          <w:rFonts w:ascii="Calibri" w:cs="Calibri" w:eastAsia="Calibri" w:hAnsi="Calibri"/>
          <w:i/>
          <w:iCs/>
          <w:color w:val="666666"/>
          <w:sz w:val="18"/>
          <w:szCs w:val="18"/>
        </w:rPr>
        <w:t xml:space="preserve">Correlaciones críticas: r(ITEA, AEI) = 0,72 (validez convergente principal); r(EIA, AEI) = 0,94 (EIA es conductor principal del AEI, validando la articulación analítica del régimen Agentic); r(IRA v2.0, GEE) = 0,43 (validez discriminante resuelta en v2.0, desde 0,904 en v1.45); r(OAEI v2.0, Wage) = 0,61 (validez de criterio externa).</w:t>
      </w:r>
    </w:p>
    <w:p>
      <w:pPr>
        <w:spacing w:after="180" w:before="320"/>
      </w:pPr>
      <w:r>
        <w:rPr>
          <w:rFonts w:ascii="Calibri" w:cs="Calibri" w:eastAsia="Calibri" w:hAnsi="Calibri"/>
          <w:b/>
          <w:bCs/>
          <w:color w:val="1F4E79"/>
          <w:sz w:val="26"/>
          <w:szCs w:val="26"/>
        </w:rPr>
        <w:t xml:space="preserve">14.2 Tabla de validación por indicador (v2.0)</w:t>
      </w:r>
    </w:p>
    <w:p>
      <w:pPr>
        <w:spacing w:after="120" w:before="240"/>
        <w:jc w:val="left"/>
      </w:pPr>
      <w:r>
        <w:rPr>
          <w:rFonts w:ascii="Calibri" w:cs="Calibri" w:eastAsia="Calibri" w:hAnsi="Calibri"/>
          <w:b/>
          <w:bCs/>
          <w:color w:val="1F4E79"/>
          <w:sz w:val="20"/>
          <w:szCs w:val="20"/>
        </w:rPr>
        <w:t xml:space="preserve">Tabla 14.2. Tabla de validación completa del Framework ITEA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280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Test</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Indicador</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Valor v1.45</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Valor v2.0</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Estado</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r(ITEA, AEI) — convergente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ITEA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APROBADO (&gt;0,50)</w:t>
            </w:r>
          </w:p>
        </w:tc>
      </w:tr>
      <w:tr>
        <w:tc>
          <w:tcPr>
            <w:tcW w:type="dxa" w:w="2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r(IRA/IRO, GEE) — discriminante</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IRA v2.0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0,904 (problema)</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0,433</w:t>
            </w:r>
          </w:p>
        </w:tc>
        <w:tc>
          <w:tcPr>
            <w:tcW w:type="dxa" w:w="28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RESUELTO en v2.0 (&lt;0,70)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r(OAEI, AEI)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0,526</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0,526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APROBADO (&gt;0,40)</w:t>
            </w:r>
          </w:p>
        </w:tc>
      </w:tr>
      <w:tr>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r(OAEI, Wage_Median) — criterio</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0,607</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0,607</w:t>
            </w:r>
          </w:p>
        </w:tc>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APROBADO (&gt;0,40)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VIF máximo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ITEA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1,21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1,21</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APROBADO (&lt;5)</w:t>
            </w:r>
          </w:p>
        </w:tc>
      </w:tr>
      <w:tr>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VIF máximo</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ICT</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1,15</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1,15</w:t>
            </w:r>
          </w:p>
        </w:tc>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APROBADO (&lt;5)</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α de Cronbach</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IFS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0,749</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0,749</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APROBADO (&gt;0,70)</w:t>
            </w:r>
          </w:p>
        </w:tc>
      </w:tr>
      <w:tr>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α de Cronbach</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IEF</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0,919</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0,919</w:t>
            </w:r>
          </w:p>
        </w:tc>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APROBADO (&gt;0,70)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α de Cronbach</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IRA v2.0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0,842 (sobre IRO)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 aplicable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Constructo residualizado: validez por discriminación</w:t>
            </w:r>
          </w:p>
        </w:tc>
      </w:tr>
      <w:tr>
        <w:tc>
          <w:tcPr>
            <w:tcW w:type="dxa" w:w="27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r(IPI, IFS) — discriminante</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IPI</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−0,156</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−0,156</w:t>
            </w:r>
          </w:p>
        </w:tc>
        <w:tc>
          <w:tcPr>
            <w:tcW w:type="dxa" w:w="28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APROBADO (&lt;|0,20|)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ρ Spearman con Job Zone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GEE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0,927</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APROBADO (&gt;0,50)</w:t>
            </w:r>
          </w:p>
        </w:tc>
      </w:tr>
      <w:tr>
        <w:tc>
          <w:tcPr>
            <w:tcW w:type="dxa" w:w="27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Rango y escala</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v2.0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 raw]</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 100]</w:t>
            </w:r>
          </w:p>
        </w:tc>
        <w:tc>
          <w:tcPr>
            <w:tcW w:type="dxa" w:w="28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 RECALIBRADO en v2.0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N efectivo análisis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846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 APROBADO (&gt;500)</w:t>
            </w:r>
          </w:p>
        </w:tc>
      </w:tr>
    </w:tbl>
    <w:p>
      <w:pPr>
        <w:spacing w:after="240" w:before="80"/>
        <w:jc w:val="both"/>
      </w:pPr>
      <w:r>
        <w:rPr>
          <w:rFonts w:ascii="Calibri" w:cs="Calibri" w:eastAsia="Calibri" w:hAnsi="Calibri"/>
          <w:i/>
          <w:iCs/>
          <w:color w:val="666666"/>
          <w:sz w:val="18"/>
          <w:szCs w:val="18"/>
        </w:rPr>
        <w:t xml:space="preserve">El criterio que cambia de estado en v2.0 es la validez discriminante IRA-GEE, resuelta por la reconceptualización IRO → IRA. El α de Cronbach del IRA v2.0 queda marcado como "no aplicable" porque la estructura del constructo combina componente normalizado (CA_norm) con residuos ortogonales (IRO_residual_norm); el cálculo tradicional de α no se aplica a constructos residualizados. La validación del IRA se articula vía discriminación frente a GEE.</w:t>
      </w:r>
    </w:p>
    <w:p>
      <w:pPr>
        <w:spacing w:after="180" w:before="320"/>
      </w:pPr>
      <w:r>
        <w:rPr>
          <w:rFonts w:ascii="Calibri" w:cs="Calibri" w:eastAsia="Calibri" w:hAnsi="Calibri"/>
          <w:b/>
          <w:bCs/>
          <w:color w:val="1F4E79"/>
          <w:sz w:val="26"/>
          <w:szCs w:val="26"/>
        </w:rPr>
        <w:t xml:space="preserve">14.3 Análisis cuadrante GEE × IRA: hallazgo central de v2.0</w:t>
      </w:r>
    </w:p>
    <w:p>
      <w:pPr>
        <w:spacing w:after="160" w:before="0" w:line="320"/>
        <w:jc w:val="both"/>
      </w:pPr>
      <w:r>
        <w:rPr>
          <w:rFonts w:ascii="Calibri" w:cs="Calibri" w:eastAsia="Calibri" w:hAnsi="Calibri"/>
          <w:sz w:val="22"/>
          <w:szCs w:val="22"/>
        </w:rPr>
        <w:t xml:space="preserve">La reconceptualización IRA v2.0 abre un análisis empírico imposible bajo la formulación v1.45 por la duplicación instrumental: el </w:t>
      </w:r>
      <w:r>
        <w:rPr>
          <w:rFonts w:ascii="Calibri" w:cs="Calibri" w:eastAsia="Calibri" w:hAnsi="Calibri"/>
          <w:b/>
          <w:bCs/>
          <w:sz w:val="22"/>
          <w:szCs w:val="22"/>
        </w:rPr>
        <w:t xml:space="preserve">análisis cuadrante GEE × IRA</w:t>
      </w:r>
      <w:r>
        <w:rPr>
          <w:rFonts w:ascii="Calibri" w:cs="Calibri" w:eastAsia="Calibri" w:hAnsi="Calibri"/>
          <w:sz w:val="22"/>
          <w:szCs w:val="22"/>
        </w:rPr>
        <w:t xml:space="preserve">. Dividiendo las 846 ocupaciones efectivas por la mediana de cada variable, se obtienen cuatro cuadrantes:</w:t>
      </w:r>
    </w:p>
    <w:p>
      <w:pPr>
        <w:spacing w:after="120" w:before="240"/>
        <w:jc w:val="left"/>
      </w:pPr>
      <w:r>
        <w:rPr>
          <w:rFonts w:ascii="Calibri" w:cs="Calibri" w:eastAsia="Calibri" w:hAnsi="Calibri"/>
          <w:b/>
          <w:bCs/>
          <w:color w:val="1F4E79"/>
          <w:sz w:val="20"/>
          <w:szCs w:val="20"/>
        </w:rPr>
        <w:t xml:space="preserve">Tabla 14.3. Análisis cuadrante GEE × IRA v2.0 (medianas como umbrales)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500"/>
        <w:gridCol w:w="1500"/>
        <w:gridCol w:w="1500"/>
        <w:gridCol w:w="130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Cuadrante</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N</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GEE medio</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IRA medio</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OAEI medio</w:t>
            </w:r>
          </w:p>
        </w:tc>
        <w:tc>
          <w:tcPr>
            <w:tcW w:type="dxa" w:w="13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AEI medio</w:t>
            </w:r>
          </w:p>
        </w:tc>
      </w:tr>
      <w:tr>
        <w:tc>
          <w:tcPr>
            <w:tcW w:type="dxa" w:w="3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Q1: alto GEE × alto IRA</w:t>
            </w:r>
          </w:p>
        </w:tc>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267</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0,725</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0,358</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61,52</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60,07</w:t>
            </w:r>
          </w:p>
        </w:tc>
      </w:tr>
      <w:tr>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Q4: alto GEE × bajo IRA</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156</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0,706</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0,124</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47,41</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58,22</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Q3: bajo GEE × bajo IRA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267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0,247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0,108</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17,46</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50,12</w:t>
            </w:r>
          </w:p>
        </w:tc>
      </w:tr>
      <w:tr>
        <w:tc>
          <w:tcPr>
            <w:tcW w:type="dxa" w:w="3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Q2: bajo GEE × alto IRA</w:t>
            </w:r>
          </w:p>
        </w:tc>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156</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0,295</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0,326</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16,75</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50,46</w:t>
            </w:r>
          </w:p>
        </w:tc>
      </w:tr>
    </w:tbl>
    <w:p>
      <w:pPr>
        <w:spacing w:after="240" w:before="80"/>
        <w:jc w:val="both"/>
      </w:pPr>
      <w:r>
        <w:rPr>
          <w:rFonts w:ascii="Calibri" w:cs="Calibri" w:eastAsia="Calibri" w:hAnsi="Calibri"/>
          <w:i/>
          <w:iCs/>
          <w:color w:val="666666"/>
          <w:sz w:val="18"/>
          <w:szCs w:val="18"/>
        </w:rPr>
        <w:t xml:space="preserve">Cuadrantes definidos sobre las medianas de GEE (0,468) e IRA v2.0 (0,180). Hallazgo central de la versión 2.0: el cuadrante de máxima exposición es Q1 (alto GEE × alto IRA, OAEI medio = 61,52), no Q4 (alto GEE × bajo IRA, OAEI medio = 47,41). La combinación de capital humano alto con adaptabilidad alta no protege bajo régimen Agentic; amplifica la cristalización del capital intelectual en activos Agentic propietarios.</w:t>
      </w:r>
    </w:p>
    <w:p>
      <w:pPr>
        <w:spacing w:after="160" w:before="0" w:line="320"/>
        <w:jc w:val="both"/>
      </w:pPr>
      <w:r>
        <w:rPr>
          <w:rFonts w:ascii="Calibri" w:cs="Calibri" w:eastAsia="Calibri" w:hAnsi="Calibri"/>
          <w:b/>
          <w:bCs/>
          <w:color w:val="1F4E79"/>
          <w:sz w:val="22"/>
          <w:szCs w:val="22"/>
        </w:rPr>
        <w:t xml:space="preserve">Interpretación analítica de la inversión Insider-Outsider</w:t>
      </w:r>
    </w:p>
    <w:p>
      <w:pPr>
        <w:spacing w:after="160" w:before="0" w:line="320"/>
        <w:jc w:val="both"/>
      </w:pPr>
      <w:r>
        <w:rPr>
          <w:rFonts w:ascii="Calibri" w:cs="Calibri" w:eastAsia="Calibri" w:hAnsi="Calibri"/>
          <w:sz w:val="22"/>
          <w:szCs w:val="22"/>
        </w:rPr>
        <w:t xml:space="preserve">Bajo régimen industrial canónico, la teoría Insider-Outsider de Lindbeck y Snower predeciría que los trabajadores con alta cualificación (insiders clásicos) están protegidos frente a shocks tecnológicos. Bajo régimen Agentic, esta predicción se invierte estructuralmente. Pero la inversión NO es una sustitución del axioma protector (“si GEE no protege, entonces IRA protege”); es la disolución del axioma mismo.</w:t>
      </w:r>
    </w:p>
    <w:p>
      <w:pPr>
        <w:spacing w:after="160" w:before="0" w:line="320"/>
        <w:jc w:val="both"/>
      </w:pPr>
      <w:r>
        <w:rPr>
          <w:rFonts w:ascii="Calibri" w:cs="Calibri" w:eastAsia="Calibri" w:hAnsi="Calibri"/>
          <w:sz w:val="22"/>
          <w:szCs w:val="22"/>
        </w:rPr>
        <w:t xml:space="preserve">El cuadrante de máxima exposición es Q1 (alto GEE × alto IRA), no Q4. La combinación de capital humano alto con capacidad adaptativa alta </w:t>
      </w:r>
      <w:r>
        <w:rPr>
          <w:rFonts w:ascii="Calibri" w:cs="Calibri" w:eastAsia="Calibri" w:hAnsi="Calibri"/>
          <w:i/>
          <w:iCs/>
          <w:sz w:val="22"/>
          <w:szCs w:val="22"/>
        </w:rPr>
        <w:t xml:space="preserve">amplifica</w:t>
      </w:r>
      <w:r>
        <w:rPr>
          <w:rFonts w:ascii="Calibri" w:cs="Calibri" w:eastAsia="Calibri" w:hAnsi="Calibri"/>
          <w:sz w:val="22"/>
          <w:szCs w:val="22"/>
        </w:rPr>
        <w:t xml:space="preserve"> la vulnerabilidad. La razón es operacional: el sistema Agentic se alimenta precisamente de la espiral SECI que el trabajador adaptativo de alta cualificación genera continuamente. Cada nuevo proyecto, cada caso de cliente atendido, cada análisis novedoso producido por un trabajador “insider clásico” enriquece el corpus de entrenamiento del sistema Agentic propietario, cristalizando capital intelectual que la firma podrá operar indefinidamente con independencia de la rotación de la plantilla original.</w:t>
      </w:r>
    </w:p>
    <w:p>
      <w:pPr>
        <w:spacing w:after="160" w:before="0" w:line="320"/>
        <w:jc w:val="both"/>
      </w:pPr>
      <w:r>
        <w:rPr>
          <w:rFonts w:ascii="Calibri" w:cs="Calibri" w:eastAsia="Calibri" w:hAnsi="Calibri"/>
          <w:sz w:val="22"/>
          <w:szCs w:val="22"/>
        </w:rPr>
        <w:t xml:space="preserve">Los cuadrantes Q2 y Q3 (bajo GEE) presentan OAEI medios casi idénticos (16,75 y 17,46), indicando que en ausencia de capital humano valioso ningún factor adaptativo modifica significativamente el riesgo de expropiación: si no hay capital intelectual valioso que cristalizar, la dinámica de expropiación no opera.</w:t>
      </w:r>
    </w:p>
    <w:p>
      <w:r>
        <w:br w:type="page"/>
      </w:r>
    </w:p>
    <w:p>
      <w:pPr>
        <w:spacing w:after="240" w:before="480"/>
      </w:pPr>
      <w:r>
        <w:rPr>
          <w:rFonts w:ascii="Calibri" w:cs="Calibri" w:eastAsia="Calibri" w:hAnsi="Calibri"/>
          <w:b/>
          <w:bCs/>
          <w:color w:val="1F4E79"/>
          <w:sz w:val="32"/>
          <w:szCs w:val="32"/>
        </w:rPr>
        <w:t xml:space="preserve">15. Histórico de Versiones (v1.0 → v2.0)</w:t>
      </w:r>
    </w:p>
    <w:p>
      <w:pPr>
        <w:spacing w:after="120" w:before="240"/>
        <w:jc w:val="left"/>
      </w:pPr>
      <w:r>
        <w:rPr>
          <w:rFonts w:ascii="Calibri" w:cs="Calibri" w:eastAsia="Calibri" w:hAnsi="Calibri"/>
          <w:b/>
          <w:bCs/>
          <w:color w:val="1F4E79"/>
          <w:sz w:val="20"/>
          <w:szCs w:val="20"/>
        </w:rPr>
        <w:t xml:space="preserve">Tabla 15.1. Histórico completo de versiones del Framework ITEA</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1500"/>
        <w:gridCol w:w="1500"/>
        <w:gridCol w:w="150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Versión</w:t>
            </w:r>
          </w:p>
        </w:tc>
        <w:tc>
          <w:tcPr>
            <w:tcW w:type="dxa" w:w="6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Cambio principal</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r(ITEA,AEI)</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r(IRO/IRA, GEE)</w:t>
            </w:r>
          </w:p>
        </w:tc>
        <w:tc>
          <w:tcPr>
            <w:tcW w:type="dxa" w:w="1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OAEI escala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v1.0</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Pesos teóricos uniformes; primera articulación del framework</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0,487</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v1.1</w:t>
            </w:r>
          </w:p>
        </w:tc>
        <w:tc>
          <w:tcPr>
            <w:tcW w:type="dxa" w:w="6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Agregación aditiva; primera versión del IRO</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0,543</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v1.2</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Calibración OLS de GEE; bugfix IMO; refinamiento componentes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0,561</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0,890</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v1.3</w:t>
            </w:r>
          </w:p>
        </w:tc>
        <w:tc>
          <w:tcPr>
            <w:tcW w:type="dxa" w:w="6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Reformulación CC; extracción IPI desde IFS (α 0,516 → 0,749)</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0,572</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0,892</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raw introducido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v1.4</w:t>
            </w:r>
          </w:p>
        </w:tc>
        <w:tc>
          <w:tcPr>
            <w:tcW w:type="dxa" w:w="6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Documentación metodológica completa (capítulos por indicador)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0,572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0,892</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raw</w:t>
            </w:r>
          </w:p>
        </w:tc>
      </w:tr>
      <w:tr>
        <w:tc>
          <w:tcPr>
            <w:tcW w:type="dxa" w:w="1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v1.45</w:t>
            </w:r>
          </w:p>
        </w:tc>
        <w:tc>
          <w:tcPr>
            <w:tcW w:type="dxa" w:w="6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Optimización CC reducido a 2 ítems; versión ordinal de GEE</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0,904 (problema)</w:t>
            </w:r>
          </w:p>
        </w:tc>
        <w:tc>
          <w:tcPr>
            <w:tcW w:type="dxa" w:w="15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OAEI raw</w:t>
            </w:r>
          </w:p>
        </w:tc>
      </w:tr>
      <w:tr>
        <w:tc>
          <w:tcPr>
            <w:tcW w:type="dxa" w:w="1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v2.0</w:t>
            </w:r>
          </w:p>
        </w:tc>
        <w:tc>
          <w:tcPr>
            <w:tcW w:type="dxa" w:w="60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Reconceptualización IRO → IRA v2.0; OAEI escala [1, 100]; AEI articulada explícitamente</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0,720</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0,433</w:t>
            </w:r>
          </w:p>
        </w:tc>
        <w:tc>
          <w:tcPr>
            <w:tcW w:type="dxa" w:w="15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[1, 100]</w:t>
            </w:r>
          </w:p>
        </w:tc>
      </w:tr>
    </w:tbl>
    <w:p>
      <w:pPr>
        <w:spacing w:after="240" w:before="80"/>
        <w:jc w:val="both"/>
      </w:pPr>
      <w:r>
        <w:rPr>
          <w:rFonts w:ascii="Calibri" w:cs="Calibri" w:eastAsia="Calibri" w:hAnsi="Calibri"/>
          <w:i/>
          <w:iCs/>
          <w:color w:val="666666"/>
          <w:sz w:val="18"/>
          <w:szCs w:val="18"/>
        </w:rPr>
        <w:t xml:space="preserve">El salto v1.45 → v2.0 marca un cambio de versión MAYOR (no menor) por la reconceptualización estructural del IRO como IRA. La interpretación analítica del framework cambia (de "resiliencia general" a "resiliencia adaptativa ortogonal a cualificación"), aunque la mayoría de los indicadores se mantienen sin cambios estructurales.</w:t>
      </w:r>
    </w:p>
    <w:p>
      <w:pPr>
        <w:spacing w:after="180" w:before="320"/>
      </w:pPr>
      <w:r>
        <w:rPr>
          <w:rFonts w:ascii="Calibri" w:cs="Calibri" w:eastAsia="Calibri" w:hAnsi="Calibri"/>
          <w:b/>
          <w:bCs/>
          <w:color w:val="1F4E79"/>
          <w:sz w:val="26"/>
          <w:szCs w:val="26"/>
        </w:rPr>
        <w:t xml:space="preserve">15.1 Resumen de cambios v1.45 → v2.0</w:t>
      </w:r>
    </w:p>
    <w:p>
      <w:pPr>
        <w:spacing w:after="120" w:before="240"/>
        <w:jc w:val="left"/>
      </w:pPr>
      <w:r>
        <w:rPr>
          <w:rFonts w:ascii="Calibri" w:cs="Calibri" w:eastAsia="Calibri" w:hAnsi="Calibri"/>
          <w:b/>
          <w:bCs/>
          <w:color w:val="1F4E79"/>
          <w:sz w:val="20"/>
          <w:szCs w:val="20"/>
        </w:rPr>
        <w:t xml:space="preserve">Tabla 15.2. Síntesis ejecutiva de cambios v1.45 →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710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Componente</w:t>
            </w:r>
          </w:p>
        </w:tc>
        <w:tc>
          <w:tcPr>
            <w:tcW w:type="dxa" w:w="13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¿Cambio?</w:t>
            </w:r>
          </w:p>
        </w:tc>
        <w:tc>
          <w:tcPr>
            <w:tcW w:type="dxa" w:w="7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Descripción</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ITEA</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 (1/3, 1/3, 1/3 sobre EAC, EIG, EIA)</w:t>
            </w:r>
          </w:p>
        </w:tc>
      </w:tr>
      <w:tr>
        <w:tc>
          <w:tcPr>
            <w:tcW w:type="dxa" w:w="1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EAC, EIG, EIA</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Subcomponentes mantenidos</w:t>
            </w:r>
          </w:p>
        </w:tc>
      </w:tr>
      <w:tr>
        <w:tc>
          <w:tcPr>
            <w:tcW w:type="dxa" w:w="16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IRO → IRA v2.0</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SÍ (estructural)</w:t>
            </w:r>
          </w:p>
        </w:tc>
        <w:tc>
          <w:tcPr>
            <w:tcW w:type="dxa" w:w="7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Reconceptualización completa: IRA = 0,60·CA_norm + 0,40·IRO_residual_norm. r con GEE: 0,904 → 0,433.</w:t>
            </w:r>
          </w:p>
        </w:tc>
      </w:tr>
      <w:tr>
        <w:tc>
          <w:tcPr>
            <w:tcW w:type="dxa" w:w="1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ICT</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IFS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1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IPI</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IEF</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w:t>
            </w:r>
          </w:p>
        </w:tc>
      </w:tr>
      <w:tr>
        <w:tc>
          <w:tcPr>
            <w:tcW w:type="dxa" w:w="16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GEE</w:t>
            </w:r>
          </w:p>
        </w:tc>
        <w:tc>
          <w:tcPr>
            <w:tcW w:type="dxa" w:w="13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 rol estructural ampliado (variable independiente del residualization step para IRA)</w:t>
            </w:r>
          </w:p>
        </w:tc>
      </w:tr>
      <w:tr>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IMO</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NO</w:t>
            </w:r>
          </w:p>
        </w:tc>
        <w:tc>
          <w:tcPr>
            <w:tcW w:type="dxa" w:w="7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Sin cambios; sigue siendo dimensión auxiliar (no entra en OAEI)</w:t>
            </w:r>
          </w:p>
        </w:tc>
      </w:tr>
      <w:tr>
        <w:tc>
          <w:tcPr>
            <w:tcW w:type="dxa" w:w="16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AEI</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SÍ (documentación)</w:t>
            </w:r>
          </w:p>
        </w:tc>
        <w:tc>
          <w:tcPr>
            <w:tcW w:type="dxa" w:w="7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Articulada explícitamente con fórmula completa, tablas de distribución y justificación de pesos. Sin cambio en su construcción matemática.</w:t>
            </w:r>
          </w:p>
        </w:tc>
      </w:tr>
      <w:tr>
        <w:tc>
          <w:tcPr>
            <w:tcW w:type="dxa" w:w="16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OAEI</w:t>
            </w:r>
          </w:p>
        </w:tc>
        <w:tc>
          <w:tcPr>
            <w:tcW w:type="dxa" w:w="13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SÍ (escala)</w:t>
            </w:r>
          </w:p>
        </w:tc>
        <w:tc>
          <w:tcPr>
            <w:tcW w:type="dxa" w:w="7100"/>
            <w:tcBorders>
              <w:top w:val="single" w:color="BFBFBF" w:sz="1"/>
              <w:left w:val="single" w:color="BFBFBF" w:sz="1"/>
              <w:bottom w:val="single" w:color="BFBFBF" w:sz="1"/>
              <w:right w:val="single" w:color="BFBFBF" w:sz="1"/>
            </w:tcBorders>
            <w:shd w:fill="FFF3CD"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Recalibración a [1, 100] vía min-max. Conserva fórmula raw multiplicativa.</w:t>
            </w:r>
          </w:p>
        </w:tc>
      </w:tr>
    </w:tbl>
    <w:p>
      <w:r>
        <w:br w:type="page"/>
      </w:r>
    </w:p>
    <w:p>
      <w:pPr>
        <w:spacing w:after="240" w:before="480"/>
      </w:pPr>
      <w:r>
        <w:rPr>
          <w:rFonts w:ascii="Calibri" w:cs="Calibri" w:eastAsia="Calibri" w:hAnsi="Calibri"/>
          <w:b/>
          <w:bCs/>
          <w:color w:val="1F4E79"/>
          <w:sz w:val="32"/>
          <w:szCs w:val="32"/>
        </w:rPr>
        <w:t xml:space="preserve">16. Limitaciones y Trabajo Futuro</w:t>
      </w:r>
    </w:p>
    <w:p>
      <w:pPr>
        <w:spacing w:after="180" w:before="320"/>
      </w:pPr>
      <w:r>
        <w:rPr>
          <w:rFonts w:ascii="Calibri" w:cs="Calibri" w:eastAsia="Calibri" w:hAnsi="Calibri"/>
          <w:b/>
          <w:bCs/>
          <w:color w:val="1F4E79"/>
          <w:sz w:val="26"/>
          <w:szCs w:val="26"/>
        </w:rPr>
        <w:t xml:space="preserve">16.1 Limitaciones reconocidas</w:t>
      </w:r>
    </w:p>
    <w:p>
      <w:pPr>
        <w:spacing w:after="120" w:before="240"/>
        <w:jc w:val="left"/>
      </w:pPr>
      <w:r>
        <w:rPr>
          <w:rFonts w:ascii="Calibri" w:cs="Calibri" w:eastAsia="Calibri" w:hAnsi="Calibri"/>
          <w:b/>
          <w:bCs/>
          <w:color w:val="1F4E79"/>
          <w:sz w:val="20"/>
          <w:szCs w:val="20"/>
        </w:rPr>
        <w:t xml:space="preserve">Tabla 16.1. Limitaciones del Framework ITEA v2.0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Limitación</w:t>
            </w:r>
          </w:p>
        </w:tc>
        <w:tc>
          <w:tcPr>
            <w:tcW w:type="dxa" w:w="7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pPr>
              <w:spacing w:after="0" w:before="0"/>
              <w:jc w:val="center"/>
            </w:pPr>
            <w:r>
              <w:rPr>
                <w:rFonts w:ascii="Calibri" w:cs="Calibri" w:eastAsia="Calibri" w:hAnsi="Calibri"/>
                <w:b/>
                <w:bCs/>
                <w:color w:val="FFFFFF"/>
                <w:sz w:val="20"/>
                <w:szCs w:val="20"/>
              </w:rPr>
              <w:t xml:space="preserve">Descripción</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L1. Datos transversales O*NET</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O*NET 2024 v29.1 es una instantánea transversal y no captura la dinámica de adopción de IA agéntica en tiempo real. La exposición medida es potencial, no actual. Mitigable con encuestas longitudinales de adopción empresarial (Bain, McKinsey, Brookings, Anthropic Economic Index).</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L2. Pesos del ITEA igualitarios</w:t>
            </w:r>
          </w:p>
        </w:tc>
        <w:tc>
          <w:tcPr>
            <w:tcW w:type="dxa" w:w="7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La ponderación 1/3, 1/3, 1/3 de EAC, EIG, EIA es una simplificación. La calibración empírica vía PCA o SEM es prioridad para v2.1.</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L3. AEI basada en clasificaciones cualitativas</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La AEI se construye sobre clasificaciones HIGH/TRANS/LOW y HIGH_ALGO/MEDIUM_SC/LOW_TRANS asignadas por juicio metodológico documentado (no medición empírica de adopción real). Constituyen, en la articulación honesta del propio dataset auxiliar, "clasificaciones de potencial". Mitigable con datos de adopción reales por sector.</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L4. Correlación residual IRA-GEE</w:t>
            </w:r>
          </w:p>
        </w:tc>
        <w:tc>
          <w:tcPr>
            <w:tcW w:type="dxa" w:w="7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La reformulación IRA v2.0 reduce la colinealidad con GEE pero no la elimina (r = 0,433). Esto refleja la asociación natural entre cualificación y adaptabilidad operativa que ningún ajuste metodológico puede eliminar sin reducir la validez de constructo del IRA.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L5. α de Cronbach del IRA no aplicable</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El cálculo tradicional de α no se aplica a constructos residualizados. La validación del IRA se articula vía discriminación frente a GEE en lugar de consistencia interna.</w:t>
            </w:r>
          </w:p>
        </w:tc>
      </w:tr>
      <w:tr>
        <w:tc>
          <w:tcPr>
            <w:tcW w:type="dxa" w:w="3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L6. Calibración estadounidense</w:t>
            </w:r>
          </w:p>
        </w:tc>
        <w:tc>
          <w:tcPr>
            <w:tcW w:type="dxa" w:w="7000"/>
            <w:tcBorders>
              <w:top w:val="single" w:color="BFBFBF" w:sz="1"/>
              <w:left w:val="single" w:color="BFBFBF" w:sz="1"/>
              <w:bottom w:val="single" w:color="BFBFBF" w:sz="1"/>
              <w:right w:val="single" w:color="BFBFBF" w:sz="1"/>
            </w:tcBorders>
            <w:shd w:fill="F4F8FB" w:val="clear"/>
            <w:tcMar>
              <w:top w:type="dxa" w:w="80"/>
              <w:left w:type="dxa" w:w="120"/>
              <w:bottom w:type="dxa" w:w="80"/>
              <w:right w:type="dxa" w:w="120"/>
            </w:tcMar>
          </w:tcPr>
          <w:p>
            <w:pPr>
              <w:spacing w:after="0" w:before="0"/>
              <w:jc w:val="left"/>
            </w:pPr>
            <w:r>
              <w:rPr>
                <w:rFonts w:ascii="Calibri" w:cs="Calibri" w:eastAsia="Calibri" w:hAnsi="Calibri"/>
                <w:sz w:val="18"/>
                <w:szCs w:val="18"/>
              </w:rPr>
              <w:t xml:space="preserve">El framework está calibrado para el mercado laboral estadounidense (O*NET = SOC). La aplicabilidad a otros mercados requeriría adaptación de los componentes anclados en Job Zone (especialmente GEE).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b/>
                <w:bCs/>
                <w:sz w:val="18"/>
                <w:szCs w:val="18"/>
              </w:rPr>
              <w:t xml:space="preserve">L7. Ámbito formal del OAEI</w:t>
            </w:r>
          </w:p>
        </w:tc>
        <w:tc>
          <w:tcPr>
            <w:tcW w:type="dxa" w:w="7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before="0"/>
              <w:jc w:val="left"/>
            </w:pPr>
            <w:r>
              <w:rPr>
                <w:rFonts w:ascii="Calibri" w:cs="Calibri" w:eastAsia="Calibri" w:hAnsi="Calibri"/>
                <w:sz w:val="18"/>
                <w:szCs w:val="18"/>
              </w:rPr>
              <w:t xml:space="preserve">El OAEI captura severidad estructural del desajuste contractual pero no formaliza el mecanismo correctivo. La formalización vía tokenización del capital intelectual se desarrolla en el Paper 8B.</w:t>
            </w:r>
          </w:p>
        </w:tc>
      </w:tr>
    </w:tbl>
    <w:p>
      <w:pPr>
        <w:spacing w:after="180" w:before="320"/>
      </w:pPr>
      <w:r>
        <w:rPr>
          <w:rFonts w:ascii="Calibri" w:cs="Calibri" w:eastAsia="Calibri" w:hAnsi="Calibri"/>
          <w:b/>
          <w:bCs/>
          <w:color w:val="1F4E79"/>
          <w:sz w:val="26"/>
          <w:szCs w:val="26"/>
        </w:rPr>
        <w:t xml:space="preserve">16.2 Plan de trabajo para v2.1</w:t>
      </w:r>
    </w:p>
    <w:p>
      <w:pPr>
        <w:spacing w:after="160" w:before="0" w:line="320"/>
        <w:jc w:val="both"/>
      </w:pPr>
      <w:r>
        <w:rPr>
          <w:rFonts w:ascii="Calibri" w:cs="Calibri" w:eastAsia="Calibri" w:hAnsi="Calibri"/>
          <w:sz w:val="22"/>
          <w:szCs w:val="22"/>
        </w:rPr>
        <w:t xml:space="preserve">Cuatro líneas de mejora identificadas para futuras versiones:</w:t>
      </w:r>
    </w:p>
    <w:p>
      <w:pPr>
        <w:pStyle w:val="ListParagraph"/>
        <w:numPr>
          <w:ilvl w:val="0"/>
          <w:numId w:val="1"/>
        </w:numPr>
        <w:spacing w:after="80" w:before="0" w:line="300"/>
      </w:pPr>
      <w:r>
        <w:rPr>
          <w:rFonts w:ascii="Calibri" w:cs="Calibri" w:eastAsia="Calibri" w:hAnsi="Calibri"/>
          <w:sz w:val="22"/>
          <w:szCs w:val="22"/>
        </w:rPr>
        <w:t xml:space="preserve">(a) Calibración empírica de los pesos del ITEA y del IRA mediante análisis de componentes principales (PCA) sobre el dataset O*NET completo, o modelos de ecuaciones estructurales (SEM) que permitan optimización conjunta de todas las dimensiones.</w:t>
      </w:r>
    </w:p>
    <w:p>
      <w:pPr>
        <w:pStyle w:val="ListParagraph"/>
        <w:numPr>
          <w:ilvl w:val="0"/>
          <w:numId w:val="1"/>
        </w:numPr>
        <w:spacing w:after="80" w:before="0" w:line="300"/>
      </w:pPr>
      <w:r>
        <w:rPr>
          <w:rFonts w:ascii="Calibri" w:cs="Calibri" w:eastAsia="Calibri" w:hAnsi="Calibri"/>
          <w:sz w:val="22"/>
          <w:szCs w:val="22"/>
        </w:rPr>
        <w:t xml:space="preserve">(b) Refinamiento del IRA mediante incorporación de dimensiones no capturadas en O*NET: redes profesionales efectivas, capital social específico, sindicación formal/informal, diversidad de habilidades transferibles cross-domain. La arquitectura modular del IRA permite añadir estas dimensiones como componentes adicionales sin reformulación estructural.</w:t>
      </w:r>
    </w:p>
    <w:p>
      <w:pPr>
        <w:pStyle w:val="ListParagraph"/>
        <w:numPr>
          <w:ilvl w:val="0"/>
          <w:numId w:val="1"/>
        </w:numPr>
        <w:spacing w:after="80" w:before="0" w:line="300"/>
      </w:pPr>
      <w:r>
        <w:rPr>
          <w:rFonts w:ascii="Calibri" w:cs="Calibri" w:eastAsia="Calibri" w:hAnsi="Calibri"/>
          <w:sz w:val="22"/>
          <w:szCs w:val="22"/>
        </w:rPr>
        <w:t xml:space="preserve">(c) Validación del OAEI mediante estudios de caso longitudinales de empresas que hayan implementado sistemas de IA agéntica (e.g., trilogía MBB del Paper 8C como caso límite), evaluando empíricamente sus efectos sobre la composición ocupacional.</w:t>
      </w:r>
    </w:p>
    <w:p>
      <w:pPr>
        <w:pStyle w:val="ListParagraph"/>
        <w:numPr>
          <w:ilvl w:val="0"/>
          <w:numId w:val="1"/>
        </w:numPr>
        <w:spacing w:after="80" w:before="0" w:line="300"/>
      </w:pPr>
      <w:r>
        <w:rPr>
          <w:rFonts w:ascii="Calibri" w:cs="Calibri" w:eastAsia="Calibri" w:hAnsi="Calibri"/>
          <w:sz w:val="22"/>
          <w:szCs w:val="22"/>
        </w:rPr>
        <w:t xml:space="preserve">(d) Adaptación del framework al mercado laboral europeo mediante crosswalks SOC ↔ ISCO-08 y reemplazo de Job Zone por equivalentes europeos (ISCED + EQF).</w:t>
      </w:r>
    </w:p>
    <w:p>
      <w:pPr>
        <w:spacing w:after="180" w:before="320"/>
      </w:pPr>
      <w:r>
        <w:rPr>
          <w:rFonts w:ascii="Calibri" w:cs="Calibri" w:eastAsia="Calibri" w:hAnsi="Calibri"/>
          <w:b/>
          <w:bCs/>
          <w:color w:val="1F4E79"/>
          <w:sz w:val="26"/>
          <w:szCs w:val="26"/>
        </w:rPr>
        <w:t xml:space="preserve">16.3 Conexión con la trilogía</w:t>
      </w:r>
    </w:p>
    <w:p>
      <w:pPr>
        <w:spacing w:after="160" w:before="0" w:line="320"/>
        <w:jc w:val="both"/>
      </w:pPr>
      <w:r>
        <w:rPr>
          <w:rFonts w:ascii="Calibri" w:cs="Calibri" w:eastAsia="Calibri" w:hAnsi="Calibri"/>
          <w:sz w:val="22"/>
          <w:szCs w:val="22"/>
        </w:rPr>
        <w:t xml:space="preserve">El presente Framework ITEA v2.0 es la pieza metodológica que sustenta la trilogía del autor sobre expropiación algorítmica:</w:t>
      </w:r>
    </w:p>
    <w:p>
      <w:pPr>
        <w:pStyle w:val="ListParagraph"/>
        <w:numPr>
          <w:ilvl w:val="0"/>
          <w:numId w:val="1"/>
        </w:numPr>
        <w:spacing w:after="80" w:before="0" w:line="300"/>
      </w:pPr>
      <w:r>
        <w:rPr>
          <w:rFonts w:ascii="Calibri" w:cs="Calibri" w:eastAsia="Calibri" w:hAnsi="Calibri"/>
          <w:sz w:val="22"/>
          <w:szCs w:val="22"/>
        </w:rPr>
        <w:t xml:space="preserve">Paper 8A: aplica el Framework v2.0 para mapear empíricamente la población ocupacional expuesta. El presente documento metodológico es su base instrumental.</w:t>
      </w:r>
    </w:p>
    <w:p>
      <w:pPr>
        <w:pStyle w:val="ListParagraph"/>
        <w:numPr>
          <w:ilvl w:val="0"/>
          <w:numId w:val="1"/>
        </w:numPr>
        <w:spacing w:after="80" w:before="0" w:line="300"/>
      </w:pPr>
      <w:r>
        <w:rPr>
          <w:rFonts w:ascii="Calibri" w:cs="Calibri" w:eastAsia="Calibri" w:hAnsi="Calibri"/>
          <w:sz w:val="22"/>
          <w:szCs w:val="22"/>
        </w:rPr>
        <w:t xml:space="preserve">Paper 8B: formaliza teóricamente el mecanismo correctivo de tokenización del capital intelectual, calibrado por el OAEI v2.0 como instrumento de priorización.</w:t>
      </w:r>
    </w:p>
    <w:p>
      <w:pPr>
        <w:pStyle w:val="ListParagraph"/>
        <w:numPr>
          <w:ilvl w:val="0"/>
          <w:numId w:val="1"/>
        </w:numPr>
        <w:spacing w:after="80" w:before="0" w:line="300"/>
      </w:pPr>
      <w:r>
        <w:rPr>
          <w:rFonts w:ascii="Calibri" w:cs="Calibri" w:eastAsia="Calibri" w:hAnsi="Calibri"/>
          <w:sz w:val="22"/>
          <w:szCs w:val="22"/>
        </w:rPr>
        <w:t xml:space="preserve">Paper 8C: documenta empíricamente el caso límite del fenómeno en la tríada MBB durante 2018-2026, validando cualitativamente las predicciones ocupacionales del Framework v2.0.</w:t>
      </w:r>
    </w:p>
    <w:p>
      <w:r>
        <w:br w:type="page"/>
      </w:r>
    </w:p>
    <w:p>
      <w:pPr>
        <w:spacing w:after="240" w:before="480"/>
      </w:pPr>
      <w:r>
        <w:rPr>
          <w:rFonts w:ascii="Calibri" w:cs="Calibri" w:eastAsia="Calibri" w:hAnsi="Calibri"/>
          <w:b/>
          <w:bCs/>
          <w:color w:val="1F4E79"/>
          <w:sz w:val="32"/>
          <w:szCs w:val="32"/>
        </w:rPr>
        <w:t xml:space="preserve">17. Referencias</w:t>
      </w:r>
    </w:p>
    <w:p>
      <w:pPr>
        <w:spacing w:after="100" w:before="0" w:line="320"/>
        <w:ind w:left="720" w:hanging="720"/>
        <w:jc w:val="both"/>
      </w:pPr>
      <w:r>
        <w:rPr>
          <w:rFonts w:ascii="Calibri" w:cs="Calibri" w:eastAsia="Calibri" w:hAnsi="Calibri"/>
          <w:sz w:val="20"/>
          <w:szCs w:val="20"/>
        </w:rPr>
        <w:t xml:space="preserve">Acemoglu, D., &amp; Restrepo, P. (2018). The Race between Man and Machine: Implications of Technology for Growth, Factor Shares, and Employment. American Economic Review, 108(6), 1488-1542.</w:t>
      </w:r>
    </w:p>
    <w:p>
      <w:pPr>
        <w:spacing w:after="100" w:before="0" w:line="320"/>
        <w:ind w:left="720" w:hanging="720"/>
        <w:jc w:val="both"/>
      </w:pPr>
      <w:r>
        <w:rPr>
          <w:rFonts w:ascii="Calibri" w:cs="Calibri" w:eastAsia="Calibri" w:hAnsi="Calibri"/>
          <w:sz w:val="20"/>
          <w:szCs w:val="20"/>
        </w:rPr>
        <w:t xml:space="preserve">Acemoglu, D., &amp; Restrepo, P. (2025). Tasks, Automation, and the Rise of the U.S. Wage-to-Profit Gap. NBER Working Paper.</w:t>
      </w:r>
    </w:p>
    <w:p>
      <w:pPr>
        <w:spacing w:after="100" w:before="0" w:line="320"/>
        <w:ind w:left="720" w:hanging="720"/>
        <w:jc w:val="both"/>
      </w:pPr>
      <w:r>
        <w:rPr>
          <w:rFonts w:ascii="Calibri" w:cs="Calibri" w:eastAsia="Calibri" w:hAnsi="Calibri"/>
          <w:sz w:val="20"/>
          <w:szCs w:val="20"/>
        </w:rPr>
        <w:t xml:space="preserve">Autor, D. H. (2015). Why Are There Still So Many Jobs? The History and Future of Workplace Automation. Journal of Economic Perspectives, 29(3), 3-30.</w:t>
      </w:r>
    </w:p>
    <w:p>
      <w:pPr>
        <w:spacing w:after="100" w:before="0" w:line="320"/>
        <w:ind w:left="720" w:hanging="720"/>
        <w:jc w:val="both"/>
      </w:pPr>
      <w:r>
        <w:rPr>
          <w:rFonts w:ascii="Calibri" w:cs="Calibri" w:eastAsia="Calibri" w:hAnsi="Calibri"/>
          <w:sz w:val="20"/>
          <w:szCs w:val="20"/>
        </w:rPr>
        <w:t xml:space="preserve">Bain &amp; Company. (2025). Technology Report 2025: Building the Foundation for Agentic AI. Bain &amp; Company.</w:t>
      </w:r>
    </w:p>
    <w:p>
      <w:pPr>
        <w:spacing w:after="100" w:before="0" w:line="320"/>
        <w:ind w:left="720" w:hanging="720"/>
        <w:jc w:val="both"/>
      </w:pPr>
      <w:r>
        <w:rPr>
          <w:rFonts w:ascii="Calibri" w:cs="Calibri" w:eastAsia="Calibri" w:hAnsi="Calibri"/>
          <w:sz w:val="20"/>
          <w:szCs w:val="20"/>
        </w:rPr>
        <w:t xml:space="preserve">Brynjolfsson, E., Li, D., &amp; Raymond, L. (2025). Generative AI at Work: Task-Level Evidence from a Large Field Experiment. NBER Working Paper.</w:t>
      </w:r>
    </w:p>
    <w:p>
      <w:pPr>
        <w:spacing w:after="100" w:before="0" w:line="320"/>
        <w:ind w:left="720" w:hanging="720"/>
        <w:jc w:val="both"/>
      </w:pPr>
      <w:r>
        <w:rPr>
          <w:rFonts w:ascii="Calibri" w:cs="Calibri" w:eastAsia="Calibri" w:hAnsi="Calibri"/>
          <w:sz w:val="20"/>
          <w:szCs w:val="20"/>
        </w:rPr>
        <w:t xml:space="preserve">Diamantopoulos, A., &amp; Winklhofer, H. M. (2001). Index Construction with Formative Indicators: An Alternative to Scale Development. Journal of Marketing Research, 38(2), 269-277.</w:t>
      </w:r>
    </w:p>
    <w:p>
      <w:pPr>
        <w:spacing w:after="100" w:before="0" w:line="320"/>
        <w:ind w:left="720" w:hanging="720"/>
        <w:jc w:val="both"/>
      </w:pPr>
      <w:r>
        <w:rPr>
          <w:rFonts w:ascii="Calibri" w:cs="Calibri" w:eastAsia="Calibri" w:hAnsi="Calibri"/>
          <w:sz w:val="20"/>
          <w:szCs w:val="20"/>
        </w:rPr>
        <w:t xml:space="preserve">Eloundou, T., Manning, S., Mishkin, P., &amp; Rock, D. (2024). GPTs are GPTs: An Early Look at the Labor Market Impact Potential of Large Language Models. Science, 384(6693), 264-269.</w:t>
      </w:r>
    </w:p>
    <w:p>
      <w:pPr>
        <w:spacing w:after="100" w:before="0" w:line="320"/>
        <w:ind w:left="720" w:hanging="720"/>
        <w:jc w:val="both"/>
      </w:pPr>
      <w:r>
        <w:rPr>
          <w:rFonts w:ascii="Calibri" w:cs="Calibri" w:eastAsia="Calibri" w:hAnsi="Calibri"/>
          <w:sz w:val="20"/>
          <w:szCs w:val="20"/>
        </w:rPr>
        <w:t xml:space="preserve">Falk, B., &amp; Tsoukalas, K. (2026). The AI Layoff Trap: Externalities, Competition, and the Case for a Pigouvian Tax. Working paper.</w:t>
      </w:r>
    </w:p>
    <w:p>
      <w:pPr>
        <w:spacing w:after="100" w:before="0" w:line="320"/>
        <w:ind w:left="720" w:hanging="720"/>
        <w:jc w:val="both"/>
      </w:pPr>
      <w:r>
        <w:rPr>
          <w:rFonts w:ascii="Calibri" w:cs="Calibri" w:eastAsia="Calibri" w:hAnsi="Calibri"/>
          <w:sz w:val="20"/>
          <w:szCs w:val="20"/>
        </w:rPr>
        <w:t xml:space="preserve">Frey, C. B., &amp; Osborne, M. A. (2017). The Future of Employment: How Susceptible are Jobs to Computerisation? Technological Forecasting and Social Change, 114, 254-280.</w:t>
      </w:r>
    </w:p>
    <w:p>
      <w:pPr>
        <w:spacing w:after="100" w:before="0" w:line="320"/>
        <w:ind w:left="720" w:hanging="720"/>
        <w:jc w:val="both"/>
      </w:pPr>
      <w:r>
        <w:rPr>
          <w:rFonts w:ascii="Calibri" w:cs="Calibri" w:eastAsia="Calibri" w:hAnsi="Calibri"/>
          <w:sz w:val="20"/>
          <w:szCs w:val="20"/>
        </w:rPr>
        <w:t xml:space="preserve">García-Lluis Valencia, A. (2026a). Mapping Algorithmic Expropriation: Occupational Exposure to Agentic AI under the ITEA Multidimensional Framework v2.0. Paper 8A. Universidad Rey Juan Carlos.</w:t>
      </w:r>
    </w:p>
    <w:p>
      <w:pPr>
        <w:spacing w:after="100" w:before="0" w:line="320"/>
        <w:ind w:left="720" w:hanging="720"/>
        <w:jc w:val="both"/>
      </w:pPr>
      <w:r>
        <w:rPr>
          <w:rFonts w:ascii="Calibri" w:cs="Calibri" w:eastAsia="Calibri" w:hAnsi="Calibri"/>
          <w:sz w:val="20"/>
          <w:szCs w:val="20"/>
        </w:rPr>
        <w:t xml:space="preserve">García-Lluis Valencia, A. (2026b). Tokenization of Intellectual Capital under Agentic AI: Pareto-Dominance over Pigouvian Mechanisms. Paper 8B. Universidad Rey Juan Carlos.</w:t>
      </w:r>
    </w:p>
    <w:p>
      <w:pPr>
        <w:spacing w:after="100" w:before="0" w:line="320"/>
        <w:ind w:left="720" w:hanging="720"/>
        <w:jc w:val="both"/>
      </w:pPr>
      <w:r>
        <w:rPr>
          <w:rFonts w:ascii="Calibri" w:cs="Calibri" w:eastAsia="Calibri" w:hAnsi="Calibri"/>
          <w:sz w:val="20"/>
          <w:szCs w:val="20"/>
        </w:rPr>
        <w:t xml:space="preserve">García-Lluis Valencia, A. (2026c). The MBB Triad as Limit Case of Algorithmic Expropriation. Paper 8C. Universidad Rey Juan Carlos.</w:t>
      </w:r>
    </w:p>
    <w:p>
      <w:pPr>
        <w:spacing w:after="100" w:before="0" w:line="320"/>
        <w:ind w:left="720" w:hanging="720"/>
        <w:jc w:val="both"/>
      </w:pPr>
      <w:r>
        <w:rPr>
          <w:rFonts w:ascii="Calibri" w:cs="Calibri" w:eastAsia="Calibri" w:hAnsi="Calibri"/>
          <w:sz w:val="20"/>
          <w:szCs w:val="20"/>
        </w:rPr>
        <w:t xml:space="preserve">IBM Institute for Business Value. (2025). The CEO's Guide to Agentic AI. IBM Institute for Business Value.</w:t>
      </w:r>
    </w:p>
    <w:p>
      <w:pPr>
        <w:spacing w:after="100" w:before="0" w:line="320"/>
        <w:ind w:left="720" w:hanging="720"/>
        <w:jc w:val="both"/>
      </w:pPr>
      <w:r>
        <w:rPr>
          <w:rFonts w:ascii="Calibri" w:cs="Calibri" w:eastAsia="Calibri" w:hAnsi="Calibri"/>
          <w:sz w:val="20"/>
          <w:szCs w:val="20"/>
        </w:rPr>
        <w:t xml:space="preserve">Lindbeck, A., &amp; Snower, D. J. (1988). The Insider-Outsider Theory of Employment and Unemployment. MIT Press.</w:t>
      </w:r>
    </w:p>
    <w:p>
      <w:pPr>
        <w:spacing w:after="100" w:before="0" w:line="320"/>
        <w:ind w:left="720" w:hanging="720"/>
        <w:jc w:val="both"/>
      </w:pPr>
      <w:r>
        <w:rPr>
          <w:rFonts w:ascii="Calibri" w:cs="Calibri" w:eastAsia="Calibri" w:hAnsi="Calibri"/>
          <w:sz w:val="20"/>
          <w:szCs w:val="20"/>
        </w:rPr>
        <w:t xml:space="preserve">Lindbeck, A., &amp; Snower, D. J. (2001). Insiders versus Outsiders. Journal of Economic Perspectives, 15(1), 165-188.</w:t>
      </w:r>
    </w:p>
    <w:p>
      <w:pPr>
        <w:spacing w:after="100" w:before="0" w:line="320"/>
        <w:ind w:left="720" w:hanging="720"/>
        <w:jc w:val="both"/>
      </w:pPr>
      <w:r>
        <w:rPr>
          <w:rFonts w:ascii="Calibri" w:cs="Calibri" w:eastAsia="Calibri" w:hAnsi="Calibri"/>
          <w:sz w:val="20"/>
          <w:szCs w:val="20"/>
        </w:rPr>
        <w:t xml:space="preserve">Lüdecke, D., Ben-Shachar, M. S., Patil, I., Waggoner, P., &amp; Makowski, D. (2021). performance: An R Package for Assessment, Comparison and Testing of Statistical Models. Journal of Open Source Software, 6(60), 3139.</w:t>
      </w:r>
    </w:p>
    <w:p>
      <w:pPr>
        <w:spacing w:after="100" w:before="0" w:line="320"/>
        <w:ind w:left="720" w:hanging="720"/>
        <w:jc w:val="both"/>
      </w:pPr>
      <w:r>
        <w:rPr>
          <w:rFonts w:ascii="Calibri" w:cs="Calibri" w:eastAsia="Calibri" w:hAnsi="Calibri"/>
          <w:sz w:val="20"/>
          <w:szCs w:val="20"/>
        </w:rPr>
        <w:t xml:space="preserve">Massenkoff, M., &amp; McCrory, P. (2026). Anthropic Economic Index: Occupational Exposure and Displacement in the Age of Generative AI. Anthropic Research.</w:t>
      </w:r>
    </w:p>
    <w:p>
      <w:pPr>
        <w:spacing w:after="100" w:before="0" w:line="320"/>
        <w:ind w:left="720" w:hanging="720"/>
        <w:jc w:val="both"/>
      </w:pPr>
      <w:r>
        <w:rPr>
          <w:rFonts w:ascii="Calibri" w:cs="Calibri" w:eastAsia="Calibri" w:hAnsi="Calibri"/>
          <w:sz w:val="20"/>
          <w:szCs w:val="20"/>
        </w:rPr>
        <w:t xml:space="preserve">McKinsey &amp; Company. (2025). State of AI in the Enterprise: The GenAI Paradox. McKinsey &amp; Company.</w:t>
      </w:r>
    </w:p>
    <w:p>
      <w:pPr>
        <w:spacing w:after="100" w:before="0" w:line="320"/>
        <w:ind w:left="720" w:hanging="720"/>
        <w:jc w:val="both"/>
      </w:pPr>
      <w:r>
        <w:rPr>
          <w:rFonts w:ascii="Calibri" w:cs="Calibri" w:eastAsia="Calibri" w:hAnsi="Calibri"/>
          <w:sz w:val="20"/>
          <w:szCs w:val="20"/>
        </w:rPr>
        <w:t xml:space="preserve">Microsoft. (2025). Microsoft Ignite 2025: Agentic AI as the New Execution Layer for Business. Microsoft Corporation.</w:t>
      </w:r>
    </w:p>
    <w:p>
      <w:pPr>
        <w:spacing w:after="100" w:before="0" w:line="320"/>
        <w:ind w:left="720" w:hanging="720"/>
        <w:jc w:val="both"/>
      </w:pPr>
      <w:r>
        <w:rPr>
          <w:rFonts w:ascii="Calibri" w:cs="Calibri" w:eastAsia="Calibri" w:hAnsi="Calibri"/>
          <w:sz w:val="20"/>
          <w:szCs w:val="20"/>
        </w:rPr>
        <w:t xml:space="preserve">Nonaka, I., &amp; Takeuchi, H. (1995). The Knowledge-Creating Company: How Japanese Companies Create the Dynamics of Innovation. Oxford University Press.</w:t>
      </w:r>
    </w:p>
    <w:p>
      <w:pPr>
        <w:spacing w:after="100" w:before="0" w:line="320"/>
        <w:ind w:left="720" w:hanging="720"/>
        <w:jc w:val="both"/>
      </w:pPr>
      <w:r>
        <w:rPr>
          <w:rFonts w:ascii="Calibri" w:cs="Calibri" w:eastAsia="Calibri" w:hAnsi="Calibri"/>
          <w:sz w:val="20"/>
          <w:szCs w:val="20"/>
        </w:rPr>
        <w:t xml:space="preserve">Nonaka, I., Toyama, R., &amp; Konno, N. (2000). SECI, Ba and Leadership: A Unified Model of Dynamic Knowledge Creation. Long Range Planning, 33(1), 5-34.</w:t>
      </w:r>
    </w:p>
    <w:p>
      <w:pPr>
        <w:spacing w:after="100" w:before="0" w:line="320"/>
        <w:ind w:left="720" w:hanging="720"/>
        <w:jc w:val="both"/>
      </w:pPr>
      <w:r>
        <w:rPr>
          <w:rFonts w:ascii="Calibri" w:cs="Calibri" w:eastAsia="Calibri" w:hAnsi="Calibri"/>
          <w:sz w:val="20"/>
          <w:szCs w:val="20"/>
        </w:rPr>
        <w:t xml:space="preserve">O*NET. (2024). O*NET Database Release 29.1. National Center for O*NET 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ITEA v2.0 — Documento Metodológico Completo</dc:title>
  <dc:creator>Alberto García-Lluis Valencia</dc:creator>
  <dc:description>Guía metodológica del Framework ITEA versión 2.0</dc:description>
  <cp:lastModifiedBy>Un-named</cp:lastModifiedBy>
  <cp:revision>1</cp:revision>
  <dcterms:created xsi:type="dcterms:W3CDTF">2026-04-29T08:26:42.246Z</dcterms:created>
  <dcterms:modified xsi:type="dcterms:W3CDTF">2026-04-29T08:26:42.247Z</dcterms:modified>
</cp:coreProperties>
</file>

<file path=docProps/custom.xml><?xml version="1.0" encoding="utf-8"?>
<Properties xmlns="http://schemas.openxmlformats.org/officeDocument/2006/custom-properties" xmlns:vt="http://schemas.openxmlformats.org/officeDocument/2006/docPropsVTypes"/>
</file>