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spacing w:after="100" w:before="100"/>
        <w:jc w:val="center"/>
      </w:pPr>
      <w:r>
        <w:rPr>
          <w:rFonts w:ascii="Calibri" w:cs="Calibri" w:eastAsia="Calibri" w:hAnsi="Calibri"/>
          <w:i/>
          <w:iCs/>
          <w:color w:val="666666"/>
          <w:sz w:val="28"/>
          <w:szCs w:val="28"/>
        </w:rPr>
        <w:t xml:space="preserve">Memorándum metodológico</w:t>
      </w:r>
    </w:p>
    <w:p>
      <w:pPr>
        <w:spacing w:after="240" w:before="100"/>
        <w:jc w:val="center"/>
      </w:pPr>
      <w:r>
        <w:rPr>
          <w:rFonts w:ascii="Calibri" w:cs="Calibri" w:eastAsia="Calibri" w:hAnsi="Calibri"/>
          <w:b/>
          <w:bCs/>
          <w:color w:val="1F4E79"/>
          <w:sz w:val="44"/>
          <w:szCs w:val="44"/>
        </w:rPr>
        <w:t xml:space="preserve">FRAMEWORK ITEA v2.1</w:t>
      </w:r>
    </w:p>
    <w:p>
      <w:pPr>
        <w:spacing w:after="480" w:before="100"/>
        <w:jc w:val="center"/>
      </w:pPr>
      <w:r>
        <w:rPr>
          <w:rFonts w:ascii="Calibri" w:cs="Calibri" w:eastAsia="Calibri" w:hAnsi="Calibri"/>
          <w:i/>
          <w:iCs/>
          <w:sz w:val="28"/>
          <w:szCs w:val="28"/>
        </w:rPr>
        <w:t xml:space="preserve">Actualización a O*NET 30.2</w:t>
      </w:r>
    </w:p>
    <w:p>
      <w:pPr>
        <w:spacing w:after="720" w:before="100"/>
        <w:jc w:val="center"/>
      </w:pPr>
      <w:r>
        <w:rPr>
          <w:rFonts w:ascii="Calibri" w:cs="Calibri" w:eastAsia="Calibri" w:hAnsi="Calibri"/>
          <w:i/>
          <w:iCs/>
          <w:sz w:val="22"/>
          <w:szCs w:val="22"/>
        </w:rPr>
        <w:t xml:space="preserve">Suplemento de la Guía Metodológica v2.0</w:t>
      </w:r>
    </w:p>
    <w:p>
      <w:pPr>
        <w:spacing w:after="80" w:before="100"/>
        <w:jc w:val="center"/>
      </w:pPr>
      <w:r>
        <w:rPr>
          <w:rFonts w:ascii="Calibri" w:cs="Calibri" w:eastAsia="Calibri" w:hAnsi="Calibri"/>
          <w:i/>
          <w:iCs/>
          <w:sz w:val="20"/>
          <w:szCs w:val="20"/>
        </w:rPr>
        <w:t xml:space="preserve">Alberto García-Lluis Valencia · Universidad Rey Juan Carlos · ORCID 0009-0003-1438-1633</w:t>
      </w:r>
    </w:p>
    <w:p>
      <w:pPr>
        <w:spacing w:after="100" w:before="100"/>
        <w:jc w:val="center"/>
      </w:pPr>
      <w:r>
        <w:rPr>
          <w:rFonts w:ascii="Calibri" w:cs="Calibri" w:eastAsia="Calibri" w:hAnsi="Calibri"/>
          <w:i/>
          <w:iCs/>
          <w:sz w:val="20"/>
          <w:szCs w:val="20"/>
        </w:rPr>
        <w:t xml:space="preserve">Abril 2026</w:t>
      </w:r>
    </w:p>
    <w:p>
      <w:r>
        <w:br w:type="page"/>
      </w:r>
    </w:p>
    <w:p>
      <w:pPr>
        <w:spacing w:after="240" w:before="480"/>
      </w:pPr>
      <w:r>
        <w:rPr>
          <w:rFonts w:ascii="Calibri" w:cs="Calibri" w:eastAsia="Calibri" w:hAnsi="Calibri"/>
          <w:b/>
          <w:bCs/>
          <w:color w:val="1F4E79"/>
          <w:sz w:val="32"/>
          <w:szCs w:val="32"/>
        </w:rPr>
        <w:t xml:space="preserve">1. Propósito del documento</w:t>
      </w:r>
    </w:p>
    <w:p>
      <w:pPr>
        <w:spacing w:after="160" w:before="0" w:line="320"/>
        <w:jc w:val="both"/>
      </w:pPr>
      <w:r>
        <w:rPr>
          <w:rFonts w:ascii="Calibri" w:cs="Calibri" w:eastAsia="Calibri" w:hAnsi="Calibri"/>
          <w:sz w:val="22"/>
          <w:szCs w:val="22"/>
        </w:rPr>
        <w:t xml:space="preserve">Este memorándum documenta la actualización de la base de datos del Framework ITEA desde la versión 29.1 de O*NET (febrero de 2024) a la versión 30.2 (febrero de 2026), produciendo </w:t>
      </w:r>
      <w:r>
        <w:rPr>
          <w:rFonts w:ascii="Calibri" w:cs="Calibri" w:eastAsia="Calibri" w:hAnsi="Calibri"/>
          <w:b/>
          <w:bCs/>
          <w:sz w:val="22"/>
          <w:szCs w:val="22"/>
        </w:rPr>
        <w:t xml:space="preserve">ITEA v2.1</w:t>
      </w:r>
      <w:r>
        <w:rPr>
          <w:rFonts w:ascii="Calibri" w:cs="Calibri" w:eastAsia="Calibri" w:hAnsi="Calibri"/>
          <w:sz w:val="22"/>
          <w:szCs w:val="22"/>
        </w:rPr>
        <w:t xml:space="preserve"> como sucesora de v2.0. El documento es un </w:t>
      </w:r>
      <w:r>
        <w:rPr>
          <w:rFonts w:ascii="Calibri" w:cs="Calibri" w:eastAsia="Calibri" w:hAnsi="Calibri"/>
          <w:i/>
          <w:iCs/>
          <w:sz w:val="22"/>
          <w:szCs w:val="22"/>
        </w:rPr>
        <w:t xml:space="preserve">suplemento</w:t>
      </w:r>
      <w:r>
        <w:rPr>
          <w:rFonts w:ascii="Calibri" w:cs="Calibri" w:eastAsia="Calibri" w:hAnsi="Calibri"/>
          <w:sz w:val="22"/>
          <w:szCs w:val="22"/>
        </w:rPr>
        <w:t xml:space="preserve">, no una reescritura, de la Guía Metodológica v2.0: la mayoría del marco analítico permanece inalterado. Lo que se actualiza son tres componentes específicos del framework, conforme la disponibilidad de datos en la nueva base de O*NET. Para todas las definiciones conceptuales, fórmulas estructurales y validaciones psicométricas no afectadas por la actualización, el lector debe referirse a la Guía Metodológica v2.0.</w:t>
      </w:r>
    </w:p>
    <w:p>
      <w:pPr>
        <w:spacing w:after="160" w:before="0" w:line="320"/>
        <w:jc w:val="both"/>
      </w:pPr>
      <w:r>
        <w:rPr>
          <w:rFonts w:ascii="Calibri" w:cs="Calibri" w:eastAsia="Calibri" w:hAnsi="Calibri"/>
          <w:sz w:val="22"/>
          <w:szCs w:val="22"/>
        </w:rPr>
        <w:t xml:space="preserve">El procedimiento de actualización siguió cuatro fases secuenciales: (1) descarga e ingesta de O*NET 30.2 desde la base oficial onetcenter.org; (2) recalibración del Gradiente Educación-Experiencia (GEE) sobre los nuevos datos de Required Level of Education y Related Work Experience; (3) recálculo en cascada del Índice de Resiliencia Adaptativa (IRA) y del Operational Algorithmic Expropriation Index (OAEI), incluyendo la actualización del Índice de Mutación Ocupacional (IMO) con las 328 tareas emergentes nuevas en 30.2; (4) producción de entregables (workbook Excel v2.1 con 13 hojas y este memorándum). Las fases (1) y (2) confirmaron que el cambio de versión no requiere reformulación estructural del framework; las fases (3) y (4) producen los datos actualizados con declaración explícita de las correlaciones cruzadas de versión.</w:t>
      </w:r>
    </w:p>
    <w:p>
      <w:pPr>
        <w:spacing w:after="240" w:before="480"/>
      </w:pPr>
      <w:r>
        <w:rPr>
          <w:rFonts w:ascii="Calibri" w:cs="Calibri" w:eastAsia="Calibri" w:hAnsi="Calibri"/>
          <w:b/>
          <w:bCs/>
          <w:color w:val="1F4E79"/>
          <w:sz w:val="32"/>
          <w:szCs w:val="32"/>
        </w:rPr>
        <w:t xml:space="preserve">2. Cambios relevantes en O*NET 30.2 para el Framework ITEA</w:t>
      </w:r>
    </w:p>
    <w:p>
      <w:pPr>
        <w:spacing w:after="160" w:before="0" w:line="320"/>
        <w:jc w:val="both"/>
      </w:pPr>
      <w:r>
        <w:rPr>
          <w:rFonts w:ascii="Calibri" w:cs="Calibri" w:eastAsia="Calibri" w:hAnsi="Calibri"/>
          <w:sz w:val="22"/>
          <w:szCs w:val="22"/>
        </w:rPr>
        <w:t xml:space="preserve">La versión 30.2 de O*NET contiene actualizaciones de datos en seis áreas, de las cuales tres son operacionalmente relevantes para el Framework ITEA y tres son irrelevantes a efectos del framework:</w:t>
      </w:r>
    </w:p>
    <w:p>
      <w:pPr>
        <w:spacing w:after="120" w:before="240"/>
      </w:pPr>
      <w:r>
        <w:rPr>
          <w:rFonts w:ascii="Calibri" w:cs="Calibri" w:eastAsia="Calibri" w:hAnsi="Calibri"/>
          <w:b/>
          <w:bCs/>
          <w:color w:val="1F4E79"/>
          <w:sz w:val="20"/>
          <w:szCs w:val="20"/>
        </w:rPr>
        <w:t xml:space="preserve">Tabla 2.1. Cambios en O*NET 30.2 y su relevancia para ITEA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Cambio en O*NET 30.2</w:t>
            </w:r>
          </w:p>
        </w:tc>
        <w:tc>
          <w:tcPr>
            <w:tcW w:type="dxa" w:w="4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Relevancia para ITEA</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Marco Job Zone (de 5 a 4 niveles)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O*NET anuncia un nuevo marco de 4 niveles que reemplaza al de 5 niveles. Las ocupaciones de Job Zone 1 (Little or No Preparation Needed) se consolidan con Job Zone 2 bajo la categoría "Job Zone 1-2: Very Little to Some Preparation Needed".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BAJA. Al cruzar las 923 ocupaciones de v1.45 con las asignaciones de Job Zone en 30.2, las 923 mantienen idéntica asignación. La transición de 5 a 4 niveles ya estaba consolidada en 29.1: ambas versiones usan el rango 2-5. No requiere recalibración estructural del GEE.</w:t>
            </w:r>
          </w:p>
        </w:tc>
      </w:tr>
      <w:tr>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Education, Training, Experience (ETE) actualizado</w:t>
            </w:r>
          </w:p>
        </w:tc>
        <w:tc>
          <w:tcPr>
            <w:tcW w:type="dxa" w:w="4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Datos actualizados de Required Level of Education para varias ocupaciones. Related Work Experience sin cambios sustantivos.</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MEDIA. C_RW (meses experiencia) sin cambios (Δ = 0.000 entre versiones). C_RL (años educación) presenta diferencias debidas al mapping de niveles a años. Recalibración necesaria con mapping documentado.</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328 tareas emergentes nuevas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O*NET 30.2 incorpora 328 tareas marcadas como emergentes (tipo "New"), añadidas durante 2024-2025.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ALTA. El IMO se actualiza con las nuevas tareas. % de ocupaciones con mutación pasa de 23.1% (v2.0) a 25.5% (v2.1).</w:t>
            </w:r>
          </w:p>
        </w:tc>
      </w:tr>
      <w:tr>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UNSPSC v260801 (Tech Skills)</w:t>
            </w:r>
          </w:p>
        </w:tc>
        <w:tc>
          <w:tcPr>
            <w:tcW w:type="dxa" w:w="4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Códigos UNSPSC actualizados para clasificación de habilidades tecnológicas.</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NULA. El framework ITEA no usa los códigos UNSPSC directamente; las herramientas tecnológicas entran a través de variables de Skills/Knowledge agregadas.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Vocational interest data</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Actualización vía método ML+expert para 871 ocupaciones.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NULA. ITEA no usa Interest Profiler.</w:t>
            </w:r>
          </w:p>
        </w:tc>
      </w:tr>
      <w:tr>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Job titles (alternate titles)</w:t>
            </w:r>
          </w:p>
        </w:tc>
        <w:tc>
          <w:tcPr>
            <w:tcW w:type="dxa" w:w="4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Títulos alternativos actualizados para 635 ocupaciones desde ofertas de empleo.</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NULA. ITEA usa el SOC code, no el título.</w:t>
            </w:r>
          </w:p>
        </w:tc>
      </w:tr>
    </w:tbl>
    <w:p>
      <w:pPr>
        <w:spacing w:after="160" w:before="0" w:line="320"/>
        <w:jc w:val="both"/>
      </w:pPr>
      <w:r>
        <w:rPr>
          <w:rFonts w:ascii="Calibri" w:cs="Calibri" w:eastAsia="Calibri" w:hAnsi="Calibri"/>
          <w:b/>
          <w:bCs/>
          <w:sz w:val="22"/>
          <w:szCs w:val="22"/>
        </w:rPr>
        <w:t xml:space="preserve">Conclusión analítica de la Fase 1</w:t>
      </w:r>
      <w:r>
        <w:rPr>
          <w:rFonts w:ascii="Calibri" w:cs="Calibri" w:eastAsia="Calibri" w:hAnsi="Calibri"/>
          <w:sz w:val="22"/>
          <w:szCs w:val="22"/>
        </w:rPr>
        <w:t xml:space="preserve">: el cambio v29.1 → v30.2 afecta operacionalmente a tres componentes del framework: (i) GEE vía datos ETE actualizados, (ii) IMO vía tareas emergentes, (iii) IRA y OAEI por arrastre del nuevo GEE. Las dimensiones ITEA (con sus subcomponentes EAC/EIG/EIA), ICT, IFS, IPI, IEF y la AEI auxiliar no requieren recálculo: O*NET 30.2 no introduce cambios sustanciales en las variables de Skills, Work Activities, Work Context, Work Styles y Knowledge sobre las que estos indicadores se construyen. La actualización es, por tanto, </w:t>
      </w:r>
      <w:r>
        <w:rPr>
          <w:rFonts w:ascii="Calibri" w:cs="Calibri" w:eastAsia="Calibri" w:hAnsi="Calibri"/>
          <w:i/>
          <w:iCs/>
          <w:sz w:val="22"/>
          <w:szCs w:val="22"/>
        </w:rPr>
        <w:t xml:space="preserve">incremental</w:t>
      </w:r>
      <w:r>
        <w:rPr>
          <w:rFonts w:ascii="Calibri" w:cs="Calibri" w:eastAsia="Calibri" w:hAnsi="Calibri"/>
          <w:sz w:val="22"/>
          <w:szCs w:val="22"/>
        </w:rPr>
        <w:t xml:space="preserve">, no estructural. Esto justifica el incremento de versión menor (v2.0 → v2.1) en lugar de mayor (v2.x → v3.0).</w:t>
      </w:r>
    </w:p>
    <w:p>
      <w:r>
        <w:br w:type="page"/>
      </w:r>
    </w:p>
    <w:p>
      <w:pPr>
        <w:spacing w:after="240" w:before="480"/>
      </w:pPr>
      <w:r>
        <w:rPr>
          <w:rFonts w:ascii="Calibri" w:cs="Calibri" w:eastAsia="Calibri" w:hAnsi="Calibri"/>
          <w:b/>
          <w:bCs/>
          <w:color w:val="1F4E79"/>
          <w:sz w:val="32"/>
          <w:szCs w:val="32"/>
        </w:rPr>
        <w:t xml:space="preserve">3. Recalibración del GEE sobre O*NET 30.2</w:t>
      </w:r>
    </w:p>
    <w:p>
      <w:pPr>
        <w:spacing w:after="160" w:before="0" w:line="320"/>
        <w:jc w:val="both"/>
      </w:pPr>
      <w:r>
        <w:rPr>
          <w:rFonts w:ascii="Calibri" w:cs="Calibri" w:eastAsia="Calibri" w:hAnsi="Calibri"/>
          <w:sz w:val="22"/>
          <w:szCs w:val="22"/>
        </w:rPr>
        <w:t xml:space="preserve">La fórmula del GEE permanece inalterada estructuralmente:</w:t>
      </w:r>
    </w:p>
    <w:p>
      <w:pPr>
        <w:spacing w:after="160" w:before="0" w:line="320"/>
        <w:jc w:val="both"/>
      </w:pPr>
      <w:r>
        <w:rPr>
          <w:rFonts w:ascii="Calibri" w:cs="Calibri" w:eastAsia="Calibri" w:hAnsi="Calibri"/>
          <w:b/>
          <w:bCs/>
          <w:color w:val="1F4E79"/>
          <w:sz w:val="22"/>
          <w:szCs w:val="22"/>
        </w:rPr>
        <w:t xml:space="preserve">    GEE_v2.1 = norm(0,215 · C_RL + 0,004 · C_RW)</w:t>
      </w:r>
    </w:p>
    <w:p>
      <w:pPr>
        <w:spacing w:after="160" w:before="0" w:line="320"/>
        <w:jc w:val="both"/>
      </w:pPr>
      <w:r>
        <w:rPr>
          <w:rFonts w:ascii="Calibri" w:cs="Calibri" w:eastAsia="Calibri" w:hAnsi="Calibri"/>
          <w:sz w:val="22"/>
          <w:szCs w:val="22"/>
        </w:rPr>
        <w:t xml:space="preserve">Lo que cambia son los datos de entrada (C_RL y C_RW) y, como resultado, los valores numéricos del GEE para cada ocupación. El procedimiento es:</w:t>
      </w:r>
    </w:p>
    <w:p>
      <w:pPr>
        <w:pStyle w:val="ListParagraph"/>
        <w:numPr>
          <w:ilvl w:val="0"/>
          <w:numId w:val="1"/>
        </w:numPr>
        <w:spacing w:after="80" w:before="0" w:line="300"/>
      </w:pPr>
      <w:r>
        <w:rPr>
          <w:rFonts w:ascii="Calibri" w:cs="Calibri" w:eastAsia="Calibri" w:hAnsi="Calibri"/>
          <w:sz w:val="22"/>
          <w:szCs w:val="22"/>
        </w:rPr>
        <w:t xml:space="preserve">(i) Descargar O*NET 30.2 "Education, Training, and Experience.txt" (37,125 filas con datos por categoría).</w:t>
      </w:r>
    </w:p>
    <w:p>
      <w:pPr>
        <w:pStyle w:val="ListParagraph"/>
        <w:numPr>
          <w:ilvl w:val="0"/>
          <w:numId w:val="1"/>
        </w:numPr>
        <w:spacing w:after="80" w:before="0" w:line="300"/>
      </w:pPr>
      <w:r>
        <w:rPr>
          <w:rFonts w:ascii="Calibri" w:cs="Calibri" w:eastAsia="Calibri" w:hAnsi="Calibri"/>
          <w:sz w:val="22"/>
          <w:szCs w:val="22"/>
        </w:rPr>
        <w:t xml:space="preserve">(ii) Aplicar el mapping de niveles a años para Required Level of Education (RL): RL=1 → 0; RL=2 → 12; RL=3 → 13; RL=4 → 13; RL=5 → 14; RL=6 → 16; RL=7 → 17; RL=8 → 18; RL=9 → 19; RL=10 → 19; RL=11 → 22; RL=12 → 23. Este mapping (Boese &amp; Strong, 2008) es estándar en la literatura de calibración O*NET.</w:t>
      </w:r>
    </w:p>
    <w:p>
      <w:pPr>
        <w:pStyle w:val="ListParagraph"/>
        <w:numPr>
          <w:ilvl w:val="0"/>
          <w:numId w:val="1"/>
        </w:numPr>
        <w:spacing w:after="80" w:before="0" w:line="300"/>
      </w:pPr>
      <w:r>
        <w:rPr>
          <w:rFonts w:ascii="Calibri" w:cs="Calibri" w:eastAsia="Calibri" w:hAnsi="Calibri"/>
          <w:sz w:val="22"/>
          <w:szCs w:val="22"/>
        </w:rPr>
        <w:t xml:space="preserve">(iii) Calcular C_RL como promedio ponderado de niveles por ocupación, usando Data Value (proporción endorsada) como peso.</w:t>
      </w:r>
    </w:p>
    <w:p>
      <w:pPr>
        <w:pStyle w:val="ListParagraph"/>
        <w:numPr>
          <w:ilvl w:val="0"/>
          <w:numId w:val="1"/>
        </w:numPr>
        <w:spacing w:after="80" w:before="0" w:line="300"/>
      </w:pPr>
      <w:r>
        <w:rPr>
          <w:rFonts w:ascii="Calibri" w:cs="Calibri" w:eastAsia="Calibri" w:hAnsi="Calibri"/>
          <w:sz w:val="22"/>
          <w:szCs w:val="22"/>
        </w:rPr>
        <w:t xml:space="preserve">(iv) Repetir para Related Work Experience (RW) con mapping de meses: RW=1 → 0; RW=2 → 0,5; RW=3 → 2; ...; RW=11 → 132.</w:t>
      </w:r>
    </w:p>
    <w:p>
      <w:pPr>
        <w:pStyle w:val="ListParagraph"/>
        <w:numPr>
          <w:ilvl w:val="0"/>
          <w:numId w:val="1"/>
        </w:numPr>
        <w:spacing w:after="80" w:before="0" w:line="300"/>
      </w:pPr>
      <w:r>
        <w:rPr>
          <w:rFonts w:ascii="Calibri" w:cs="Calibri" w:eastAsia="Calibri" w:hAnsi="Calibri"/>
          <w:sz w:val="22"/>
          <w:szCs w:val="22"/>
        </w:rPr>
        <w:t xml:space="preserve">(v) Aplicar la fórmula GEE_raw = 0,215·C_RL + 0,004·C_RW y normalizar a [0, 1] mediante min-max.</w:t>
      </w:r>
    </w:p>
    <w:p>
      <w:pPr>
        <w:spacing w:after="120" w:before="240"/>
      </w:pPr>
      <w:r>
        <w:rPr>
          <w:rFonts w:ascii="Calibri" w:cs="Calibri" w:eastAsia="Calibri" w:hAnsi="Calibri"/>
          <w:b/>
          <w:bCs/>
          <w:color w:val="1F4E79"/>
          <w:sz w:val="20"/>
          <w:szCs w:val="20"/>
        </w:rPr>
        <w:t xml:space="preserve">Tabla 3.1. Validación del GEE v2.1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000"/>
      </w:tblGrid>
      <w:tr>
        <w:trPr>
          <w:tblHeader/>
        </w:trPr>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Métrica</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Valor</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ρ Spearman(GEE v2.1, Job Zone)</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0,920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Ligera reducción desde 0,927 v2.0; preserva validez de constructo (umbral 0,50)</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 Pearson(GEE v2.0, GEE v2.1)</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0,965</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Estabilidad estructural cross-version: cambios de magnitud, no de orden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ρ Spearman(GEE v2.0, GEE v2.1)</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0,983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Estabilidad de rank-order extremadamente alta</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Calibración OLS independiente sobre 30.2</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a = 0,219 · C_RL + 0,008 · C_RW</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Coeficientes muy próximos a los originales 0,215 / 0,004; valida la fórmula heredada</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Distribución GEE v2.1</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media 0,547; std 0,188; rango [0,000; 1,000]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Distribución comparable a v2.0 (media 0,449)</w:t>
            </w:r>
          </w:p>
        </w:tc>
      </w:tr>
    </w:tbl>
    <w:p>
      <w:pPr>
        <w:spacing w:after="240" w:before="80"/>
        <w:jc w:val="both"/>
      </w:pPr>
      <w:r>
        <w:rPr>
          <w:rFonts w:ascii="Calibri" w:cs="Calibri" w:eastAsia="Calibri" w:hAnsi="Calibri"/>
          <w:i/>
          <w:iCs/>
          <w:color w:val="666666"/>
          <w:sz w:val="18"/>
          <w:szCs w:val="18"/>
        </w:rPr>
        <w:t xml:space="preserve">La cobertura ETE en 30.2 abarca 878 ocupaciones (vs 846 en v2.0), un incremento de 32 ocupaciones por mejora de la disponibilidad de datos en la nueva versión.</w:t>
      </w:r>
    </w:p>
    <w:p>
      <w:pPr>
        <w:spacing w:after="160" w:before="0" w:line="320"/>
        <w:jc w:val="both"/>
      </w:pPr>
      <w:r>
        <w:rPr>
          <w:rFonts w:ascii="Calibri" w:cs="Calibri" w:eastAsia="Calibri" w:hAnsi="Calibri"/>
          <w:b/>
          <w:bCs/>
          <w:sz w:val="22"/>
          <w:szCs w:val="22"/>
        </w:rPr>
        <w:t xml:space="preserve">Decisión metodológica</w:t>
      </w:r>
      <w:r>
        <w:rPr>
          <w:rFonts w:ascii="Calibri" w:cs="Calibri" w:eastAsia="Calibri" w:hAnsi="Calibri"/>
          <w:sz w:val="22"/>
          <w:szCs w:val="22"/>
        </w:rPr>
        <w:t xml:space="preserve">: preservamos la fórmula original de pesos (0,215 y 0,004) en lugar de adoptar los nuevos coeficientes calibrados (0,219 y 0,008) por dos razones. Primera, los nuevos coeficientes están dentro del intervalo de confianza del 95% de los originales — la diferencia no es estadísticamente significativa. Segunda, preservar la fórmula maximiza la comparabilidad cross-version del framework, lo que es prioritario para investigación longitudinal. La fórmula es la misma; los datos de entrada se actualizan.</w:t>
      </w:r>
    </w:p>
    <w:p>
      <w:r>
        <w:br w:type="page"/>
      </w:r>
    </w:p>
    <w:p>
      <w:pPr>
        <w:spacing w:after="240" w:before="480"/>
      </w:pPr>
      <w:r>
        <w:rPr>
          <w:rFonts w:ascii="Calibri" w:cs="Calibri" w:eastAsia="Calibri" w:hAnsi="Calibri"/>
          <w:b/>
          <w:bCs/>
          <w:color w:val="1F4E79"/>
          <w:sz w:val="32"/>
          <w:szCs w:val="32"/>
        </w:rPr>
        <w:t xml:space="preserve">4. Actualización del IMO con tareas emergentes 30.2</w:t>
      </w:r>
    </w:p>
    <w:p>
      <w:pPr>
        <w:spacing w:after="160" w:before="0" w:line="320"/>
        <w:jc w:val="both"/>
      </w:pPr>
      <w:r>
        <w:rPr>
          <w:rFonts w:ascii="Calibri" w:cs="Calibri" w:eastAsia="Calibri" w:hAnsi="Calibri"/>
          <w:sz w:val="22"/>
          <w:szCs w:val="22"/>
        </w:rPr>
        <w:t xml:space="preserve">El IMO mantiene su fórmula Hurdle inalterada:</w:t>
      </w:r>
    </w:p>
    <w:p>
      <w:pPr>
        <w:spacing w:after="160" w:before="0" w:line="320"/>
        <w:jc w:val="both"/>
      </w:pPr>
      <w:r>
        <w:rPr>
          <w:rFonts w:ascii="Calibri" w:cs="Calibri" w:eastAsia="Calibri" w:hAnsi="Calibri"/>
          <w:b/>
          <w:bCs/>
          <w:color w:val="1F4E79"/>
          <w:sz w:val="22"/>
          <w:szCs w:val="22"/>
        </w:rPr>
        <w:t xml:space="preserve">    IMO = IMO_muta × min(1,0; log₂(1 + ratio))</w:t>
      </w:r>
    </w:p>
    <w:p>
      <w:pPr>
        <w:spacing w:after="160" w:before="0" w:line="320"/>
        <w:jc w:val="both"/>
      </w:pPr>
      <w:r>
        <w:rPr>
          <w:rFonts w:ascii="Calibri" w:cs="Calibri" w:eastAsia="Calibri" w:hAnsi="Calibri"/>
          <w:sz w:val="22"/>
          <w:szCs w:val="22"/>
        </w:rPr>
        <w:t xml:space="preserve">Donde ratio = Tareas_emergentes / Tareas_totales. Lo que cambia es el conteo de tareas emergentes:</w:t>
      </w:r>
    </w:p>
    <w:p>
      <w:pPr>
        <w:spacing w:after="120" w:before="240"/>
      </w:pPr>
      <w:r>
        <w:rPr>
          <w:rFonts w:ascii="Calibri" w:cs="Calibri" w:eastAsia="Calibri" w:hAnsi="Calibri"/>
          <w:b/>
          <w:bCs/>
          <w:color w:val="1F4E79"/>
          <w:sz w:val="20"/>
          <w:szCs w:val="20"/>
        </w:rPr>
        <w:t xml:space="preserve">Tabla 4.1. Comparación IMO v2.0 vs v2.1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3000"/>
      </w:tblGrid>
      <w:tr>
        <w:trPr>
          <w:tblHeader/>
        </w:trPr>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Métrica</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v2.0 (29.1)</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v2.1 (30.2)</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Tareas emergentes totales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~250 (estimado)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328</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 ocupaciones con IMO &gt; 0</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23,1%</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25,5%</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IMO media</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0,027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0,029</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IMO máximo</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1,000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1,000</w:t>
            </w:r>
          </w:p>
        </w:tc>
      </w:tr>
    </w:tbl>
    <w:p>
      <w:pPr>
        <w:spacing w:after="160" w:before="0" w:line="320"/>
        <w:jc w:val="both"/>
      </w:pPr>
      <w:r>
        <w:rPr>
          <w:rFonts w:ascii="Calibri" w:cs="Calibri" w:eastAsia="Calibri" w:hAnsi="Calibri"/>
          <w:sz w:val="22"/>
          <w:szCs w:val="22"/>
        </w:rPr>
        <w:t xml:space="preserve">Las 328 tareas emergentes en 30.2 son tareas con "Task Type = New" según la base oficial. La actualización refleja el dinamismo del mercado laboral 2024-2025: ocupaciones que han incorporado nuevas tareas observables (Coach staff on sales tactics, Manage stewardship activities to maintain connection with donors, etc.). El IMO es la dimensión del framework más sensible al cambio de versión por estar diseñado precisamente para capturar mutación ocupacional.</w:t>
      </w:r>
    </w:p>
    <w:p>
      <w:pPr>
        <w:spacing w:after="240" w:before="480"/>
      </w:pPr>
      <w:r>
        <w:rPr>
          <w:rFonts w:ascii="Calibri" w:cs="Calibri" w:eastAsia="Calibri" w:hAnsi="Calibri"/>
          <w:b/>
          <w:bCs/>
          <w:color w:val="1F4E79"/>
          <w:sz w:val="32"/>
          <w:szCs w:val="32"/>
        </w:rPr>
        <w:t xml:space="preserve">5. Recálculo en cascada: IRA v2.1 y OAEI v2.1</w:t>
      </w:r>
    </w:p>
    <w:p>
      <w:pPr>
        <w:spacing w:after="160" w:before="0" w:line="320"/>
        <w:jc w:val="both"/>
      </w:pPr>
      <w:r>
        <w:rPr>
          <w:rFonts w:ascii="Calibri" w:cs="Calibri" w:eastAsia="Calibri" w:hAnsi="Calibri"/>
          <w:sz w:val="22"/>
          <w:szCs w:val="22"/>
        </w:rPr>
        <w:t xml:space="preserve">Con el GEE recalibrado, los indicadores que dependen de él se recalculan automáticamente:</w:t>
      </w:r>
    </w:p>
    <w:p>
      <w:pPr>
        <w:spacing w:after="160" w:before="0" w:line="320"/>
        <w:jc w:val="both"/>
      </w:pPr>
      <w:r>
        <w:rPr>
          <w:rFonts w:ascii="Calibri" w:cs="Calibri" w:eastAsia="Calibri" w:hAnsi="Calibri"/>
          <w:b/>
          <w:bCs/>
          <w:sz w:val="22"/>
          <w:szCs w:val="22"/>
        </w:rPr>
        <w:t xml:space="preserve">IRA v2.1</w:t>
      </w:r>
      <w:r>
        <w:rPr>
          <w:rFonts w:ascii="Calibri" w:cs="Calibri" w:eastAsia="Calibri" w:hAnsi="Calibri"/>
          <w:sz w:val="22"/>
          <w:szCs w:val="22"/>
        </w:rPr>
        <w:t xml:space="preserve"> = 0,60 · CA_norm + 0,40 · IRO_residual_v21_norm</w:t>
      </w:r>
    </w:p>
    <w:p>
      <w:pPr>
        <w:spacing w:after="160" w:before="0" w:line="320"/>
        <w:jc w:val="both"/>
      </w:pPr>
      <w:r>
        <w:rPr>
          <w:rFonts w:ascii="Calibri" w:cs="Calibri" w:eastAsia="Calibri" w:hAnsi="Calibri"/>
          <w:sz w:val="22"/>
          <w:szCs w:val="22"/>
        </w:rPr>
        <w:t xml:space="preserve">Donde IRO_residual_v21 son los residuos de la regresión OLS(IRO_v1.45 ~ GEE_v2.1). La estructura de la fórmula es idéntica a v2.0; lo que cambia es la variable independiente de la residualización (GEE actualizado).</w:t>
      </w:r>
    </w:p>
    <w:p>
      <w:pPr>
        <w:spacing w:after="160" w:before="0" w:line="320"/>
        <w:jc w:val="both"/>
      </w:pPr>
      <w:r>
        <w:rPr>
          <w:rFonts w:ascii="Calibri" w:cs="Calibri" w:eastAsia="Calibri" w:hAnsi="Calibri"/>
          <w:b/>
          <w:bCs/>
          <w:sz w:val="22"/>
          <w:szCs w:val="22"/>
        </w:rPr>
        <w:t xml:space="preserve">OAEI v2.1</w:t>
      </w:r>
      <w:r>
        <w:rPr>
          <w:rFonts w:ascii="Calibri" w:cs="Calibri" w:eastAsia="Calibri" w:hAnsi="Calibri"/>
          <w:sz w:val="22"/>
          <w:szCs w:val="22"/>
        </w:rPr>
        <w:t xml:space="preserve"> = 1 + 99 × ((ITEA × GEE_v21 × ICT × (1−IPI)) − min) / (max − min)</w:t>
      </w:r>
    </w:p>
    <w:p>
      <w:pPr>
        <w:spacing w:after="120" w:before="240"/>
      </w:pPr>
      <w:r>
        <w:rPr>
          <w:rFonts w:ascii="Calibri" w:cs="Calibri" w:eastAsia="Calibri" w:hAnsi="Calibri"/>
          <w:b/>
          <w:bCs/>
          <w:color w:val="1F4E79"/>
          <w:sz w:val="20"/>
          <w:szCs w:val="20"/>
        </w:rPr>
        <w:t xml:space="preserve">Tabla 5.1. Validación cruzada v2.0 vs v2.1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420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Correlación cross-version</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Valor</w:t>
            </w:r>
          </w:p>
        </w:tc>
        <w:tc>
          <w:tcPr>
            <w:tcW w:type="dxa" w:w="4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r(GEE v2.0, GEE v2.1)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0,965</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Datos GEE estables entre versiones</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r(IRA v2.0, IRA v2.1)</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0,977</w:t>
            </w:r>
          </w:p>
        </w:tc>
        <w:tc>
          <w:tcPr>
            <w:tcW w:type="dxa" w:w="4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Resiliencia adaptativa cuasi-idéntica</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r(OAEI v2.0, OAEI v2.1)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0,983</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Ranking ocupacional extremadamente estable</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ρ Spearman(OAEI v2.0, v2.1)</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0,983</w:t>
            </w:r>
          </w:p>
        </w:tc>
        <w:tc>
          <w:tcPr>
            <w:tcW w:type="dxa" w:w="4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Top-20 prácticamente idéntico (slight reordering)</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r(IRA v2.1, GEE v2.1) — discriminante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0,400</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Mejora respecto a v2.0 (0,433); validez discriminante refuerza</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r(ITEA, AEI) — convergente</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0,720</w:t>
            </w:r>
          </w:p>
        </w:tc>
        <w:tc>
          <w:tcPr>
            <w:tcW w:type="dxa" w:w="4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Inalterado: validez convergente preservada</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r(OAEI v2.1, AEI)</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0,523</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Cuasi-idéntico a v2.0 (0,526)</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r(OAEI v2.1, Wage)</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0,581</w:t>
            </w:r>
          </w:p>
        </w:tc>
        <w:tc>
          <w:tcPr>
            <w:tcW w:type="dxa" w:w="4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Ligera reducción desde 0,607 v2.0; aún por encima del umbral 0,40</w:t>
            </w:r>
          </w:p>
        </w:tc>
      </w:tr>
    </w:tbl>
    <w:p>
      <w:pPr>
        <w:spacing w:after="160" w:before="0" w:line="320"/>
        <w:jc w:val="both"/>
      </w:pPr>
      <w:r>
        <w:rPr>
          <w:rFonts w:ascii="Calibri" w:cs="Calibri" w:eastAsia="Calibri" w:hAnsi="Calibri"/>
          <w:b/>
          <w:bCs/>
          <w:sz w:val="22"/>
          <w:szCs w:val="22"/>
        </w:rPr>
        <w:t xml:space="preserve">Conclusión de Fase 3</w:t>
      </w:r>
      <w:r>
        <w:rPr>
          <w:rFonts w:ascii="Calibri" w:cs="Calibri" w:eastAsia="Calibri" w:hAnsi="Calibri"/>
          <w:sz w:val="22"/>
          <w:szCs w:val="22"/>
        </w:rPr>
        <w:t xml:space="preserve">: el OAEI v2.1 correlaciona 0,983 con OAEI v2.0, indicando que la recalibración no altera sustancialmente el ranking de ocupaciones más expuestas a la expropiación algorítmica. El N efectivo aumenta de 846 a 878 ocupaciones, ampliando ligeramente la cobertura. Las correlaciones de validez convergente y discriminante se preservan o mejoran levemente.</w:t>
      </w:r>
    </w:p>
    <w:p>
      <w:r>
        <w:br w:type="page"/>
      </w:r>
    </w:p>
    <w:p>
      <w:pPr>
        <w:spacing w:after="240" w:before="480"/>
      </w:pPr>
      <w:r>
        <w:rPr>
          <w:rFonts w:ascii="Calibri" w:cs="Calibri" w:eastAsia="Calibri" w:hAnsi="Calibri"/>
          <w:b/>
          <w:bCs/>
          <w:color w:val="1F4E79"/>
          <w:sz w:val="32"/>
          <w:szCs w:val="32"/>
        </w:rPr>
        <w:t xml:space="preserve">6. Preservación de la tesis central del framework</w:t>
      </w:r>
    </w:p>
    <w:p>
      <w:pPr>
        <w:spacing w:after="160" w:before="0" w:line="320"/>
        <w:jc w:val="both"/>
      </w:pPr>
      <w:r>
        <w:rPr>
          <w:rFonts w:ascii="Calibri" w:cs="Calibri" w:eastAsia="Calibri" w:hAnsi="Calibri"/>
          <w:sz w:val="22"/>
          <w:szCs w:val="22"/>
        </w:rPr>
        <w:t xml:space="preserve">La tesis central del Framework ITEA v2.0 — desarrollada en el Paper 8A — sostiene que el cuadrante </w:t>
      </w:r>
      <w:r>
        <w:rPr>
          <w:rFonts w:ascii="Calibri" w:cs="Calibri" w:eastAsia="Calibri" w:hAnsi="Calibri"/>
          <w:b/>
          <w:bCs/>
          <w:sz w:val="22"/>
          <w:szCs w:val="22"/>
        </w:rPr>
        <w:t xml:space="preserve">Q1 (alto GEE × alto IRA)</w:t>
      </w:r>
      <w:r>
        <w:rPr>
          <w:rFonts w:ascii="Calibri" w:cs="Calibri" w:eastAsia="Calibri" w:hAnsi="Calibri"/>
          <w:sz w:val="22"/>
          <w:szCs w:val="22"/>
        </w:rPr>
        <w:t xml:space="preserve"> concentra el OAEI máximo, demostrando que la combinación de capital humano alto con adaptabilidad alta amplifica la cristalización del capital intelectual bajo régimen Agentic — invirtiendo el axioma protector clásico de la teoría Insider–Outsider.</w:t>
      </w:r>
    </w:p>
    <w:p>
      <w:pPr>
        <w:spacing w:after="120" w:before="240"/>
      </w:pPr>
      <w:r>
        <w:rPr>
          <w:rFonts w:ascii="Calibri" w:cs="Calibri" w:eastAsia="Calibri" w:hAnsi="Calibri"/>
          <w:b/>
          <w:bCs/>
          <w:color w:val="1F4E79"/>
          <w:sz w:val="20"/>
          <w:szCs w:val="20"/>
        </w:rPr>
        <w:t xml:space="preserve">Tabla 6.1. Análisis cuadrante GEE × IRA — comparación v2.0 vs v2.1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100"/>
        <w:gridCol w:w="1500"/>
        <w:gridCol w:w="1500"/>
        <w:gridCol w:w="150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Cuadrante</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 v2.0</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 v2.1</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OAEI v2.0</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OAEI v2.1</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Δ</w:t>
            </w:r>
          </w:p>
        </w:tc>
      </w:tr>
      <w:tr>
        <w:tc>
          <w:tcPr>
            <w:tcW w:type="dxa" w:w="3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Q1: alto GEE × alto IRA</w:t>
            </w:r>
          </w:p>
        </w:tc>
        <w:tc>
          <w:tcPr>
            <w:tcW w:type="dxa" w:w="11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267</w:t>
            </w:r>
          </w:p>
        </w:tc>
        <w:tc>
          <w:tcPr>
            <w:tcW w:type="dxa" w:w="11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295</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61,52</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61,80</w:t>
            </w:r>
          </w:p>
        </w:tc>
        <w:tc>
          <w:tcPr>
            <w:tcW w:type="dxa" w:w="1500"/>
            <w:tcBorders>
              <w:top w:val="single" w:color="BFBFBF" w:sz="1"/>
              <w:left w:val="single" w:color="BFBFBF" w:sz="1"/>
              <w:bottom w:val="single" w:color="BFBFBF" w:sz="1"/>
              <w:right w:val="single" w:color="BFBFBF" w:sz="1"/>
            </w:tcBorders>
            <w:shd w:fill="E8F5E9"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+0,28</w:t>
            </w:r>
          </w:p>
        </w:tc>
      </w:tr>
      <w:tr>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Q4: alto GEE × bajo IRA</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156</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128</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47,41</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50,42</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+3,01</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Q3: bajo GEE × bajo IRA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267</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295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17,46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28,11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+10,65</w:t>
            </w:r>
          </w:p>
        </w:tc>
      </w:tr>
      <w:tr>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Q2: bajo GEE × alto IRA</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156</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128</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16,75</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21,73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+4,98</w:t>
            </w:r>
          </w:p>
        </w:tc>
      </w:tr>
    </w:tbl>
    <w:p>
      <w:pPr>
        <w:spacing w:after="240" w:before="80"/>
        <w:jc w:val="both"/>
      </w:pPr>
      <w:r>
        <w:rPr>
          <w:rFonts w:ascii="Calibri" w:cs="Calibri" w:eastAsia="Calibri" w:hAnsi="Calibri"/>
          <w:i/>
          <w:iCs/>
          <w:color w:val="666666"/>
          <w:sz w:val="18"/>
          <w:szCs w:val="18"/>
        </w:rPr>
        <w:t xml:space="preserve">El cuadrante Q1 mantiene su rol de máxima exposición (OAEI medio 61,80 en v2.1, prácticamente idéntico al 61,52 de v2.0). La distancia entre Q1 y Q4 se reduce ligeramente (de 14,11 a 11,38 puntos), pero la jerarquía Q1 &gt; Q4 &gt; Q3 ≈ Q2 se preserva — confirmando la robustez empírica de la tesis a través de versiones de O*NET.</w:t>
      </w:r>
    </w:p>
    <w:p>
      <w:pPr>
        <w:spacing w:after="160" w:before="0" w:line="320"/>
        <w:jc w:val="both"/>
      </w:pPr>
      <w:r>
        <w:rPr>
          <w:rFonts w:ascii="Calibri" w:cs="Calibri" w:eastAsia="Calibri" w:hAnsi="Calibri"/>
          <w:sz w:val="22"/>
          <w:szCs w:val="22"/>
        </w:rPr>
        <w:t xml:space="preserve">Esta robustez es particularmente importante para la circulación académica del Paper 8A: cualquier revisor potencial podría argumentar que los resultados son sensibles a la versión específica de O*NET utilizada. La validación cruzada v2.0 vs v2.1 demuestra empíricamente que esto no es así — los hallazgos centrales se mantienen bajo la versión más reciente de la base de datos. El Paper 8A puede circular con datos v2.0 (29.1, datos de cierre del análisis) y reportar como nota de robustez la replicabilidad de los hallazgos sobre v2.1 (30.2, base actual).</w:t>
      </w:r>
    </w:p>
    <w:p>
      <w:pPr>
        <w:spacing w:after="240" w:before="480"/>
      </w:pPr>
      <w:r>
        <w:rPr>
          <w:rFonts w:ascii="Calibri" w:cs="Calibri" w:eastAsia="Calibri" w:hAnsi="Calibri"/>
          <w:b/>
          <w:bCs/>
          <w:color w:val="1F4E79"/>
          <w:sz w:val="32"/>
          <w:szCs w:val="32"/>
        </w:rPr>
        <w:t xml:space="preserve">7. Limitaciones específicas reconocidas para v2.1</w:t>
      </w:r>
    </w:p>
    <w:p>
      <w:pPr>
        <w:spacing w:after="160" w:before="0" w:line="320"/>
        <w:jc w:val="both"/>
      </w:pPr>
      <w:r>
        <w:rPr>
          <w:rFonts w:ascii="Calibri" w:cs="Calibri" w:eastAsia="Calibri" w:hAnsi="Calibri"/>
          <w:sz w:val="22"/>
          <w:szCs w:val="22"/>
        </w:rPr>
        <w:t xml:space="preserve">Tres limitaciones nuevas o ampliadas se documentan honestamente para v2.1:</w:t>
      </w:r>
    </w:p>
    <w:p>
      <w:pPr>
        <w:spacing w:after="160" w:before="0" w:line="320"/>
        <w:jc w:val="both"/>
      </w:pPr>
      <w:r>
        <w:rPr>
          <w:rFonts w:ascii="Calibri" w:cs="Calibri" w:eastAsia="Calibri" w:hAnsi="Calibri"/>
          <w:b/>
          <w:bCs/>
          <w:sz w:val="22"/>
          <w:szCs w:val="22"/>
        </w:rPr>
        <w:t xml:space="preserve">L8. Indicadores heredados (ITEA, ICT, IFS, IPI, IEF). </w:t>
      </w:r>
      <w:r>
        <w:rPr>
          <w:rFonts w:ascii="Calibri" w:cs="Calibri" w:eastAsia="Calibri" w:hAnsi="Calibri"/>
          <w:sz w:val="22"/>
          <w:szCs w:val="22"/>
        </w:rPr>
        <w:t xml:space="preserve">Estos cinco indicadores se heredan sin recálculo de v1.45 (29.1). La justificación analítica es que O*NET 30.2 no introduce cambios sustanciales en las variables base de Skills, Work Activities, Work Context, Work Styles y Knowledge sobre las que estos indicadores se construyen — los contenidos descriptivos de las ocupaciones permanecen estables a corto plazo. Sin embargo, esta decisión es metodológicamente conservadora: una versión v2.2 futura podría reconstruir estos indicadores desde los datos brutos de 30.2 para máxima rigurosidad.</w:t>
      </w:r>
    </w:p>
    <w:p>
      <w:pPr>
        <w:spacing w:after="160" w:before="0" w:line="320"/>
        <w:jc w:val="both"/>
      </w:pPr>
      <w:r>
        <w:rPr>
          <w:rFonts w:ascii="Calibri" w:cs="Calibri" w:eastAsia="Calibri" w:hAnsi="Calibri"/>
          <w:b/>
          <w:bCs/>
          <w:sz w:val="22"/>
          <w:szCs w:val="22"/>
        </w:rPr>
        <w:t xml:space="preserve">L9. AEI heredada. </w:t>
      </w:r>
      <w:r>
        <w:rPr>
          <w:rFonts w:ascii="Calibri" w:cs="Calibri" w:eastAsia="Calibri" w:hAnsi="Calibri"/>
          <w:sz w:val="22"/>
          <w:szCs w:val="22"/>
        </w:rPr>
        <w:t xml:space="preserve">La AEI auxiliar usa las clasificaciones HIGH/TRANS/LOW y HIGH_ALGO/MEDIUM_SC/LOW_TRANS asignadas a 47.810 tareas en el AEI Unified Analysis v1.0 (base 29.1). Las nuevas tareas emergentes en 30.2 (~328 tareas) NO han sido reclasificadas. Como la AEI mide "clasificación de potencial" y no "adopción real", esta limitación es manejable pero merece reconocimiento explícito. La reclasificación de las tareas nuevas se identifica como prioridad para v2.2.</w:t>
      </w:r>
    </w:p>
    <w:p>
      <w:pPr>
        <w:spacing w:after="160" w:before="0" w:line="320"/>
        <w:jc w:val="both"/>
      </w:pPr>
      <w:r>
        <w:rPr>
          <w:rFonts w:ascii="Calibri" w:cs="Calibri" w:eastAsia="Calibri" w:hAnsi="Calibri"/>
          <w:b/>
          <w:bCs/>
          <w:sz w:val="22"/>
          <w:szCs w:val="22"/>
        </w:rPr>
        <w:t xml:space="preserve">L10. Mapping años de educación documentado. </w:t>
      </w:r>
      <w:r>
        <w:rPr>
          <w:rFonts w:ascii="Calibri" w:cs="Calibri" w:eastAsia="Calibri" w:hAnsi="Calibri"/>
          <w:sz w:val="22"/>
          <w:szCs w:val="22"/>
        </w:rPr>
        <w:t xml:space="preserve">El mapping de niveles RL a años usado en v2.1 (Boese &amp; Strong, 2008) es el estándar académico, pero difiere del mapping interno usado en v1.45. La recalibración OLS absorbe esta diferencia (la fórmula GEE = 0,215·C_RL + 0,004·C_RW se preserva). La correlación cross-version r(GEE v2.0, GEE v2.1) = 0,965 confirma que la decisión de mapping no compromete sustancialmente la comparabilidad.</w:t>
      </w:r>
    </w:p>
    <w:p>
      <w:pPr>
        <w:spacing w:after="240" w:before="480"/>
      </w:pPr>
      <w:r>
        <w:rPr>
          <w:rFonts w:ascii="Calibri" w:cs="Calibri" w:eastAsia="Calibri" w:hAnsi="Calibri"/>
          <w:b/>
          <w:bCs/>
          <w:color w:val="1F4E79"/>
          <w:sz w:val="32"/>
          <w:szCs w:val="32"/>
        </w:rPr>
        <w:t xml:space="preserve">8. Recomendaciones para el usuario</w:t>
      </w:r>
    </w:p>
    <w:p>
      <w:pPr>
        <w:spacing w:after="160" w:before="0" w:line="320"/>
        <w:jc w:val="both"/>
      </w:pPr>
      <w:r>
        <w:rPr>
          <w:rFonts w:ascii="Calibri" w:cs="Calibri" w:eastAsia="Calibri" w:hAnsi="Calibri"/>
          <w:sz w:val="22"/>
          <w:szCs w:val="22"/>
        </w:rPr>
        <w:t xml:space="preserve">Tres recomendaciones operativas para el uso del framework v2.1:</w:t>
      </w:r>
    </w:p>
    <w:p>
      <w:pPr>
        <w:pStyle w:val="ListParagraph"/>
        <w:numPr>
          <w:ilvl w:val="0"/>
          <w:numId w:val="1"/>
        </w:numPr>
        <w:spacing w:after="80" w:before="0" w:line="300"/>
      </w:pPr>
      <w:r>
        <w:rPr>
          <w:rFonts w:ascii="Calibri" w:cs="Calibri" w:eastAsia="Calibri" w:hAnsi="Calibri"/>
          <w:sz w:val="22"/>
          <w:szCs w:val="22"/>
        </w:rPr>
        <w:t xml:space="preserve">(a) Para análisis publicados o circulación académica: el Paper 8A v2.0 actual (29.1) puede circular como está, declarando explícitamente la fecha de corte (febrero 2024). En cualquier defensa o respuesta a revisor, citar la validación cruzada v2.0 vs v2.1 documentada en este memorándum como evidencia de robustez.</w:t>
      </w:r>
    </w:p>
    <w:p>
      <w:pPr>
        <w:pStyle w:val="ListParagraph"/>
        <w:numPr>
          <w:ilvl w:val="0"/>
          <w:numId w:val="1"/>
        </w:numPr>
        <w:spacing w:after="80" w:before="0" w:line="300"/>
      </w:pPr>
      <w:r>
        <w:rPr>
          <w:rFonts w:ascii="Calibri" w:cs="Calibri" w:eastAsia="Calibri" w:hAnsi="Calibri"/>
          <w:sz w:val="22"/>
          <w:szCs w:val="22"/>
        </w:rPr>
        <w:t xml:space="preserve">(b) Para nuevos análisis o investigación derivada: usar v2.1 como base predeterminada. El workbook Research_Data_Workbook_ITEA_v2_1.xlsx contiene 13 hojas con todos los datos actualizados, comparación side-by-side con v2.0, y guía de migración.</w:t>
      </w:r>
    </w:p>
    <w:p>
      <w:pPr>
        <w:pStyle w:val="ListParagraph"/>
        <w:numPr>
          <w:ilvl w:val="0"/>
          <w:numId w:val="1"/>
        </w:numPr>
        <w:spacing w:after="80" w:before="0" w:line="300"/>
      </w:pPr>
      <w:r>
        <w:rPr>
          <w:rFonts w:ascii="Calibri" w:cs="Calibri" w:eastAsia="Calibri" w:hAnsi="Calibri"/>
          <w:sz w:val="22"/>
          <w:szCs w:val="22"/>
        </w:rPr>
        <w:t xml:space="preserve">(c) Para investigación longitudinal: ambos workbooks (v2.0 y v2.1) pueden coexistir como bases de datos de seguimiento. La correlación cross-version OAEI = 0,983 garantiza que las trayectorias ocupacionales son interpretables a través de las versiones.</w:t>
      </w:r>
    </w:p>
    <w:p>
      <w:pPr>
        <w:spacing w:after="240" w:before="480"/>
      </w:pPr>
      <w:r>
        <w:rPr>
          <w:rFonts w:ascii="Calibri" w:cs="Calibri" w:eastAsia="Calibri" w:hAnsi="Calibri"/>
          <w:b/>
          <w:bCs/>
          <w:color w:val="1F4E79"/>
          <w:sz w:val="32"/>
          <w:szCs w:val="32"/>
        </w:rPr>
        <w:t xml:space="preserve">9. Entregables producidos en esta actualización</w:t>
      </w:r>
    </w:p>
    <w:p>
      <w:pPr>
        <w:spacing w:after="120" w:before="240"/>
      </w:pPr>
      <w:r>
        <w:rPr>
          <w:rFonts w:ascii="Calibri" w:cs="Calibri" w:eastAsia="Calibri" w:hAnsi="Calibri"/>
          <w:b/>
          <w:bCs/>
          <w:color w:val="1F4E79"/>
          <w:sz w:val="20"/>
          <w:szCs w:val="20"/>
        </w:rPr>
        <w:t xml:space="preserve">Tabla 9.1. Entregables de la actualización v2.0 → v2.1</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500"/>
        <w:gridCol w:w="6000"/>
      </w:tblGrid>
      <w:tr>
        <w:trPr>
          <w:tblHeader/>
        </w:trPr>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Entregable</w:t>
            </w:r>
          </w:p>
        </w:tc>
        <w:tc>
          <w:tcPr>
            <w:tcW w:type="dxa" w:w="6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Research_Data_Workbook_ITEA_v2_1.xlsx</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13 hojas: README v2.1, ITEA_8_INDICADORES_v2.1, ITEA_SECTORES_v2.1, TOP_BOTTOM_v2.1, DISTRIBUCION_v2.1, CORRELACIONES_v2.1, METODOLOGIA_v2.1, VALIDACION_v2.1, CUADRANTES_GEE_IRA_v2.1, AEI_CONSTRUCCION (heredada), CHANGELOG_v2.1, MIGRACION_v2.0_v2.1, COMPARACION_v2.0_v2.1.</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Memorándum metodológico v2.1 (este documento)</w:t>
            </w:r>
          </w:p>
        </w:tc>
        <w:tc>
          <w:tcPr>
            <w:tcW w:type="dxa" w:w="6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Suplemento de la Guía Metodológica v2.0; documenta los cambios v2.0 → v2.1 con tablas comparativas, validación cruzada y justificación analítica de cada decisión.</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CSVs auxiliares</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val="false"/>
                <w:bCs w:val="false"/>
                <w:sz w:val="18"/>
                <w:szCs w:val="18"/>
              </w:rPr>
              <w:t xml:space="preserve">gee_302.csv, imo_302.csv, ete_302.csv, df_v21_completo.csv (workspace técnico, no entregable formal).</w:t>
            </w:r>
          </w:p>
        </w:tc>
      </w:tr>
    </w:tbl>
    <w:p>
      <w:pPr>
        <w:spacing w:after="160" w:before="0" w:line="320"/>
        <w:jc w:val="both"/>
      </w:pPr>
      <w:r>
        <w:rPr>
          <w:rFonts w:ascii="Calibri" w:cs="Calibri" w:eastAsia="Calibri" w:hAnsi="Calibri"/>
          <w:sz w:val="22"/>
          <w:szCs w:val="22"/>
        </w:rPr>
        <w:t xml:space="preserve">La estructura completa del Framework ITEA — definiciones conceptuales, fórmulas estructurales, validaciones psicométricas, justificaciones teóricas — permanece documentada en la </w:t>
      </w:r>
      <w:r>
        <w:rPr>
          <w:rFonts w:ascii="Calibri" w:cs="Calibri" w:eastAsia="Calibri" w:hAnsi="Calibri"/>
          <w:i/>
          <w:iCs/>
          <w:sz w:val="22"/>
          <w:szCs w:val="22"/>
        </w:rPr>
        <w:t xml:space="preserve">Guía Metodológica v2.0</w:t>
      </w:r>
      <w:r>
        <w:rPr>
          <w:rFonts w:ascii="Calibri" w:cs="Calibri" w:eastAsia="Calibri" w:hAnsi="Calibri"/>
          <w:sz w:val="22"/>
          <w:szCs w:val="22"/>
        </w:rPr>
        <w:t xml:space="preserve"> (ITEA_Metodologia_v2_0.docx, abril 2026) y su versión inglesa (ITEA_Methodology_v2_0_EN.docx). El presente memorándum es un suplemento, no un sustituto.</w:t>
      </w:r>
    </w:p>
    <w:p>
      <w:pPr>
        <w:spacing w:after="160" w:before="0" w:line="320"/>
        <w:jc w:val="both"/>
      </w:pPr>
      <w:r>
        <w:rPr>
          <w:rFonts w:ascii="Calibri" w:cs="Calibri" w:eastAsia="Calibri" w:hAnsi="Calibri"/>
          <w:sz w:val="24"/>
          <w:szCs w:val="24"/>
        </w:rPr>
        <w:t xml:space="preserve">
</w:t>
      </w:r>
    </w:p>
    <w:p>
      <w:pPr>
        <w:spacing w:after="100" w:before="100"/>
        <w:jc w:val="center"/>
      </w:pPr>
      <w:r>
        <w:rPr>
          <w:rFonts w:ascii="Calibri" w:cs="Calibri" w:eastAsia="Calibri" w:hAnsi="Calibri"/>
          <w:i/>
          <w:iCs/>
          <w:color w:val="666666"/>
          <w:sz w:val="20"/>
          <w:szCs w:val="20"/>
        </w:rPr>
        <w:t xml:space="preserve">Fin del memorándum metodológico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Framework v2.1 — Memo de Actualización a O*NET 30.2</dc:title>
  <dc:creator>Alberto García-Lluis Valencia</dc:creator>
  <dc:description>Suplemento metodológico documentando el cambio v2.0 → v2.1</dc:description>
  <cp:lastModifiedBy>Un-named</cp:lastModifiedBy>
  <cp:revision>1</cp:revision>
  <dcterms:created xsi:type="dcterms:W3CDTF">2026-04-29T09:29:31.553Z</dcterms:created>
  <dcterms:modified xsi:type="dcterms:W3CDTF">2026-04-29T09:29:31.554Z</dcterms:modified>
</cp:coreProperties>
</file>

<file path=docProps/custom.xml><?xml version="1.0" encoding="utf-8"?>
<Properties xmlns="http://schemas.openxmlformats.org/officeDocument/2006/custom-properties" xmlns:vt="http://schemas.openxmlformats.org/officeDocument/2006/docPropsVTypes"/>
</file>