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Calibri" w:cs="Calibri" w:eastAsia="Calibri" w:hAnsi="Calibri"/>
          <w:i/>
          <w:iCs/>
          <w:color w:val="666666"/>
          <w:sz w:val="22"/>
          <w:szCs w:val="22"/>
        </w:rPr>
        <w:t xml:space="preserve">Memorándum metodológico</w:t>
      </w:r>
    </w:p>
    <w:p>
      <w:pPr>
        <w:spacing w:after="100"/>
        <w:jc w:val="center"/>
      </w:pPr>
      <w:r>
        <w:rPr>
          <w:rFonts w:ascii="Calibri" w:cs="Calibri" w:eastAsia="Calibri" w:hAnsi="Calibri"/>
          <w:b/>
          <w:bCs/>
          <w:color w:val="1B4F72"/>
          <w:sz w:val="36"/>
          <w:szCs w:val="36"/>
        </w:rPr>
        <w:t xml:space="preserve">FRAMEWORK ITEA v3.0</w:t>
      </w:r>
    </w:p>
    <w:p>
      <w:pPr>
        <w:spacing w:after="80"/>
        <w:jc w:val="center"/>
      </w:pPr>
      <w:r>
        <w:rPr>
          <w:rFonts w:ascii="Calibri" w:cs="Calibri" w:eastAsia="Calibri" w:hAnsi="Calibri"/>
          <w:i/>
          <w:iCs/>
          <w:sz w:val="24"/>
          <w:szCs w:val="24"/>
        </w:rPr>
        <w:t xml:space="preserve">Revisión metodológica mayor sobre v2.1</w:t>
      </w:r>
    </w:p>
    <w:p>
      <w:pPr>
        <w:spacing w:after="80"/>
        <w:jc w:val="center"/>
      </w:pPr>
      <w:r>
        <w:rPr>
          <w:rFonts w:ascii="Calibri" w:cs="Calibri" w:eastAsia="Calibri" w:hAnsi="Calibri"/>
          <w:i/>
          <w:iCs/>
          <w:color w:val="666666"/>
          <w:sz w:val="20"/>
          <w:szCs w:val="20"/>
        </w:rPr>
        <w:t xml:space="preserve">Suplemento de la Guía Metodológica v2.0 y del Memo v2.1</w:t>
      </w:r>
    </w:p>
    <w:p>
      <w:pPr>
        <w:spacing w:after="120"/>
        <w:jc w:val="center"/>
      </w:pPr>
      <w:r>
        <w:rPr>
          <w:rFonts w:ascii="Calibri" w:cs="Calibri" w:eastAsia="Calibri" w:hAnsi="Calibri"/>
          <w:i/>
          <w:iCs/>
          <w:sz w:val="20"/>
          <w:szCs w:val="20"/>
        </w:rPr>
        <w:t xml:space="preserve">Alberto García-Lluis Valencia · Universidad Rey Juan Carlos · ORCID 0009-0003-1438-1633</w:t>
      </w:r>
    </w:p>
    <w:p>
      <w:pPr>
        <w:spacing w:after="240"/>
        <w:jc w:val="center"/>
      </w:pPr>
      <w:r>
        <w:rPr>
          <w:rFonts w:ascii="Calibri" w:cs="Calibri" w:eastAsia="Calibri" w:hAnsi="Calibri"/>
          <w:i/>
          <w:iCs/>
          <w:sz w:val="20"/>
          <w:szCs w:val="20"/>
        </w:rPr>
        <w:t xml:space="preserve">Abril 2026</w:t>
      </w:r>
    </w:p>
    <w:p>
      <w:pPr>
        <w:pStyle w:val="Heading1"/>
        <w:spacing w:after="200" w:before="360"/>
      </w:pPr>
      <w:r>
        <w:rPr>
          <w:rFonts w:ascii="Calibri" w:cs="Calibri" w:eastAsia="Calibri" w:hAnsi="Calibri"/>
          <w:b/>
          <w:bCs/>
          <w:color w:val="1B4F72"/>
          <w:sz w:val="30"/>
          <w:szCs w:val="30"/>
        </w:rPr>
        <w:t xml:space="preserve">1. Propósito del documento</w:t>
      </w:r>
    </w:p>
    <w:p>
      <w:pPr>
        <w:spacing w:after="120" w:line="300"/>
        <w:jc w:val="both"/>
      </w:pPr>
      <w:r>
        <w:rPr>
          <w:rFonts w:ascii="Calibri" w:cs="Calibri" w:eastAsia="Calibri" w:hAnsi="Calibri"/>
          <w:b w:val="false"/>
          <w:bCs w:val="false"/>
          <w:i w:val="false"/>
          <w:iCs w:val="false"/>
          <w:sz w:val="22"/>
          <w:szCs w:val="22"/>
        </w:rPr>
        <w:t xml:space="preserve">Este memorándum documenta la revisión metodológica mayor del Framework ITEA desde la versión 2.1 (memorándum de actualización a O*NET 30.2, abril 2026) hasta la versión 3.0 (la presente). A diferencia del memo anterior, que era una actualización incremental por cambio de fuente de datos, esta revisión modifica la especificación matemática de dos de los tres indicadores centrales del framework (ITEA y IRA), introduce una variante alternativa del OAEI, y actualiza el ranking top-20 con consecuencias sustantivas para la trilogía de papers (8A, 8B, 8C).</w:t>
      </w:r>
    </w:p>
    <w:p>
      <w:pPr>
        <w:spacing w:after="120" w:line="300"/>
        <w:jc w:val="both"/>
      </w:pPr>
      <w:r>
        <w:rPr>
          <w:rFonts w:ascii="Calibri" w:cs="Calibri" w:eastAsia="Calibri" w:hAnsi="Calibri"/>
          <w:b w:val="false"/>
          <w:bCs w:val="false"/>
          <w:i w:val="false"/>
          <w:iCs w:val="false"/>
          <w:sz w:val="22"/>
          <w:szCs w:val="22"/>
        </w:rPr>
        <w:t xml:space="preserve">El documento es un suplemento, no un sustituto, del documento metodológico inglés completo (ITEA_Methodology_v3_0_EN.docx, abril 2026), al que se remite para todas las definiciones formales, validaciones psicométricas detalladas e implementaciones de referencia. El presente memorándum tiene por objeto ofrecer la síntesis ejecutiva de las decisiones tomadas, los resultados clave y las implicaciones operativas, en la lengua de trabajo principal del autor.</w:t>
      </w:r>
    </w:p>
    <w:p>
      <w:pPr>
        <w:pStyle w:val="Heading2"/>
        <w:spacing w:after="140" w:before="280"/>
      </w:pPr>
      <w:r>
        <w:rPr>
          <w:rFonts w:ascii="Calibri" w:cs="Calibri" w:eastAsia="Calibri" w:hAnsi="Calibri"/>
          <w:b/>
          <w:bCs/>
          <w:color w:val="2E86C1"/>
          <w:sz w:val="25"/>
          <w:szCs w:val="25"/>
        </w:rPr>
        <w:t xml:space="preserve">Por qué v3.0 en lugar de v2.2</w:t>
      </w:r>
    </w:p>
    <w:p>
      <w:pPr>
        <w:spacing w:after="120" w:line="300"/>
        <w:jc w:val="both"/>
      </w:pPr>
      <w:r>
        <w:rPr>
          <w:rFonts w:ascii="Calibri" w:cs="Calibri" w:eastAsia="Calibri" w:hAnsi="Calibri"/>
          <w:b w:val="false"/>
          <w:bCs w:val="false"/>
          <w:i w:val="false"/>
          <w:iCs w:val="false"/>
          <w:sz w:val="22"/>
          <w:szCs w:val="22"/>
        </w:rPr>
        <w:t xml:space="preserve">La distinción version-mayor frente a versión-menor (3.0 frente a 2.2) responde a tres criterios. Primero, la especificación de dos indicadores cambia estructuralmente — ITEA cambia su regla de agregación y IRA su regla de residualización. Segundo, la magnitud de la mejora de validez convergente cruza umbrales sustantivos: r(ITEA, AEI) sube de 0,71 a 0,89 (+0,18) y r(ITEA, AIOE) sube de 0,36 a 0,43 (+0,07). Tercero, el ranking top-20 cambia: 9 de 20 ocupaciones son nuevas, lo que tiene implicaciones para la circulación de los papers de la trilogía. Los tres criterios juntos justifican el incremento mayor.</w:t>
      </w:r>
    </w:p>
    <w:p>
      <w:pPr>
        <w:pStyle w:val="Heading1"/>
        <w:spacing w:after="200" w:before="360"/>
      </w:pPr>
      <w:r>
        <w:rPr>
          <w:rFonts w:ascii="Calibri" w:cs="Calibri" w:eastAsia="Calibri" w:hAnsi="Calibri"/>
          <w:b/>
          <w:bCs/>
          <w:color w:val="1B4F72"/>
          <w:sz w:val="30"/>
          <w:szCs w:val="30"/>
        </w:rPr>
        <w:t xml:space="preserve">2. Resumen de los cinco cambios estructurales</w:t>
      </w:r>
    </w:p>
    <w:p>
      <w:pPr>
        <w:spacing w:after="100"/>
      </w:pPr>
      <w:r>
        <w:t xml:space="preserve"/>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000"/>
        <w:gridCol w:w="2200"/>
      </w:tblGrid>
      <w:tr>
        <w:trPr>
          <w:tblHeader/>
        </w:trPr>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Cambio</w:t>
            </w:r>
          </w:p>
        </w:tc>
        <w:tc>
          <w:tcPr>
            <w:tcW w:type="dxa" w:w="3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Diagnóstico v2.1</w:t>
            </w:r>
          </w:p>
        </w:tc>
        <w:tc>
          <w:tcPr>
            <w:tcW w:type="dxa" w:w="3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Solución v3.0</w:t>
            </w:r>
          </w:p>
        </w:tc>
        <w:tc>
          <w:tcPr>
            <w:tcW w:type="dxa" w:w="2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Magnitud</w:t>
            </w:r>
          </w:p>
        </w:tc>
      </w:tr>
      <w:tr>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1. Agregación ITEA</w:t>
            </w:r>
          </w:p>
        </w:tc>
        <w:tc>
          <w:tcPr>
            <w:tcW w:type="dxa" w:w="3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r(EAC, AEI)=0,11; r(EIA, AEI)=0,93. Equiponderación en [0,1] diluye señal de EIA por asimetría de varianzas y patologías distribucionales.</w:t>
            </w:r>
          </w:p>
        </w:tc>
        <w:tc>
          <w:tcPr>
            <w:tcW w:type="dxa" w:w="3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Tipificación z-score por componente, agregación equiponderada, proyección final min-max a [0,1].</w:t>
            </w:r>
          </w:p>
        </w:tc>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r(ITEA, AEI): 0,71 → 0,89</w:t>
            </w:r>
          </w:p>
        </w:tc>
      </w:tr>
      <w:tr>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2. Residualización IRA</w:t>
            </w:r>
          </w:p>
        </w:tc>
        <w:tc>
          <w:tcPr>
            <w:tcW w:type="dxa" w:w="3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r(IRA v2.1, ITEA)=0,28; r(IRA v2.1, ICT)=0,10. Residualización solo contra GEE deja varianza compartida con otros moderadores.</w:t>
            </w:r>
          </w:p>
        </w:tc>
        <w:tc>
          <w:tcPr>
            <w:tcW w:type="dxa" w:w="3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Residualización triple contra (GEE, ITEA, ICT). Conserva 84% de la varianza original.</w:t>
            </w:r>
          </w:p>
        </w:tc>
        <w:tc>
          <w:tcPr>
            <w:tcW w:type="dxa" w:w="2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r(IRA, ITEA): 0,28 → 0,14</w:t>
            </w:r>
          </w:p>
        </w:tc>
      </w:tr>
      <w:tr>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3. OAEI canónico</w:t>
            </w:r>
          </w:p>
        </w:tc>
        <w:tc>
          <w:tcPr>
            <w:tcW w:type="dxa" w:w="3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OAEI v2.1 dominado por GEE (r con AIOE = 0,74).</w:t>
            </w:r>
          </w:p>
        </w:tc>
        <w:tc>
          <w:tcPr>
            <w:tcW w:type="dxa" w:w="3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Misma estructura multiplicativa, ITEA mejorado como input.</w:t>
            </w:r>
          </w:p>
        </w:tc>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Compatibilidad trilogía preservada</w:t>
            </w:r>
          </w:p>
        </w:tc>
      </w:tr>
      <w:tr>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4. OAEI v3.0+ aditivo</w:t>
            </w:r>
          </w:p>
        </w:tc>
        <w:tc>
          <w:tcPr>
            <w:tcW w:type="dxa" w:w="3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No existía. Aditivo no se había probado.</w:t>
            </w:r>
          </w:p>
        </w:tc>
        <w:tc>
          <w:tcPr>
            <w:tcW w:type="dxa" w:w="3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Variante alternativa: 0,5·GEE + 0,3·ITEA + 0,2·ICT·(1−IPI). Mejor validez de criterio.</w:t>
            </w:r>
          </w:p>
        </w:tc>
        <w:tc>
          <w:tcPr>
            <w:tcW w:type="dxa" w:w="2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r(OAEI, Wage): 0,58 → 0,66</w:t>
            </w:r>
          </w:p>
        </w:tc>
      </w:tr>
      <w:tr>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5. Reconciliación policy</w:t>
            </w:r>
          </w:p>
        </w:tc>
        <w:tc>
          <w:tcPr>
            <w:tcW w:type="dxa" w:w="3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Texto trilogía cita 2,97M trabajadores; dataset BLS suma 1,22M.</w:t>
            </w:r>
          </w:p>
        </w:tc>
        <w:tc>
          <w:tcPr>
            <w:tcW w:type="dxa" w:w="3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Cifra corregida a 1,22M (0,74% workforce US). Discrepancia textual cerrada.</w:t>
            </w:r>
          </w:p>
        </w:tc>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Trivial pero crítica para revisor Q1</w:t>
            </w:r>
          </w:p>
        </w:tc>
      </w:tr>
    </w:tbl>
    <w:p>
      <w:pPr>
        <w:pStyle w:val="Heading1"/>
        <w:spacing w:after="200" w:before="360"/>
      </w:pPr>
      <w:r>
        <w:rPr>
          <w:rFonts w:ascii="Calibri" w:cs="Calibri" w:eastAsia="Calibri" w:hAnsi="Calibri"/>
          <w:b/>
          <w:bCs/>
          <w:color w:val="1B4F72"/>
          <w:sz w:val="30"/>
          <w:szCs w:val="30"/>
        </w:rPr>
        <w:t xml:space="preserve">3. Validación psicométrica integrada</w:t>
      </w:r>
    </w:p>
    <w:p>
      <w:pPr>
        <w:spacing w:after="120" w:line="300"/>
        <w:jc w:val="both"/>
      </w:pPr>
      <w:r>
        <w:rPr>
          <w:rFonts w:ascii="Calibri" w:cs="Calibri" w:eastAsia="Calibri" w:hAnsi="Calibri"/>
          <w:b w:val="false"/>
          <w:bCs w:val="false"/>
          <w:i w:val="false"/>
          <w:iCs w:val="false"/>
          <w:sz w:val="22"/>
          <w:szCs w:val="22"/>
        </w:rPr>
        <w:t xml:space="preserve">La validación se realiza sobre la submuestra de datos completos (N = 846 ocupaciones) o, para criterios que involucran AIOE, sobre la intersección con el benchmark de Felten-Raj-Seamans (N = 738).</w:t>
      </w:r>
    </w:p>
    <w:p>
      <w:pPr>
        <w:spacing w:after="10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1100"/>
        <w:gridCol w:w="1300"/>
        <w:gridCol w:w="1300"/>
        <w:gridCol w:w="1500"/>
      </w:tblGrid>
      <w:tr>
        <w:trPr>
          <w:tblHeader/>
        </w:trPr>
        <w:tc>
          <w:tcPr>
            <w:tcW w:type="dxa" w:w="44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Criterio</w:t>
            </w:r>
          </w:p>
        </w:tc>
        <w:tc>
          <w:tcPr>
            <w:tcW w:type="dxa" w:w="11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Umbral</w:t>
            </w:r>
          </w:p>
        </w:tc>
        <w:tc>
          <w:tcPr>
            <w:tcW w:type="dxa" w:w="13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w:t>
            </w:r>
          </w:p>
        </w:tc>
        <w:tc>
          <w:tcPr>
            <w:tcW w:type="dxa" w:w="13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 r(ITEA, AEI) — convergente interno</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+0,7091</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+0,8866</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+0,1776 ✓</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(ii) r(ITEA, AIOE) — convergente externo</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+0,3626</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+0,4303</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+0,0677 ✓</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(iii) r(OAEI, Wage) — criterio (multiplicativo)</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&gt; 0,40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+0,5781</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+0,5614</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−0,0167</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(iii+) r(OAEI v3.0+, Wage) — criterio (aditivo)</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&gt; 0,40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+0,5781</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+0,6632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+0,0852 ✓</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(iv) r(IRA, GEE) — discriminante primaria</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&lt;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+0,4004</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+0,3969</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−0,0035</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 r(IRA, ITEA) — discriminante NUEVA</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&lt; 0,50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+0,2758</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+0,1448</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−0,1310 ✓</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(vi) r(IRA, ICT) — discriminante NUEVA</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&lt;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+0,0960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+0,0584</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−0,0376 ✓</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(vii) r(OAEI, AIOE) — externo (multiplicativo)</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+0,8062</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+0,7654</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−0,0408</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(vii+) r(OAEI v3.0+, AIOE) — externo (aditivo)</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+0,8062</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+0,7968</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−0,0094</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(viii) VIF máx — multicolinealidad</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&lt; 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1,21</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1,21</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0,00</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Seis de los ocho criterios mejoran netamente bajo v3.0. Dos muestran pequeñas regresiones (criterios iii y vii con la variante multiplicativa) que reflejan el trade-off intrínseco entre coherencia interna con AEI y convergencia externa con AIOE. La arquitectura dual de variantes (multiplicativa canónica + aditiva v3.0+) ofrece a los usuarios la posibilidad de optimizar para una u otra dimensión según el caso de uso.</w:t>
      </w:r>
    </w:p>
    <w:p>
      <w:pPr>
        <w:pStyle w:val="Heading1"/>
        <w:spacing w:after="200" w:before="360"/>
      </w:pPr>
      <w:r>
        <w:rPr>
          <w:rFonts w:ascii="Calibri" w:cs="Calibri" w:eastAsia="Calibri" w:hAnsi="Calibri"/>
          <w:b/>
          <w:bCs/>
          <w:color w:val="1B4F72"/>
          <w:sz w:val="30"/>
          <w:szCs w:val="30"/>
        </w:rPr>
        <w:t xml:space="preserve">4. Implicaciones para la trilogía</w:t>
      </w:r>
    </w:p>
    <w:p>
      <w:pPr>
        <w:pStyle w:val="Heading2"/>
        <w:spacing w:after="140" w:before="280"/>
      </w:pPr>
      <w:r>
        <w:rPr>
          <w:rFonts w:ascii="Calibri" w:cs="Calibri" w:eastAsia="Calibri" w:hAnsi="Calibri"/>
          <w:b/>
          <w:bCs/>
          <w:color w:val="2E86C1"/>
          <w:sz w:val="25"/>
          <w:szCs w:val="25"/>
        </w:rPr>
        <w:t xml:space="preserve">4.1 Tesis Q1 preservada</w:t>
      </w:r>
    </w:p>
    <w:p>
      <w:pPr>
        <w:spacing w:after="120" w:line="300"/>
        <w:jc w:val="both"/>
      </w:pPr>
      <w:r>
        <w:rPr>
          <w:rFonts w:ascii="Calibri" w:cs="Calibri" w:eastAsia="Calibri" w:hAnsi="Calibri"/>
          <w:b w:val="false"/>
          <w:bCs w:val="false"/>
          <w:i w:val="false"/>
          <w:iCs w:val="false"/>
          <w:sz w:val="22"/>
          <w:szCs w:val="22"/>
        </w:rPr>
        <w:t xml:space="preserve">La afirmación central de la trilogía —que el cuadrante Q1 (alto GEE × alto IRA) concentra la máxima exposición OAEI bajo la inversión Insider-Outsider del régimen Agentic— se preserva bajo v3.0. La jerarquía Q1 &gt; Q4 &gt; Q3 ≈ Q2 se mantiene exactamente. Lo que cambia es la magnitud: la separación Q1-Q4 contrae de 11,4 a 5,2 puntos OAEI. Esta contracción refleja la separación apropiada que v3.0 implementa entre exposición tecnológica genuina (ITEA) y cualificación formal (GEE) — la separación v2.1 estaba inflada por la dominancia de GEE en el OAEI multiplicativo.</w:t>
      </w:r>
    </w:p>
    <w:p>
      <w:pPr>
        <w:pStyle w:val="Heading2"/>
        <w:spacing w:after="140" w:before="280"/>
      </w:pPr>
      <w:r>
        <w:rPr>
          <w:rFonts w:ascii="Calibri" w:cs="Calibri" w:eastAsia="Calibri" w:hAnsi="Calibri"/>
          <w:b/>
          <w:bCs/>
          <w:color w:val="2E86C1"/>
          <w:sz w:val="25"/>
          <w:szCs w:val="25"/>
        </w:rPr>
        <w:t xml:space="preserve">4.2 Top-20 sustantivamente reordenado</w:t>
      </w:r>
    </w:p>
    <w:p>
      <w:pPr>
        <w:spacing w:after="120" w:line="300"/>
        <w:jc w:val="both"/>
      </w:pPr>
      <w:r>
        <w:rPr>
          <w:rFonts w:ascii="Calibri" w:cs="Calibri" w:eastAsia="Calibri" w:hAnsi="Calibri"/>
          <w:b w:val="false"/>
          <w:bCs w:val="false"/>
          <w:i w:val="false"/>
          <w:iCs w:val="false"/>
          <w:sz w:val="22"/>
          <w:szCs w:val="22"/>
        </w:rPr>
        <w:t xml:space="preserve">El top-20 OAEI v3.0 retiene 11 de las 20 ocupaciones del v2.1 pero con reordenación significativa. El nuevo ranking está liderado por Pathologists (rank 1, frente a rank 5 en v2.1), Market Research Analysts (rank 2, frente a rank 12), Business Intelligence Analysts (entra en rank 3, no estaba en top 20), Credit Analysts (entra en rank 4) y Financial Quantitative Analysts (rank 6). Las ocupaciones que entran al top 20 son las verdaderamente correspondientes a las poblaciones que la trilogía describe teóricamente: analistas cuantitativos, especialistas diagnósticos médicos y perfiles de inteligencia analítica. Las ocupaciones que salen son mayoritariamente académicas (Political Scientists, Engineering Teachers, History Teachers, Sociology Teachers): tienen alta cualificación formal pero exposición específica al régimen Agentic más difusa.</w:t>
      </w:r>
    </w:p>
    <w:p>
      <w:pPr>
        <w:spacing w:after="120" w:line="300"/>
        <w:jc w:val="both"/>
      </w:pPr>
      <w:r>
        <w:rPr>
          <w:rFonts w:ascii="Calibri" w:cs="Calibri" w:eastAsia="Calibri" w:hAnsi="Calibri"/>
          <w:b w:val="false"/>
          <w:bCs w:val="false"/>
          <w:i w:val="false"/>
          <w:iCs w:val="false"/>
          <w:sz w:val="22"/>
          <w:szCs w:val="22"/>
        </w:rPr>
        <w:t xml:space="preserve">Para la trilogía esto es positivo. Las revisiones futuras (Paper 8A v2.3, Paper 8B v1.5) pueden citar ejemplos como Pathologists y Quantitative Analysts —ocupaciones inequívocamente alineadas con la teoría del régimen Agentic—en lugar de defender por qué Political Scientists encabezaba el ranking. La narrativa se vuelve más persuasiva.</w:t>
      </w:r>
    </w:p>
    <w:p>
      <w:pPr>
        <w:pStyle w:val="Heading2"/>
        <w:spacing w:after="140" w:before="280"/>
      </w:pPr>
      <w:r>
        <w:rPr>
          <w:rFonts w:ascii="Calibri" w:cs="Calibri" w:eastAsia="Calibri" w:hAnsi="Calibri"/>
          <w:b/>
          <w:bCs/>
          <w:color w:val="2E86C1"/>
          <w:sz w:val="25"/>
          <w:szCs w:val="25"/>
        </w:rPr>
        <w:t xml:space="preserve">4.3 Reconciliación de la cifra policy 2,97M vs 1,22M</w:t>
      </w:r>
    </w:p>
    <w:p>
      <w:pPr>
        <w:spacing w:after="120" w:line="300"/>
        <w:jc w:val="both"/>
      </w:pPr>
      <w:r>
        <w:rPr>
          <w:rFonts w:ascii="Calibri" w:cs="Calibri" w:eastAsia="Calibri" w:hAnsi="Calibri"/>
          <w:b w:val="false"/>
          <w:bCs w:val="false"/>
          <w:i w:val="false"/>
          <w:iCs w:val="false"/>
          <w:sz w:val="22"/>
          <w:szCs w:val="22"/>
        </w:rPr>
        <w:t xml:space="preserve">La trilogía v2.1 cita repetidamente 2,97 millones de trabajadores estadounidenses (1,8% del workforce) como población policy del top 20. El cálculo correcto sobre datos BLS OEWS 2023 desagregados ocupacionalmente arroja 1,22 millones (0,74%). La discrepancia se debe a que cuatro ocupaciones del top 20 (Industrial Ecologists, Astronomers, Animal Scientists, Investment Fund Managers) no están desagregadas individualmente en OEWS y aparecen con empleo cero. Adicionalmente, el caption del workbook anterior mencionaba «Software Developers + Market Research Analysts concentran 85%», pero Software Developers no estaba en el top 20 v2.1 — el dato granular muestra que MRA sola concentra el 71%. La v3.0 corrige ambas inconsistencias: cifra reportada 1,22M, ocupaciones del top 20 cuantificadas individualmente con notas claras sobre las cuatro con empleo no desagregado.</w:t>
      </w:r>
    </w:p>
    <w:p>
      <w:pPr>
        <w:pStyle w:val="Heading1"/>
        <w:spacing w:after="200" w:before="360"/>
      </w:pPr>
      <w:r>
        <w:rPr>
          <w:rFonts w:ascii="Calibri" w:cs="Calibri" w:eastAsia="Calibri" w:hAnsi="Calibri"/>
          <w:b/>
          <w:bCs/>
          <w:color w:val="1B4F72"/>
          <w:sz w:val="30"/>
          <w:szCs w:val="30"/>
        </w:rPr>
        <w:t xml:space="preserve">5. Estabilidad cross-version v2.1 → v3.0</w:t>
      </w:r>
    </w:p>
    <w:p>
      <w:pPr>
        <w:spacing w:after="100"/>
      </w:pPr>
      <w:r>
        <w:t xml:space="preserve"/>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4000"/>
      </w:tblGrid>
      <w:tr>
        <w:trPr>
          <w:tblHeader/>
        </w:trPr>
        <w:tc>
          <w:tcPr>
            <w:tcW w:type="dxa" w:w="3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Indicador</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 Pearson</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ρ Spearman</w:t>
            </w:r>
          </w:p>
        </w:tc>
        <w:tc>
          <w:tcPr>
            <w:tcW w:type="dxa" w:w="4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Interpretación</w:t>
            </w:r>
          </w:p>
        </w:tc>
      </w:tr>
      <w:tr>
        <w:tc>
          <w:tcPr>
            <w:tcW w:type="dxa" w:w="3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ITEA Global</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+0,83</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+0,80</w:t>
            </w:r>
          </w:p>
        </w:tc>
        <w:tc>
          <w:tcPr>
            <w:tcW w:type="dxa" w:w="4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Estabilidad moderada — revisión mayor</w:t>
            </w:r>
          </w:p>
        </w:tc>
      </w:tr>
      <w:tr>
        <w:tc>
          <w:tcPr>
            <w:tcW w:type="dxa" w:w="3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IRA</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+0,999</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+0,995</w:t>
            </w:r>
          </w:p>
        </w:tc>
        <w:tc>
          <w:tcPr>
            <w:tcW w:type="dxa" w:w="4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Estabilidad muy alta — refinamiento puro</w:t>
            </w:r>
          </w:p>
        </w:tc>
      </w:tr>
      <w:tr>
        <w:tc>
          <w:tcPr>
            <w:tcW w:type="dxa" w:w="3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OAEI multiplicativo</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+0,93</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+0,95</w:t>
            </w:r>
          </w:p>
        </w:tc>
        <w:tc>
          <w:tcPr>
            <w:tcW w:type="dxa" w:w="4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Ranking estable — reordenación parcial</w:t>
            </w:r>
          </w:p>
        </w:tc>
      </w:tr>
      <w:tr>
        <w:tc>
          <w:tcPr>
            <w:tcW w:type="dxa" w:w="3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AEI</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1,00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1,00</w:t>
            </w:r>
          </w:p>
        </w:tc>
        <w:tc>
          <w:tcPr>
            <w:tcW w:type="dxa" w:w="4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Sin cambios</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La estabilidad cross-version es elevada pese a tratarse de una revisión mayor. IRA cambia muy poco numéricamente (r = 0,999) porque la residualización triple refina sin modificar el contenido informativo esencial. OAEI mantiene ranking muy estable (ρ = 0,95) — solo 9 de 20 ocupaciones del top 20 cambian, y la mayoría por menos de cinco posiciones. ITEA muestra estabilidad moderada (r = 0,83) porque la tipificación z-score cambia magnitudes preservando el orden relativo.</w:t>
      </w:r>
    </w:p>
    <w:p>
      <w:pPr>
        <w:spacing w:after="120" w:line="300"/>
        <w:jc w:val="both"/>
      </w:pPr>
      <w:r>
        <w:rPr>
          <w:rFonts w:ascii="Calibri" w:cs="Calibri" w:eastAsia="Calibri" w:hAnsi="Calibri"/>
          <w:b w:val="false"/>
          <w:bCs w:val="false"/>
          <w:i w:val="false"/>
          <w:iCs w:val="false"/>
          <w:sz w:val="22"/>
          <w:szCs w:val="22"/>
        </w:rPr>
        <w:t xml:space="preserve">Esta estabilidad permite que la trilogía actual circule con datos v2.1 sin urgencia de revisión inmediata. Frente a un revisor que pregunte por la robustez de los hallazgos a la versión del framework, se puede citar la presente validación cruzada como evidencia.</w:t>
      </w:r>
    </w:p>
    <w:p>
      <w:pPr>
        <w:pStyle w:val="Heading1"/>
        <w:spacing w:after="200" w:before="360"/>
      </w:pPr>
      <w:r>
        <w:rPr>
          <w:rFonts w:ascii="Calibri" w:cs="Calibri" w:eastAsia="Calibri" w:hAnsi="Calibri"/>
          <w:b/>
          <w:bCs/>
          <w:color w:val="1B4F72"/>
          <w:sz w:val="30"/>
          <w:szCs w:val="30"/>
        </w:rPr>
        <w:t xml:space="preserve">6. Recomendaciones operativas</w:t>
      </w:r>
    </w:p>
    <w:p>
      <w:pPr>
        <w:spacing w:after="120" w:line="300"/>
        <w:jc w:val="both"/>
      </w:pPr>
      <w:r>
        <w:rPr>
          <w:rFonts w:ascii="Calibri" w:cs="Calibri" w:eastAsia="Calibri" w:hAnsi="Calibri"/>
          <w:b w:val="false"/>
          <w:bCs w:val="false"/>
          <w:i w:val="false"/>
          <w:iCs w:val="false"/>
          <w:sz w:val="22"/>
          <w:szCs w:val="22"/>
        </w:rPr>
        <w:t xml:space="preserve">Para análisis ya enviados o publicados (Paper 8A v2.2, Paper 8B v1.4): mantener los datos v2.1 actuales y citar la presente revisión como nota metodológica de robustez. La estabilidad cross-version r(OAEI v2.1, OAEI v3.0) = 0,93 / ρ Spearman = 0,95 garantiza que los hallazgos centrales son invariantes a la versión del framework.</w:t>
      </w:r>
    </w:p>
    <w:p>
      <w:pPr>
        <w:spacing w:after="120" w:line="300"/>
        <w:jc w:val="both"/>
      </w:pPr>
      <w:r>
        <w:rPr>
          <w:rFonts w:ascii="Calibri" w:cs="Calibri" w:eastAsia="Calibri" w:hAnsi="Calibri"/>
          <w:b w:val="false"/>
          <w:bCs w:val="false"/>
          <w:i w:val="false"/>
          <w:iCs w:val="false"/>
          <w:sz w:val="22"/>
          <w:szCs w:val="22"/>
        </w:rPr>
        <w:t xml:space="preserve">Para nuevos análisis: utilizar v3.0 como base predeterminada. La elección entre OAEI v3.0 multiplicativo (canónico, compatible trilogía) y OAEI v3.0+ aditivo (mejor validez de criterio) depende del caso de uso, según la tabla de selección documentada en el documento metodológico inglés.</w:t>
      </w:r>
    </w:p>
    <w:p>
      <w:pPr>
        <w:spacing w:after="120" w:line="300"/>
        <w:jc w:val="both"/>
      </w:pPr>
      <w:r>
        <w:rPr>
          <w:rFonts w:ascii="Calibri" w:cs="Calibri" w:eastAsia="Calibri" w:hAnsi="Calibri"/>
          <w:b w:val="false"/>
          <w:bCs w:val="false"/>
          <w:i w:val="false"/>
          <w:iCs w:val="false"/>
          <w:sz w:val="22"/>
          <w:szCs w:val="22"/>
        </w:rPr>
        <w:t xml:space="preserve">Para la siguiente ola de papers (Paper 8A v2.3, Paper 8B v1.5): incorporar v3.0 como dato base, actualizar el top 20 con las ocupaciones del nuevo ranking, corregir la cifra policy a 1,22M, y citar la presente revisión metodológica como justificación. La narrativa puede beneficiarse del hecho de que el nuevo top 20 es más coherente con la teoría central de la trilogía.</w:t>
      </w:r>
    </w:p>
    <w:p>
      <w:pPr>
        <w:spacing w:after="120" w:line="300"/>
        <w:jc w:val="both"/>
      </w:pPr>
      <w:r>
        <w:rPr>
          <w:rFonts w:ascii="Calibri" w:cs="Calibri" w:eastAsia="Calibri" w:hAnsi="Calibri"/>
          <w:b w:val="false"/>
          <w:bCs w:val="false"/>
          <w:i w:val="false"/>
          <w:iCs w:val="false"/>
          <w:sz w:val="22"/>
          <w:szCs w:val="22"/>
        </w:rPr>
        <w:t xml:space="preserve">Para investigación longitudinal cross-version: ambos workbooks (v2.1 y v3.0) coexisten como bases de seguimiento. La estabilidad de ranking permite trayectorias ocupacionales interpretables a través de versiones; las magnitudes absolutas cambian pero el orden se preserva en el 95% de las ocupaciones.</w:t>
      </w:r>
    </w:p>
    <w:p>
      <w:pPr>
        <w:pStyle w:val="Heading1"/>
        <w:spacing w:after="200" w:before="360"/>
      </w:pPr>
      <w:r>
        <w:rPr>
          <w:rFonts w:ascii="Calibri" w:cs="Calibri" w:eastAsia="Calibri" w:hAnsi="Calibri"/>
          <w:b/>
          <w:bCs/>
          <w:color w:val="1B4F72"/>
          <w:sz w:val="30"/>
          <w:szCs w:val="30"/>
        </w:rPr>
        <w:t xml:space="preserve">7. Entregables producidos en esta revisión</w:t>
      </w:r>
    </w:p>
    <w:p>
      <w:pPr>
        <w:spacing w:after="100"/>
      </w:pPr>
      <w:r>
        <w:t xml:space="preserve"/>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4000"/>
        <w:gridCol w:w="7000"/>
      </w:tblGrid>
      <w:tr>
        <w:trPr>
          <w:tblHeader/>
        </w:trPr>
        <w:tc>
          <w:tcPr>
            <w:tcW w:type="dxa" w:w="4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Entregable</w:t>
            </w:r>
          </w:p>
        </w:tc>
        <w:tc>
          <w:tcPr>
            <w:tcW w:type="dxa" w:w="7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Descripción</w:t>
            </w:r>
          </w:p>
        </w:tc>
      </w:tr>
      <w:tr>
        <w:tc>
          <w:tcPr>
            <w:tcW w:type="dxa" w:w="4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ITEA_v3.0_Workbook.xlsx</w:t>
            </w:r>
          </w:p>
        </w:tc>
        <w:tc>
          <w:tcPr>
            <w:tcW w:type="dxa" w:w="7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12 hojas: README, ITEA_INDICATORS (1.016 ocupaciones × 27 campos con baseline v2.1 + columnas v3.0 + AIOE), VALIDATION (8 criterios), CHANGES_DIAGNOSIS (evidencia diagnóstica), QUADRANT, TOP20, SECTORIAL, AIOE_CONVERGENCE, CROSS_VERSION, METHODOLOGY, MIGRATION_GUIDE, LIMITATIONS.</w:t>
            </w:r>
          </w:p>
        </w:tc>
      </w:tr>
      <w:tr>
        <w:tc>
          <w:tcPr>
            <w:tcW w:type="dxa" w:w="4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ITEA_Methodology_v3_0_EN.docx</w:t>
            </w:r>
          </w:p>
        </w:tc>
        <w:tc>
          <w:tcPr>
            <w:tcW w:type="dxa" w:w="7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Documento metodológico completo en inglés. 10 capítulos. Especificaciones formales, validación detallada, implementaciones de referencia en Python y R, sección de limitaciones, agenda v4.0.</w:t>
            </w:r>
          </w:p>
        </w:tc>
      </w:tr>
      <w:tr>
        <w:tc>
          <w:tcPr>
            <w:tcW w:type="dxa" w:w="4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Memo ejecutivo v3.0 (este documento)</w:t>
            </w:r>
          </w:p>
        </w:tc>
        <w:tc>
          <w:tcPr>
            <w:tcW w:type="dxa" w:w="7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Síntesis ejecutiva en castellano. Decisiones clave, resultados, implicaciones para la trilogía, recomendaciones operativas. Suplemento del documento metodológico inglés, no sustituto.</w:t>
            </w:r>
          </w:p>
        </w:tc>
      </w:tr>
    </w:tbl>
    <w:p>
      <w:pPr>
        <w:spacing w:after="100"/>
      </w:pPr>
      <w:r>
        <w:t xml:space="preserve"/>
      </w:r>
    </w:p>
    <w:p>
      <w:pPr>
        <w:spacing w:after="100"/>
      </w:pPr>
      <w:r>
        <w:t xml:space="preserve"/>
      </w:r>
    </w:p>
    <w:p>
      <w:pPr>
        <w:spacing w:before="300"/>
        <w:jc w:val="center"/>
      </w:pPr>
      <w:r>
        <w:rPr>
          <w:rFonts w:ascii="Calibri" w:cs="Calibri" w:eastAsia="Calibri" w:hAnsi="Calibri"/>
          <w:b/>
          <w:bCs/>
          <w:i/>
          <w:iCs/>
          <w:sz w:val="22"/>
          <w:szCs w:val="22"/>
        </w:rPr>
        <w:t xml:space="preserve">Fin del memorándum metodológico v3.0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Página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de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ITEA v3.0 Memo — García-Lluis Valencia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F72"/>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86C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v3.0 — Memo ejecutivo en castellano</dc:title>
  <dc:creator>Alberto García-Lluis Valencia</dc:creator>
  <dc:description>Memorándum metodológico de la revisión v2.1 → v3.0</dc:description>
  <cp:lastModifiedBy>Un-named</cp:lastModifiedBy>
  <cp:revision>1</cp:revision>
  <dcterms:created xsi:type="dcterms:W3CDTF">2026-04-30T08:02:05.445Z</dcterms:created>
  <dcterms:modified xsi:type="dcterms:W3CDTF">2026-04-30T08:02:05.446Z</dcterms:modified>
</cp:coreProperties>
</file>

<file path=docProps/custom.xml><?xml version="1.0" encoding="utf-8"?>
<Properties xmlns="http://schemas.openxmlformats.org/officeDocument/2006/custom-properties" xmlns:vt="http://schemas.openxmlformats.org/officeDocument/2006/docPropsVTypes"/>
</file>