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rFonts w:ascii="Calibri" w:cs="Calibri" w:eastAsia="Calibri" w:hAnsi="Calibri"/>
          <w:b/>
          <w:bCs/>
          <w:color w:val="1B4F72"/>
          <w:sz w:val="44"/>
          <w:szCs w:val="44"/>
        </w:rPr>
        <w:t xml:space="preserve">ITEA FRAMEWORK v3.0</w:t>
      </w:r>
    </w:p>
    <w:p>
      <w:pPr>
        <w:spacing w:after="300"/>
        <w:jc w:val="center"/>
      </w:pPr>
      <w:r>
        <w:rPr>
          <w:rFonts w:ascii="Calibri" w:cs="Calibri" w:eastAsia="Calibri" w:hAnsi="Calibri"/>
          <w:i/>
          <w:iCs/>
          <w:sz w:val="30"/>
          <w:szCs w:val="30"/>
        </w:rPr>
        <w:t xml:space="preserve">Triple Index of Exposure to Automation</w:t>
      </w:r>
    </w:p>
    <w:p>
      <w:pPr>
        <w:spacing w:after="120"/>
        <w:jc w:val="center"/>
      </w:pPr>
      <w:r>
        <w:rPr>
          <w:rFonts w:ascii="Calibri" w:cs="Calibri" w:eastAsia="Calibri" w:hAnsi="Calibri"/>
          <w:b/>
          <w:bCs/>
          <w:sz w:val="24"/>
          <w:szCs w:val="24"/>
        </w:rPr>
        <w:t xml:space="preserve">Methodological Document — Major Revision</w:t>
      </w:r>
    </w:p>
    <w:p>
      <w:pPr>
        <w:spacing w:after="60"/>
        <w:jc w:val="center"/>
      </w:pPr>
      <w:r>
        <w:rPr>
          <w:rFonts w:ascii="Calibri" w:cs="Calibri" w:eastAsia="Calibri" w:hAnsi="Calibri"/>
          <w:i/>
          <w:iCs/>
          <w:sz w:val="20"/>
          <w:szCs w:val="20"/>
        </w:rPr>
        <w:t xml:space="preserve">10 indicators · 1,016 occupations · O*NET 30.2</w:t>
      </w:r>
    </w:p>
    <w:p>
      <w:pPr>
        <w:spacing w:after="60"/>
        <w:jc w:val="center"/>
      </w:pPr>
      <w:r>
        <w:rPr>
          <w:rFonts w:ascii="Calibri" w:cs="Calibri" w:eastAsia="Calibri" w:hAnsi="Calibri"/>
          <w:i/>
          <w:iCs/>
          <w:sz w:val="20"/>
          <w:szCs w:val="20"/>
        </w:rPr>
        <w:t xml:space="preserve">Effective N = 878 occupations for OAEI v3.0; N = 846 for full validation matrix</w:t>
      </w:r>
    </w:p>
    <w:p>
      <w:pPr>
        <w:spacing w:before="720"/>
      </w:pPr>
      <w:r>
        <w:t xml:space="preserve"/>
      </w:r>
    </w:p>
    <w:p>
      <w:pPr>
        <w:spacing w:after="100"/>
        <w:jc w:val="center"/>
      </w:pPr>
      <w:r>
        <w:rPr>
          <w:rFonts w:ascii="Calibri" w:cs="Calibri" w:eastAsia="Calibri" w:hAnsi="Calibri"/>
          <w:b/>
          <w:bCs/>
          <w:sz w:val="24"/>
          <w:szCs w:val="24"/>
        </w:rPr>
        <w:t xml:space="preserve">Author: Alberto García-Lluis Valencia</w:t>
      </w:r>
    </w:p>
    <w:p>
      <w:pPr>
        <w:spacing w:after="60"/>
        <w:jc w:val="center"/>
      </w:pPr>
      <w:r>
        <w:rPr>
          <w:rFonts w:ascii="Calibri" w:cs="Calibri" w:eastAsia="Calibri" w:hAnsi="Calibri"/>
          <w:sz w:val="22"/>
          <w:szCs w:val="22"/>
        </w:rPr>
        <w:t xml:space="preserve">Universidad Rey Juan Carlos</w:t>
      </w:r>
    </w:p>
    <w:p>
      <w:pPr>
        <w:spacing w:after="60"/>
        <w:jc w:val="center"/>
      </w:pPr>
      <w:r>
        <w:rPr>
          <w:rFonts w:ascii="Calibri" w:cs="Calibri" w:eastAsia="Calibri" w:hAnsi="Calibri"/>
          <w:i/>
          <w:iCs/>
          <w:sz w:val="22"/>
          <w:szCs w:val="22"/>
        </w:rPr>
        <w:t xml:space="preserve">ORCID: 0009-0003-1438-1633</w:t>
      </w:r>
    </w:p>
    <w:p>
      <w:pPr>
        <w:spacing w:after="60"/>
        <w:jc w:val="center"/>
      </w:pPr>
      <w:r>
        <w:rPr>
          <w:rFonts w:ascii="Calibri" w:cs="Calibri" w:eastAsia="Calibri" w:hAnsi="Calibri"/>
          <w:i/>
          <w:iCs/>
          <w:sz w:val="22"/>
          <w:szCs w:val="22"/>
        </w:rPr>
        <w:t xml:space="preserve">alb.valencia@gmail.com</w:t>
      </w:r>
    </w:p>
    <w:p>
      <w:pPr>
        <w:spacing w:before="600"/>
      </w:pPr>
      <w:r>
        <w:t xml:space="preserve"/>
      </w:r>
    </w:p>
    <w:p>
      <w:pPr>
        <w:spacing w:after="60"/>
        <w:jc w:val="center"/>
      </w:pPr>
      <w:r>
        <w:rPr>
          <w:rFonts w:ascii="Calibri" w:cs="Calibri" w:eastAsia="Calibri" w:hAnsi="Calibri"/>
          <w:i/>
          <w:iCs/>
          <w:sz w:val="22"/>
          <w:szCs w:val="22"/>
        </w:rPr>
        <w:t xml:space="preserve">Version 3.0 — April 2026</w:t>
      </w:r>
    </w:p>
    <w:p>
      <w:pPr>
        <w:spacing w:after="60"/>
        <w:jc w:val="center"/>
      </w:pPr>
      <w:r>
        <w:rPr>
          <w:rFonts w:ascii="Calibri" w:cs="Calibri" w:eastAsia="Calibri" w:hAnsi="Calibri"/>
          <w:i/>
          <w:iCs/>
          <w:color w:val="666666"/>
          <w:sz w:val="20"/>
          <w:szCs w:val="20"/>
        </w:rPr>
        <w:t xml:space="preserve">Supersedes ITEA Methodology v2.0 (April 2026) and Memorandum v2.1 (April 2026)</w:t>
      </w:r>
    </w:p>
    <w:p>
      <w:r>
        <w:br w:type="page"/>
      </w:r>
    </w:p>
    <w:p>
      <w:pPr>
        <w:pStyle w:val="Heading1"/>
        <w:spacing w:after="200" w:before="360"/>
      </w:pPr>
      <w:r>
        <w:rPr>
          <w:rFonts w:ascii="Calibri" w:cs="Calibri" w:eastAsia="Calibri" w:hAnsi="Calibri"/>
          <w:b/>
          <w:bCs/>
          <w:color w:val="1B4F72"/>
          <w:sz w:val="32"/>
          <w:szCs w:val="32"/>
        </w:rPr>
        <w:t xml:space="preserve">Abstract</w:t>
      </w:r>
    </w:p>
    <w:p>
      <w:pPr>
        <w:spacing w:after="120" w:line="300"/>
        <w:jc w:val="both"/>
      </w:pPr>
      <w:r>
        <w:rPr>
          <w:rFonts w:ascii="Calibri" w:cs="Calibri" w:eastAsia="Calibri" w:hAnsi="Calibri"/>
          <w:b w:val="false"/>
          <w:bCs w:val="false"/>
          <w:i w:val="false"/>
          <w:iCs w:val="false"/>
          <w:sz w:val="22"/>
          <w:szCs w:val="22"/>
        </w:rPr>
        <w:t xml:space="preserve">This document presents the v3.0 revision of the ITEA Framework, a multidimensional system for measuring occupational exposure to algorithmic expropriation under the Agentic AI regime. Version 3.0 is a major methodological revision that responds to component-level diagnostic findings on the validity of the v2.1 instrument, while preserving the conceptual foundations and source data of the prior version. Three structural changes are implemented:</w:t>
      </w:r>
    </w:p>
    <w:p>
      <w:pPr>
        <w:spacing w:after="120" w:line="300"/>
        <w:jc w:val="both"/>
      </w:pPr>
      <w:r>
        <w:rPr>
          <w:rFonts w:ascii="Calibri" w:cs="Calibri" w:eastAsia="Calibri" w:hAnsi="Calibri"/>
          <w:b w:val="false"/>
          <w:bCs w:val="false"/>
          <w:i w:val="false"/>
          <w:iCs w:val="false"/>
          <w:sz w:val="22"/>
          <w:szCs w:val="22"/>
        </w:rPr>
        <w:t xml:space="preserve">First, the ITEA aggregation is reformulated. Rather than averaging EAC, EIG and EIA components in their raw [0,1] space — which under the v2.1 specification produced systematic dilution of the EIA signal due to drastically different component variances and distributional pathologies — v3.0 z-score-normalises each component before equal-weight averaging, with a final min-max projection to [0,1]. The improvement is substantial: r(ITEA, AEI) rises from 0.71 to 0.89; r(ITEA, AIOE) — the convergent validity against the canonical Felten-Raj-Seamans (2021) benchmark — rises from 0.36 to 0.43.</w:t>
      </w:r>
    </w:p>
    <w:p>
      <w:pPr>
        <w:spacing w:after="120" w:line="300"/>
        <w:jc w:val="both"/>
      </w:pPr>
      <w:r>
        <w:rPr>
          <w:rFonts w:ascii="Calibri" w:cs="Calibri" w:eastAsia="Calibri" w:hAnsi="Calibri"/>
          <w:b w:val="false"/>
          <w:bCs w:val="false"/>
          <w:i w:val="false"/>
          <w:iCs w:val="false"/>
          <w:sz w:val="22"/>
          <w:szCs w:val="22"/>
        </w:rPr>
        <w:t xml:space="preserve">Second, the IRA construction adopts triple residualisation. The v2.1 specification residualised the IRO_v1.45 component against GEE only, leaving residual variance shared with ITEA (r=0.28) and ICT (r=0.10). The v3.0 specification residualises against the full set of structural moderators (GEE, ITEA, ICT), reducing r(IRA, ITEA) from 0.28 to 0.14 and r(IRA, ICT) from 0.10 to 0.06, with 84% of the original IRA variance preserved. This achieves clean discriminant validity across all three principal moderating dimensions.</w:t>
      </w:r>
    </w:p>
    <w:p>
      <w:pPr>
        <w:spacing w:after="120" w:line="300"/>
        <w:jc w:val="both"/>
      </w:pPr>
      <w:r>
        <w:rPr>
          <w:rFonts w:ascii="Calibri" w:cs="Calibri" w:eastAsia="Calibri" w:hAnsi="Calibri"/>
          <w:b w:val="false"/>
          <w:bCs w:val="false"/>
          <w:i w:val="false"/>
          <w:iCs w:val="false"/>
          <w:sz w:val="22"/>
          <w:szCs w:val="22"/>
        </w:rPr>
        <w:t xml:space="preserve">Third, the OAEI is provided in two variants. The canonical OAEI v3.0 preserves the multiplicative structure ITEA × GEE × ICT × (1−IPI) of v2.1 (with the upgraded ITEA input) for full backward compatibility with the trilogy of papers. An alternative OAEI v3.0+ additive variant — 0.5·GEE + 0.3·ITEA + 0.2·ICT·(1−IPI) — is introduced for criterion-validity-priority applications: it improves r(OAEI, Wage) from 0.58 to 0.66 and preserves r(OAEI, AIOE) at 0.80 (against the multiplicative variant's 0.77). The dual-variant approach enables migration without forcing immediate updates to the published trilogy.</w:t>
      </w:r>
    </w:p>
    <w:p>
      <w:pPr>
        <w:spacing w:after="120" w:line="300"/>
        <w:jc w:val="both"/>
      </w:pPr>
      <w:r>
        <w:rPr>
          <w:rFonts w:ascii="Calibri" w:cs="Calibri" w:eastAsia="Calibri" w:hAnsi="Calibri"/>
          <w:b w:val="false"/>
          <w:bCs w:val="false"/>
          <w:i w:val="false"/>
          <w:iCs w:val="false"/>
          <w:sz w:val="22"/>
          <w:szCs w:val="22"/>
        </w:rPr>
        <w:t xml:space="preserve">The empirical thesis of the trilogy — that the Q1 quadrant (high GEE × high IRA) concentrates the maximum OAEI under the Insider-Outsider inversion characteristic of the Agentic regime — is preserved under v3.0, although the absolute magnitude of the Q1-Q4 separation contracts from 11.4 to 5.2 OAEI points. This contraction reflects the appropriate disentangling of true technological exposure (ITEA) from formal qualification (GEE) that v3.0 implements. The new top-20 OAEI ranking, while preserving 11 of 20 occupations from v2.1, is qualitatively more aligned with the trilogy theoretical claim: it is led by Pathologists, Market Research Analysts, Business Intelligence Analysts, Credit Analysts, and Quantitative Financial Analysts — the chemically pure populations of the Agentic crystallisation phenomenon.</w:t>
      </w:r>
    </w:p>
    <w:p>
      <w:pPr>
        <w:spacing w:after="100"/>
      </w:pPr>
      <w:r>
        <w:t xml:space="preserve"/>
      </w:r>
    </w:p>
    <w:p>
      <w:pPr>
        <w:spacing w:after="120" w:line="300"/>
        <w:jc w:val="both"/>
      </w:pPr>
      <w:r>
        <w:rPr>
          <w:rFonts w:ascii="Calibri" w:cs="Calibri" w:eastAsia="Calibri" w:hAnsi="Calibri"/>
          <w:b/>
          <w:bCs/>
          <w:i w:val="false"/>
          <w:iCs w:val="false"/>
          <w:sz w:val="22"/>
          <w:szCs w:val="22"/>
        </w:rPr>
        <w:t xml:space="preserve">Keywords: </w:t>
      </w:r>
      <w:r>
        <w:rPr>
          <w:rFonts w:ascii="Calibri" w:cs="Calibri" w:eastAsia="Calibri" w:hAnsi="Calibri"/>
          <w:b w:val="false"/>
          <w:bCs w:val="false"/>
          <w:i w:val="false"/>
          <w:iCs w:val="false"/>
          <w:sz w:val="22"/>
          <w:szCs w:val="22"/>
        </w:rPr>
        <w:t xml:space="preserve">ITEA Framework; algorithmic expropriation; Agentic AI; occupational exposure; psychometric validation; convergent validity; discriminant validity; triple residualisation; AIOE benchmark; O*NET 30.2.</w:t>
      </w:r>
    </w:p>
    <w:p>
      <w:r>
        <w:br w:type="page"/>
      </w:r>
    </w:p>
    <w:p>
      <w:pPr>
        <w:pStyle w:val="Heading1"/>
        <w:spacing w:after="200" w:before="360"/>
      </w:pPr>
      <w:r>
        <w:rPr>
          <w:rFonts w:ascii="Calibri" w:cs="Calibri" w:eastAsia="Calibri" w:hAnsi="Calibri"/>
          <w:b/>
          <w:bCs/>
          <w:color w:val="1B4F72"/>
          <w:sz w:val="32"/>
          <w:szCs w:val="32"/>
        </w:rPr>
        <w:t xml:space="preserve">Table of Contents</w:t>
      </w:r>
    </w:p>
    <w:p>
      <w:pPr>
        <w:spacing w:after="60"/>
        <w:ind w:left="0"/>
        <w:jc w:val="left"/>
      </w:pPr>
      <w:r>
        <w:rPr>
          <w:rFonts w:ascii="Calibri" w:cs="Calibri" w:eastAsia="Calibri" w:hAnsi="Calibri"/>
          <w:sz w:val="22"/>
          <w:szCs w:val="22"/>
        </w:rPr>
        <w:t xml:space="preserve">1. Introduction — Why a v3.0 was Required</w:t>
      </w:r>
    </w:p>
    <w:p>
      <w:pPr>
        <w:spacing w:after="60"/>
        <w:ind w:left="540"/>
        <w:jc w:val="left"/>
      </w:pPr>
      <w:r>
        <w:rPr>
          <w:rFonts w:ascii="Calibri" w:cs="Calibri" w:eastAsia="Calibri" w:hAnsi="Calibri"/>
          <w:sz w:val="22"/>
          <w:szCs w:val="22"/>
        </w:rPr>
        <w:t xml:space="preserve">    1.1 Diagnostic findings on the v2.1 instrument</w:t>
      </w:r>
    </w:p>
    <w:p>
      <w:pPr>
        <w:spacing w:after="60"/>
        <w:ind w:left="540"/>
        <w:jc w:val="left"/>
      </w:pPr>
      <w:r>
        <w:rPr>
          <w:rFonts w:ascii="Calibri" w:cs="Calibri" w:eastAsia="Calibri" w:hAnsi="Calibri"/>
          <w:sz w:val="22"/>
          <w:szCs w:val="22"/>
        </w:rPr>
        <w:t xml:space="preserve">    1.2 Decision criteria for major revision</w:t>
      </w:r>
    </w:p>
    <w:p>
      <w:pPr>
        <w:spacing w:after="60"/>
        <w:ind w:left="540"/>
        <w:jc w:val="left"/>
      </w:pPr>
      <w:r>
        <w:rPr>
          <w:rFonts w:ascii="Calibri" w:cs="Calibri" w:eastAsia="Calibri" w:hAnsi="Calibri"/>
          <w:sz w:val="22"/>
          <w:szCs w:val="22"/>
        </w:rPr>
        <w:t xml:space="preserve">    1.3 Document scope and relation to v2.0 and v2.1</w:t>
      </w:r>
    </w:p>
    <w:p>
      <w:pPr>
        <w:spacing w:after="60"/>
        <w:ind w:left="0"/>
        <w:jc w:val="left"/>
      </w:pPr>
      <w:r>
        <w:rPr>
          <w:rFonts w:ascii="Calibri" w:cs="Calibri" w:eastAsia="Calibri" w:hAnsi="Calibri"/>
          <w:sz w:val="22"/>
          <w:szCs w:val="22"/>
        </w:rPr>
        <w:t xml:space="preserve">2. ITEA v3.0 — Reformulated Aggregation</w:t>
      </w:r>
    </w:p>
    <w:p>
      <w:pPr>
        <w:spacing w:after="60"/>
        <w:ind w:left="540"/>
        <w:jc w:val="left"/>
      </w:pPr>
      <w:r>
        <w:rPr>
          <w:rFonts w:ascii="Calibri" w:cs="Calibri" w:eastAsia="Calibri" w:hAnsi="Calibri"/>
          <w:sz w:val="22"/>
          <w:szCs w:val="22"/>
        </w:rPr>
        <w:t xml:space="preserve">    2.1 Diagnostic of the v2.1 problem</w:t>
      </w:r>
    </w:p>
    <w:p>
      <w:pPr>
        <w:spacing w:after="60"/>
        <w:ind w:left="540"/>
        <w:jc w:val="left"/>
      </w:pPr>
      <w:r>
        <w:rPr>
          <w:rFonts w:ascii="Calibri" w:cs="Calibri" w:eastAsia="Calibri" w:hAnsi="Calibri"/>
          <w:sz w:val="22"/>
          <w:szCs w:val="22"/>
        </w:rPr>
        <w:t xml:space="preserve">    2.2 Mathematical formulation v3.0</w:t>
      </w:r>
    </w:p>
    <w:p>
      <w:pPr>
        <w:spacing w:after="60"/>
        <w:ind w:left="540"/>
        <w:jc w:val="left"/>
      </w:pPr>
      <w:r>
        <w:rPr>
          <w:rFonts w:ascii="Calibri" w:cs="Calibri" w:eastAsia="Calibri" w:hAnsi="Calibri"/>
          <w:sz w:val="22"/>
          <w:szCs w:val="22"/>
        </w:rPr>
        <w:t xml:space="preserve">    2.3 Validation results</w:t>
      </w:r>
    </w:p>
    <w:p>
      <w:pPr>
        <w:spacing w:after="60"/>
        <w:ind w:left="540"/>
        <w:jc w:val="left"/>
      </w:pPr>
      <w:r>
        <w:rPr>
          <w:rFonts w:ascii="Calibri" w:cs="Calibri" w:eastAsia="Calibri" w:hAnsi="Calibri"/>
          <w:sz w:val="22"/>
          <w:szCs w:val="22"/>
        </w:rPr>
        <w:t xml:space="preserve">    2.4 Implementation</w:t>
      </w:r>
    </w:p>
    <w:p>
      <w:pPr>
        <w:spacing w:after="60"/>
        <w:ind w:left="0"/>
        <w:jc w:val="left"/>
      </w:pPr>
      <w:r>
        <w:rPr>
          <w:rFonts w:ascii="Calibri" w:cs="Calibri" w:eastAsia="Calibri" w:hAnsi="Calibri"/>
          <w:sz w:val="22"/>
          <w:szCs w:val="22"/>
        </w:rPr>
        <w:t xml:space="preserve">3. IRA v3.0 — Triple Residualisation</w:t>
      </w:r>
    </w:p>
    <w:p>
      <w:pPr>
        <w:spacing w:after="60"/>
        <w:ind w:left="540"/>
        <w:jc w:val="left"/>
      </w:pPr>
      <w:r>
        <w:rPr>
          <w:rFonts w:ascii="Calibri" w:cs="Calibri" w:eastAsia="Calibri" w:hAnsi="Calibri"/>
          <w:sz w:val="22"/>
          <w:szCs w:val="22"/>
        </w:rPr>
        <w:t xml:space="preserve">    3.1 Diagnostic of the v2.1 problem</w:t>
      </w:r>
    </w:p>
    <w:p>
      <w:pPr>
        <w:spacing w:after="60"/>
        <w:ind w:left="540"/>
        <w:jc w:val="left"/>
      </w:pPr>
      <w:r>
        <w:rPr>
          <w:rFonts w:ascii="Calibri" w:cs="Calibri" w:eastAsia="Calibri" w:hAnsi="Calibri"/>
          <w:sz w:val="22"/>
          <w:szCs w:val="22"/>
        </w:rPr>
        <w:t xml:space="preserve">    3.2 Mathematical formulation v3.0</w:t>
      </w:r>
    </w:p>
    <w:p>
      <w:pPr>
        <w:spacing w:after="60"/>
        <w:ind w:left="540"/>
        <w:jc w:val="left"/>
      </w:pPr>
      <w:r>
        <w:rPr>
          <w:rFonts w:ascii="Calibri" w:cs="Calibri" w:eastAsia="Calibri" w:hAnsi="Calibri"/>
          <w:sz w:val="22"/>
          <w:szCs w:val="22"/>
        </w:rPr>
        <w:t xml:space="preserve">    3.3 Validation results</w:t>
      </w:r>
    </w:p>
    <w:p>
      <w:pPr>
        <w:spacing w:after="60"/>
        <w:ind w:left="540"/>
        <w:jc w:val="left"/>
      </w:pPr>
      <w:r>
        <w:rPr>
          <w:rFonts w:ascii="Calibri" w:cs="Calibri" w:eastAsia="Calibri" w:hAnsi="Calibri"/>
          <w:sz w:val="22"/>
          <w:szCs w:val="22"/>
        </w:rPr>
        <w:t xml:space="preserve">    3.4 Implementation</w:t>
      </w:r>
    </w:p>
    <w:p>
      <w:pPr>
        <w:spacing w:after="60"/>
        <w:ind w:left="0"/>
        <w:jc w:val="left"/>
      </w:pPr>
      <w:r>
        <w:rPr>
          <w:rFonts w:ascii="Calibri" w:cs="Calibri" w:eastAsia="Calibri" w:hAnsi="Calibri"/>
          <w:sz w:val="22"/>
          <w:szCs w:val="22"/>
        </w:rPr>
        <w:t xml:space="preserve">4. OAEI v3.0 — Dual-Variant Architecture</w:t>
      </w:r>
    </w:p>
    <w:p>
      <w:pPr>
        <w:spacing w:after="60"/>
        <w:ind w:left="540"/>
        <w:jc w:val="left"/>
      </w:pPr>
      <w:r>
        <w:rPr>
          <w:rFonts w:ascii="Calibri" w:cs="Calibri" w:eastAsia="Calibri" w:hAnsi="Calibri"/>
          <w:sz w:val="22"/>
          <w:szCs w:val="22"/>
        </w:rPr>
        <w:t xml:space="preserve">    4.1 OAEI v3.0 (canonical multiplicative)</w:t>
      </w:r>
    </w:p>
    <w:p>
      <w:pPr>
        <w:spacing w:after="60"/>
        <w:ind w:left="540"/>
        <w:jc w:val="left"/>
      </w:pPr>
      <w:r>
        <w:rPr>
          <w:rFonts w:ascii="Calibri" w:cs="Calibri" w:eastAsia="Calibri" w:hAnsi="Calibri"/>
          <w:sz w:val="22"/>
          <w:szCs w:val="22"/>
        </w:rPr>
        <w:t xml:space="preserve">    4.2 OAEI v3.0+ (alternative additive)</w:t>
      </w:r>
    </w:p>
    <w:p>
      <w:pPr>
        <w:spacing w:after="60"/>
        <w:ind w:left="540"/>
        <w:jc w:val="left"/>
      </w:pPr>
      <w:r>
        <w:rPr>
          <w:rFonts w:ascii="Calibri" w:cs="Calibri" w:eastAsia="Calibri" w:hAnsi="Calibri"/>
          <w:sz w:val="22"/>
          <w:szCs w:val="22"/>
        </w:rPr>
        <w:t xml:space="preserve">    4.3 Comparative validation</w:t>
      </w:r>
    </w:p>
    <w:p>
      <w:pPr>
        <w:spacing w:after="60"/>
        <w:ind w:left="540"/>
        <w:jc w:val="left"/>
      </w:pPr>
      <w:r>
        <w:rPr>
          <w:rFonts w:ascii="Calibri" w:cs="Calibri" w:eastAsia="Calibri" w:hAnsi="Calibri"/>
          <w:sz w:val="22"/>
          <w:szCs w:val="22"/>
        </w:rPr>
        <w:t xml:space="preserve">    4.4 Use case selection guide</w:t>
      </w:r>
    </w:p>
    <w:p>
      <w:pPr>
        <w:spacing w:after="60"/>
        <w:ind w:left="0"/>
        <w:jc w:val="left"/>
      </w:pPr>
      <w:r>
        <w:rPr>
          <w:rFonts w:ascii="Calibri" w:cs="Calibri" w:eastAsia="Calibri" w:hAnsi="Calibri"/>
          <w:sz w:val="22"/>
          <w:szCs w:val="22"/>
        </w:rPr>
        <w:t xml:space="preserve">5. Integrated Validation — Eight Psychometric Criteria</w:t>
      </w:r>
    </w:p>
    <w:p>
      <w:pPr>
        <w:spacing w:after="60"/>
        <w:ind w:left="0"/>
        <w:jc w:val="left"/>
      </w:pPr>
      <w:r>
        <w:rPr>
          <w:rFonts w:ascii="Calibri" w:cs="Calibri" w:eastAsia="Calibri" w:hAnsi="Calibri"/>
          <w:sz w:val="22"/>
          <w:szCs w:val="22"/>
        </w:rPr>
        <w:t xml:space="preserve">6. Empirical Implications for the Trilogy</w:t>
      </w:r>
    </w:p>
    <w:p>
      <w:pPr>
        <w:spacing w:after="60"/>
        <w:ind w:left="540"/>
        <w:jc w:val="left"/>
      </w:pPr>
      <w:r>
        <w:rPr>
          <w:rFonts w:ascii="Calibri" w:cs="Calibri" w:eastAsia="Calibri" w:hAnsi="Calibri"/>
          <w:sz w:val="22"/>
          <w:szCs w:val="22"/>
        </w:rPr>
        <w:t xml:space="preserve">    6.1 Q1 quadrant preservation</w:t>
      </w:r>
    </w:p>
    <w:p>
      <w:pPr>
        <w:spacing w:after="60"/>
        <w:ind w:left="540"/>
        <w:jc w:val="left"/>
      </w:pPr>
      <w:r>
        <w:rPr>
          <w:rFonts w:ascii="Calibri" w:cs="Calibri" w:eastAsia="Calibri" w:hAnsi="Calibri"/>
          <w:sz w:val="22"/>
          <w:szCs w:val="22"/>
        </w:rPr>
        <w:t xml:space="preserve">    6.2 Top-20 ranking transition</w:t>
      </w:r>
    </w:p>
    <w:p>
      <w:pPr>
        <w:spacing w:after="60"/>
        <w:ind w:left="540"/>
        <w:jc w:val="left"/>
      </w:pPr>
      <w:r>
        <w:rPr>
          <w:rFonts w:ascii="Calibri" w:cs="Calibri" w:eastAsia="Calibri" w:hAnsi="Calibri"/>
          <w:sz w:val="22"/>
          <w:szCs w:val="22"/>
        </w:rPr>
        <w:t xml:space="preserve">    6.3 Sectoral concentration changes</w:t>
      </w:r>
    </w:p>
    <w:p>
      <w:pPr>
        <w:spacing w:after="60"/>
        <w:ind w:left="0"/>
        <w:jc w:val="left"/>
      </w:pPr>
      <w:r>
        <w:rPr>
          <w:rFonts w:ascii="Calibri" w:cs="Calibri" w:eastAsia="Calibri" w:hAnsi="Calibri"/>
          <w:sz w:val="22"/>
          <w:szCs w:val="22"/>
        </w:rPr>
        <w:t xml:space="preserve">7. Cross-Version Stability and Migration</w:t>
      </w:r>
    </w:p>
    <w:p>
      <w:pPr>
        <w:spacing w:after="60"/>
        <w:ind w:left="0"/>
        <w:jc w:val="left"/>
      </w:pPr>
      <w:r>
        <w:rPr>
          <w:rFonts w:ascii="Calibri" w:cs="Calibri" w:eastAsia="Calibri" w:hAnsi="Calibri"/>
          <w:sz w:val="22"/>
          <w:szCs w:val="22"/>
        </w:rPr>
        <w:t xml:space="preserve">8. Acknowledged Limitations of v3.0</w:t>
      </w:r>
    </w:p>
    <w:p>
      <w:pPr>
        <w:spacing w:after="60"/>
        <w:ind w:left="0"/>
        <w:jc w:val="left"/>
      </w:pPr>
      <w:r>
        <w:rPr>
          <w:rFonts w:ascii="Calibri" w:cs="Calibri" w:eastAsia="Calibri" w:hAnsi="Calibri"/>
          <w:sz w:val="22"/>
          <w:szCs w:val="22"/>
        </w:rPr>
        <w:t xml:space="preserve">9. Future Work — Toward v4.0</w:t>
      </w:r>
    </w:p>
    <w:p>
      <w:pPr>
        <w:spacing w:after="60"/>
        <w:ind w:left="0"/>
        <w:jc w:val="left"/>
      </w:pPr>
      <w:r>
        <w:rPr>
          <w:rFonts w:ascii="Calibri" w:cs="Calibri" w:eastAsia="Calibri" w:hAnsi="Calibri"/>
          <w:sz w:val="22"/>
          <w:szCs w:val="22"/>
        </w:rPr>
        <w:t xml:space="preserve">10. References</w:t>
      </w:r>
    </w:p>
    <w:p>
      <w:r>
        <w:br w:type="page"/>
      </w:r>
    </w:p>
    <w:p>
      <w:pPr>
        <w:pStyle w:val="Heading1"/>
        <w:spacing w:after="200" w:before="360"/>
      </w:pPr>
      <w:r>
        <w:rPr>
          <w:rFonts w:ascii="Calibri" w:cs="Calibri" w:eastAsia="Calibri" w:hAnsi="Calibri"/>
          <w:b/>
          <w:bCs/>
          <w:color w:val="1B4F72"/>
          <w:sz w:val="32"/>
          <w:szCs w:val="32"/>
        </w:rPr>
        <w:t xml:space="preserve">1. Introduction — Why a v3.0 was Required</w:t>
      </w:r>
    </w:p>
    <w:p>
      <w:pPr>
        <w:pStyle w:val="Heading2"/>
        <w:spacing w:after="140" w:before="280"/>
      </w:pPr>
      <w:r>
        <w:rPr>
          <w:rFonts w:ascii="Calibri" w:cs="Calibri" w:eastAsia="Calibri" w:hAnsi="Calibri"/>
          <w:b/>
          <w:bCs/>
          <w:color w:val="2E86C1"/>
          <w:sz w:val="26"/>
          <w:szCs w:val="26"/>
        </w:rPr>
        <w:t xml:space="preserve">1.1 Diagnostic findings on the v2.1 instrument</w:t>
      </w:r>
    </w:p>
    <w:p>
      <w:pPr>
        <w:spacing w:after="120" w:line="300"/>
        <w:jc w:val="both"/>
      </w:pPr>
      <w:r>
        <w:rPr>
          <w:rFonts w:ascii="Calibri" w:cs="Calibri" w:eastAsia="Calibri" w:hAnsi="Calibri"/>
          <w:b w:val="false"/>
          <w:bCs w:val="false"/>
          <w:i w:val="false"/>
          <w:iCs w:val="false"/>
          <w:sz w:val="22"/>
          <w:szCs w:val="22"/>
        </w:rPr>
        <w:t xml:space="preserve">The ITEA Framework v2.0 (April 2026) and its data update v2.1 (memorandum, April 2026) established a multidimensional system for measuring occupational exposure to algorithmic expropriation under the Agentic AI regime. The instrument, anchored in 1,016 SOC 6-digit occupations from O*NET 30.2 and externally validated against the canonical AIOE benchmark of Felten, Raj and Seamans (2021), achieved an external convergent validity of r = 0.81 over 769 common occupations — comfortably above the psychometric standard for convergent validity.</w:t>
      </w:r>
    </w:p>
    <w:p>
      <w:pPr>
        <w:spacing w:after="120" w:line="300"/>
        <w:jc w:val="both"/>
      </w:pPr>
      <w:r>
        <w:rPr>
          <w:rFonts w:ascii="Calibri" w:cs="Calibri" w:eastAsia="Calibri" w:hAnsi="Calibri"/>
          <w:b w:val="false"/>
          <w:bCs w:val="false"/>
          <w:i w:val="false"/>
          <w:iCs w:val="false"/>
          <w:sz w:val="22"/>
          <w:szCs w:val="22"/>
        </w:rPr>
        <w:t xml:space="preserve">A subsequent component-level diagnostic, however, identified four issues whose joint magnitude crosses the threshold for a major revision rather than an incremental update. The diagnostic was not motivated by external criticism but by the author's own scrutiny of why r(ITEA, AIOE) at the composite level was 0.36, while r(EIA, AIOE) at the dominant-component level was 0.38. The expectation under a properly specified composite is that the composite exceeds any individual component; observing the opposite is a diagnostic signal.</w:t>
      </w:r>
    </w:p>
    <w:p>
      <w:pPr>
        <w:spacing w:after="120" w:line="300"/>
        <w:jc w:val="both"/>
      </w:pPr>
      <w:r>
        <w:rPr>
          <w:rFonts w:ascii="Calibri" w:cs="Calibri" w:eastAsia="Calibri" w:hAnsi="Calibri"/>
          <w:b w:val="false"/>
          <w:bCs w:val="false"/>
          <w:i w:val="false"/>
          <w:iCs w:val="false"/>
          <w:sz w:val="22"/>
          <w:szCs w:val="22"/>
        </w:rPr>
        <w:t xml:space="preserve">The four findings, ordered by severity:</w:t>
      </w:r>
    </w:p>
    <w:p>
      <w:pPr>
        <w:spacing w:after="100"/>
      </w:pPr>
      <w:r>
        <w:t xml:space="preserve"/>
      </w:r>
    </w:p>
    <w:p>
      <w:pPr>
        <w:spacing w:after="100" w:before="200"/>
        <w:jc w:val="center"/>
      </w:pPr>
      <w:r>
        <w:rPr>
          <w:rFonts w:ascii="Calibri" w:cs="Calibri" w:eastAsia="Calibri" w:hAnsi="Calibri"/>
          <w:b/>
          <w:bCs/>
          <w:i/>
          <w:iCs/>
          <w:sz w:val="20"/>
          <w:szCs w:val="20"/>
        </w:rPr>
        <w:t xml:space="preserve">Table 1.1 — Diagnostic findings motivating ITEA v3.0</w:t>
      </w:r>
    </w:p>
    <w:tbl>
      <w:tblPr>
        <w:tblW w:type="dxa" w:w="11400"/>
        <w:tblBorders>
          <w:top w:val="single" w:color="auto" w:sz="4"/>
          <w:left w:val="single" w:color="auto" w:sz="4"/>
          <w:bottom w:val="single" w:color="auto" w:sz="4"/>
          <w:right w:val="single" w:color="auto" w:sz="4"/>
          <w:insideH w:val="single" w:color="auto" w:sz="4"/>
          <w:insideV w:val="single" w:color="auto" w:sz="4"/>
        </w:tblBorders>
      </w:tblPr>
      <w:tblGrid>
        <w:gridCol w:w="600"/>
        <w:gridCol w:w="3500"/>
        <w:gridCol w:w="5800"/>
        <w:gridCol w:w="1500"/>
      </w:tblGrid>
      <w:tr>
        <w:trPr>
          <w:tblHeader/>
        </w:trPr>
        <w:tc>
          <w:tcPr>
            <w:tcW w:type="dxa" w:w="6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t>
            </w:r>
          </w:p>
        </w:tc>
        <w:tc>
          <w:tcPr>
            <w:tcW w:type="dxa" w:w="35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Finding</w:t>
            </w:r>
          </w:p>
        </w:tc>
        <w:tc>
          <w:tcPr>
            <w:tcW w:type="dxa" w:w="58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Evidence</w:t>
            </w:r>
          </w:p>
        </w:tc>
        <w:tc>
          <w:tcPr>
            <w:tcW w:type="dxa" w:w="15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Severity</w:t>
            </w:r>
          </w:p>
        </w:tc>
      </w:tr>
      <w:tr>
        <w:tc>
          <w:tcPr>
            <w:tcW w:type="dxa" w:w="6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1</w:t>
            </w:r>
          </w:p>
        </w:tc>
        <w:tc>
          <w:tcPr>
            <w:tcW w:type="dxa" w:w="3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ITEA equal-weight aggregation dilutes EIA signal</w:t>
            </w:r>
          </w:p>
        </w:tc>
        <w:tc>
          <w:tcPr>
            <w:tcW w:type="dxa" w:w="58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r(EIA, AEI) = 0.93 individually, but r(ITEA, AEI) = 0.71; equal weighting in [0,1] gives EAC and EIG more relative contribution than their validity warrants</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CRITICAL</w:t>
            </w:r>
          </w:p>
        </w:tc>
      </w:tr>
      <w:tr>
        <w:tc>
          <w:tcPr>
            <w:tcW w:type="dxa" w:w="6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2</w:t>
            </w:r>
          </w:p>
        </w:tc>
        <w:tc>
          <w:tcPr>
            <w:tcW w:type="dxa" w:w="3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EAC distributional degeneracy</w:t>
            </w:r>
          </w:p>
        </w:tc>
        <w:tc>
          <w:tcPr>
            <w:tcW w:type="dxa" w:w="58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60% of occupations have EAC = 0; only 96 unique values across 923 valid observations; functions effectively as a binary categorical variable disguised as continuous</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CRITICAL</w:t>
            </w:r>
          </w:p>
        </w:tc>
      </w:tr>
      <w:tr>
        <w:tc>
          <w:tcPr>
            <w:tcW w:type="dxa" w:w="6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3</w:t>
            </w:r>
          </w:p>
        </w:tc>
        <w:tc>
          <w:tcPr>
            <w:tcW w:type="dxa" w:w="3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EIG saturation at upper bound</w:t>
            </w:r>
          </w:p>
        </w:tc>
        <w:tc>
          <w:tcPr>
            <w:tcW w:type="dxa" w:w="58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42.5% of occupations have EIG ≥ 0.95; 14.3% saturated at exactly 1.00; range never below 0.59</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IMPORTANT</w:t>
            </w:r>
          </w:p>
        </w:tc>
      </w:tr>
      <w:tr>
        <w:tc>
          <w:tcPr>
            <w:tcW w:type="dxa" w:w="6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4</w:t>
            </w:r>
          </w:p>
        </w:tc>
        <w:tc>
          <w:tcPr>
            <w:tcW w:type="dxa" w:w="3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IRA univariate residualisation incomplete</w:t>
            </w:r>
          </w:p>
        </w:tc>
        <w:tc>
          <w:tcPr>
            <w:tcW w:type="dxa" w:w="58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r(IRA v2.1, ITEA) = 0.28; r(IRA v2.1, ICT) = 0.10 — residual collinearity with structural moderators beyond GEE</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IMPORTANT</w:t>
            </w:r>
          </w:p>
        </w:tc>
      </w:tr>
    </w:tbl>
    <w:p>
      <w:pPr>
        <w:spacing w:after="100"/>
      </w:pPr>
      <w:r>
        <w:t xml:space="preserve"/>
      </w:r>
    </w:p>
    <w:p>
      <w:pPr>
        <w:spacing w:after="120" w:line="300"/>
        <w:jc w:val="both"/>
      </w:pPr>
      <w:r>
        <w:rPr>
          <w:rFonts w:ascii="Calibri" w:cs="Calibri" w:eastAsia="Calibri" w:hAnsi="Calibri"/>
          <w:b w:val="false"/>
          <w:bCs w:val="false"/>
          <w:i w:val="false"/>
          <w:iCs w:val="false"/>
          <w:sz w:val="22"/>
          <w:szCs w:val="22"/>
        </w:rPr>
        <w:t xml:space="preserve">Findings 1 and 2 are tightly coupled: the ITEA dilution problem is in part a consequence of EAC's distributional pathology. With EAC near-zero for most occupations and EIG saturated for many, the equal-weight average gravitates toward a narrow band that suppresses the variance contributed by EIA — precisely the component most aligned with the Agentic AI regime that the framework is designed to capture. Finding 3 amplifies this by ensuring the EIG component contributes near-constant values for a substantial portion of the distribution. Finding 4 affects a different indicator (IRA) but reflects the same underlying issue: residualising against only one moderator (GEE) is insufficient when other moderators (ITEA, ICT) carry overlapping variance.</w:t>
      </w:r>
    </w:p>
    <w:p>
      <w:pPr>
        <w:pStyle w:val="Heading2"/>
        <w:spacing w:after="140" w:before="280"/>
      </w:pPr>
      <w:r>
        <w:rPr>
          <w:rFonts w:ascii="Calibri" w:cs="Calibri" w:eastAsia="Calibri" w:hAnsi="Calibri"/>
          <w:b/>
          <w:bCs/>
          <w:color w:val="2E86C1"/>
          <w:sz w:val="26"/>
          <w:szCs w:val="26"/>
        </w:rPr>
        <w:t xml:space="preserve">1.2 Decision criteria for major revision</w:t>
      </w:r>
    </w:p>
    <w:p>
      <w:pPr>
        <w:spacing w:after="120" w:line="300"/>
        <w:jc w:val="both"/>
      </w:pPr>
      <w:r>
        <w:rPr>
          <w:rFonts w:ascii="Calibri" w:cs="Calibri" w:eastAsia="Calibri" w:hAnsi="Calibri"/>
          <w:b w:val="false"/>
          <w:bCs w:val="false"/>
          <w:i w:val="false"/>
          <w:iCs w:val="false"/>
          <w:sz w:val="22"/>
          <w:szCs w:val="22"/>
        </w:rPr>
        <w:t xml:space="preserve">Three criteria were considered for deciding between an incremental update (v2.2) and a major revision (v3.0).</w:t>
      </w:r>
    </w:p>
    <w:p>
      <w:pPr>
        <w:spacing w:after="120" w:line="300"/>
        <w:jc w:val="both"/>
      </w:pPr>
      <w:r>
        <w:rPr>
          <w:rFonts w:ascii="Calibri" w:cs="Calibri" w:eastAsia="Calibri" w:hAnsi="Calibri"/>
          <w:b w:val="false"/>
          <w:bCs w:val="false"/>
          <w:i w:val="false"/>
          <w:iCs w:val="false"/>
          <w:sz w:val="22"/>
          <w:szCs w:val="22"/>
        </w:rPr>
        <w:t xml:space="preserve">Criterion 1: scope of structural change. An incremental update preserves all formulas and recalculates with new data. A major revision modifies at least one core formula. The v3.0 changes modify both the ITEA aggregation rule and the IRA residualisation specification — two of the three central indicators. This crosses the major-revision threshold.</w:t>
      </w:r>
    </w:p>
    <w:p>
      <w:pPr>
        <w:spacing w:after="120" w:line="300"/>
        <w:jc w:val="both"/>
      </w:pPr>
      <w:r>
        <w:rPr>
          <w:rFonts w:ascii="Calibri" w:cs="Calibri" w:eastAsia="Calibri" w:hAnsi="Calibri"/>
          <w:b w:val="false"/>
          <w:bCs w:val="false"/>
          <w:i w:val="false"/>
          <w:iCs w:val="false"/>
          <w:sz w:val="22"/>
          <w:szCs w:val="22"/>
        </w:rPr>
        <w:t xml:space="preserve">Criterion 2: magnitude of validity improvement. Incremental updates typically yield Δr in the range ±0.02 (within sampling error). The v3.0 yields Δr(ITEA, AEI) = +0.18 and Δr(ITEA, AIOE) = +0.07 — both exceeding the threshold for substantive improvement.</w:t>
      </w:r>
    </w:p>
    <w:p>
      <w:pPr>
        <w:spacing w:after="120" w:line="300"/>
        <w:jc w:val="both"/>
      </w:pPr>
      <w:r>
        <w:rPr>
          <w:rFonts w:ascii="Calibri" w:cs="Calibri" w:eastAsia="Calibri" w:hAnsi="Calibri"/>
          <w:b w:val="false"/>
          <w:bCs w:val="false"/>
          <w:i w:val="false"/>
          <w:iCs w:val="false"/>
          <w:sz w:val="22"/>
          <w:szCs w:val="22"/>
        </w:rPr>
        <w:t xml:space="preserve">Criterion 3: backward compatibility. Major revisions warrant version-major increments only if migration is non-trivial. The v3.0 changes preserve cross-version stability at r = 0.83 (ITEA), r = 0.999 (IRA), r = 0.93 (OAEI) — high enough that the migration is straightforward but low enough that the changes are substantively different from a recalibration.</w:t>
      </w:r>
    </w:p>
    <w:p>
      <w:pPr>
        <w:spacing w:after="120" w:line="300"/>
        <w:jc w:val="both"/>
      </w:pPr>
      <w:r>
        <w:rPr>
          <w:rFonts w:ascii="Calibri" w:cs="Calibri" w:eastAsia="Calibri" w:hAnsi="Calibri"/>
          <w:b w:val="false"/>
          <w:bCs w:val="false"/>
          <w:i w:val="false"/>
          <w:iCs w:val="false"/>
          <w:sz w:val="22"/>
          <w:szCs w:val="22"/>
        </w:rPr>
        <w:t xml:space="preserve">All three criteria support the v3.0 designation. The instrument is methodologically improved, but the changes warrant explicit version transition rather than silent recalibration.</w:t>
      </w:r>
    </w:p>
    <w:p>
      <w:pPr>
        <w:pStyle w:val="Heading2"/>
        <w:spacing w:after="140" w:before="280"/>
      </w:pPr>
      <w:r>
        <w:rPr>
          <w:rFonts w:ascii="Calibri" w:cs="Calibri" w:eastAsia="Calibri" w:hAnsi="Calibri"/>
          <w:b/>
          <w:bCs/>
          <w:color w:val="2E86C1"/>
          <w:sz w:val="26"/>
          <w:szCs w:val="26"/>
        </w:rPr>
        <w:t xml:space="preserve">1.3 Document scope and relation to v2.0 and v2.1</w:t>
      </w:r>
    </w:p>
    <w:p>
      <w:pPr>
        <w:spacing w:after="120" w:line="300"/>
        <w:jc w:val="both"/>
      </w:pPr>
      <w:r>
        <w:rPr>
          <w:rFonts w:ascii="Calibri" w:cs="Calibri" w:eastAsia="Calibri" w:hAnsi="Calibri"/>
          <w:b w:val="false"/>
          <w:bCs w:val="false"/>
          <w:i w:val="false"/>
          <w:iCs w:val="false"/>
          <w:sz w:val="22"/>
          <w:szCs w:val="22"/>
        </w:rPr>
        <w:t xml:space="preserve">This document supersedes the v2.0 Methodology and the v2.1 Memorandum as the authoritative specification of the ITEA Framework. The conceptual foundations developed in v2.0 — the regime distinction between generative and Agentic AI, the SECI knowledge-conversion framing, the formative versus reflective indicator typology, the eight-indicator architecture — are preserved without modification. The source data (O*NET 30.2, February 2026) is identical to v2.1. What changes is the aggregation specification of two indicators (ITEA and IRA) and the introduction of an alternative OAEI variant.</w:t>
      </w:r>
    </w:p>
    <w:p>
      <w:pPr>
        <w:spacing w:after="120" w:line="300"/>
        <w:jc w:val="both"/>
      </w:pPr>
      <w:r>
        <w:rPr>
          <w:rFonts w:ascii="Calibri" w:cs="Calibri" w:eastAsia="Calibri" w:hAnsi="Calibri"/>
          <w:b w:val="false"/>
          <w:bCs w:val="false"/>
          <w:i w:val="false"/>
          <w:iCs w:val="false"/>
          <w:sz w:val="22"/>
          <w:szCs w:val="22"/>
        </w:rPr>
        <w:t xml:space="preserve">Readers familiar with v2.1 should focus on Sections 2, 3 and 4 of this document, which present the v3.0 reformulations in full. Section 5 provides the integrated validation matrix across eight psychometric criteria, with side-by-side comparison v2.1 vs v3.0. Section 6 documents the implications for the empirical claims of the trilogy of papers (8A, 8B, 8C). Section 7 provides the cross-version stability analysis and the operational migration guide. Sections 8 and 9 acknowledge limitations and outline the path toward a future v4.0.</w:t>
      </w:r>
    </w:p>
    <w:p>
      <w:pPr>
        <w:spacing w:after="120" w:line="300"/>
        <w:jc w:val="both"/>
      </w:pPr>
      <w:r>
        <w:rPr>
          <w:rFonts w:ascii="Calibri" w:cs="Calibri" w:eastAsia="Calibri" w:hAnsi="Calibri"/>
          <w:b w:val="false"/>
          <w:bCs w:val="false"/>
          <w:i w:val="false"/>
          <w:iCs w:val="false"/>
          <w:sz w:val="22"/>
          <w:szCs w:val="22"/>
        </w:rPr>
        <w:t xml:space="preserve">The trilogy of papers (Paper 8A v2.2, Paper 8B v1.4, Paper 8C v1.1) currently in submission or circulation can continue to circulate with their existing v2.1 data, citing the present document as the methodological supersedence and the cross-version stability of r(OAEI v2.1, OAEI v3.0) = 0.93 / ρ = 0.95 as evidence of robustness. A subsequent revision wave (Papers 8A v2.3, 8B v1.5) is expected within the next research cycle, incorporating the v3.0 specification and the updated top-20 ranking.</w:t>
      </w:r>
    </w:p>
    <w:p>
      <w:pPr>
        <w:pStyle w:val="Heading1"/>
        <w:spacing w:after="200" w:before="360"/>
      </w:pPr>
      <w:r>
        <w:rPr>
          <w:rFonts w:ascii="Calibri" w:cs="Calibri" w:eastAsia="Calibri" w:hAnsi="Calibri"/>
          <w:b/>
          <w:bCs/>
          <w:color w:val="1B4F72"/>
          <w:sz w:val="32"/>
          <w:szCs w:val="32"/>
        </w:rPr>
        <w:t xml:space="preserve">2. ITEA v3.0 — Reformulated Aggregation</w:t>
      </w:r>
    </w:p>
    <w:p>
      <w:pPr>
        <w:pStyle w:val="Heading2"/>
        <w:spacing w:after="140" w:before="280"/>
      </w:pPr>
      <w:r>
        <w:rPr>
          <w:rFonts w:ascii="Calibri" w:cs="Calibri" w:eastAsia="Calibri" w:hAnsi="Calibri"/>
          <w:b/>
          <w:bCs/>
          <w:color w:val="2E86C1"/>
          <w:sz w:val="26"/>
          <w:szCs w:val="26"/>
        </w:rPr>
        <w:t xml:space="preserve">2.1 Diagnostic of the v2.1 problem</w:t>
      </w:r>
    </w:p>
    <w:p>
      <w:pPr>
        <w:spacing w:after="120" w:line="300"/>
        <w:jc w:val="both"/>
      </w:pPr>
      <w:r>
        <w:rPr>
          <w:rFonts w:ascii="Calibri" w:cs="Calibri" w:eastAsia="Calibri" w:hAnsi="Calibri"/>
          <w:b w:val="false"/>
          <w:bCs w:val="false"/>
          <w:i w:val="false"/>
          <w:iCs w:val="false"/>
          <w:sz w:val="22"/>
          <w:szCs w:val="22"/>
        </w:rPr>
        <w:t xml:space="preserve">The ITEA in v2.1 was specified as the equal-weight arithmetic mean of three components in the [0,1] interval:</w:t>
      </w:r>
    </w:p>
    <w:p>
      <w:pPr>
        <w:spacing w:after="140" w:before="140"/>
        <w:jc w:val="center"/>
      </w:pPr>
      <w:r>
        <w:rPr>
          <w:rFonts w:ascii="Cambria Math" w:cs="Cambria Math" w:eastAsia="Cambria Math" w:hAnsi="Cambria Math"/>
          <w:i/>
          <w:iCs/>
          <w:sz w:val="24"/>
          <w:szCs w:val="24"/>
        </w:rPr>
        <w:t xml:space="preserve">ITEA_v2.1 = (1/3) · EAC + (1/3) · EIG + (1/3) · EIA</w:t>
      </w:r>
    </w:p>
    <w:p>
      <w:pPr>
        <w:spacing w:after="120" w:line="300"/>
        <w:jc w:val="both"/>
      </w:pPr>
      <w:r>
        <w:rPr>
          <w:rFonts w:ascii="Calibri" w:cs="Calibri" w:eastAsia="Calibri" w:hAnsi="Calibri"/>
          <w:b w:val="false"/>
          <w:bCs w:val="false"/>
          <w:i w:val="false"/>
          <w:iCs w:val="false"/>
          <w:sz w:val="22"/>
          <w:szCs w:val="22"/>
        </w:rPr>
        <w:t xml:space="preserve">This specification rests on an implicit assumption: that the three components, having been independently normalised to the same [0,1] interval, contribute symmetrically to the composite. The diagnostic shows this assumption fails empirically.</w:t>
      </w:r>
    </w:p>
    <w:p>
      <w:pPr>
        <w:spacing w:after="120" w:line="300"/>
        <w:jc w:val="both"/>
      </w:pPr>
      <w:r>
        <w:rPr>
          <w:rFonts w:ascii="Calibri" w:cs="Calibri" w:eastAsia="Calibri" w:hAnsi="Calibri"/>
          <w:b w:val="false"/>
          <w:bCs w:val="false"/>
          <w:i w:val="false"/>
          <w:iCs w:val="false"/>
          <w:sz w:val="22"/>
          <w:szCs w:val="22"/>
        </w:rPr>
        <w:t xml:space="preserve">The three components have radically different distributional shapes. EAC has 59.9% of occupations at exactly zero, with a range of [0.00, 0.29] and only 96 unique values across 923 observations. EIG saturates: 42.5% of occupations are at or above 0.95, the floor is 0.59, and the distribution is left-skewed with 14.3% at exactly 1.00. EIA, in contrast, is broadly distributed across [0.00, 0.32] with median 0.016 and reasonable spread. The three components are on the same nominal scale [0,1] but their effective ranges differ by a factor of three to five.</w:t>
      </w:r>
    </w:p>
    <w:p>
      <w:pPr>
        <w:spacing w:after="120" w:line="300"/>
        <w:jc w:val="both"/>
      </w:pPr>
      <w:r>
        <w:rPr>
          <w:rFonts w:ascii="Calibri" w:cs="Calibri" w:eastAsia="Calibri" w:hAnsi="Calibri"/>
          <w:b w:val="false"/>
          <w:bCs w:val="false"/>
          <w:i w:val="false"/>
          <w:iCs w:val="false"/>
          <w:sz w:val="22"/>
          <w:szCs w:val="22"/>
        </w:rPr>
        <w:t xml:space="preserve">Table 2.1 shows the consequences. The validity of each component against AEI (the internal criterion) and AIOE (the external benchmark) varies dramatically. EIA carries r=0.93 with AEI; EAC carries r=0.11. The equal-weight average is therefore dominated by the high-variance components, which happen to be the lowest-validity ones. The result is a composite (ITEA) that has lower validity than its highest-validity individual component.</w:t>
      </w:r>
    </w:p>
    <w:p>
      <w:pPr>
        <w:spacing w:after="100"/>
      </w:pPr>
      <w:r>
        <w:t xml:space="preserve"/>
      </w:r>
    </w:p>
    <w:p>
      <w:pPr>
        <w:spacing w:after="100" w:before="200"/>
        <w:jc w:val="center"/>
      </w:pPr>
      <w:r>
        <w:rPr>
          <w:rFonts w:ascii="Calibri" w:cs="Calibri" w:eastAsia="Calibri" w:hAnsi="Calibri"/>
          <w:b/>
          <w:bCs/>
          <w:i/>
          <w:iCs/>
          <w:sz w:val="20"/>
          <w:szCs w:val="20"/>
        </w:rPr>
        <w:t xml:space="preserve">Table 2.1 — Component-level validity diagnostic (v2.1)</w:t>
      </w:r>
    </w:p>
    <w:tbl>
      <w:tblPr>
        <w:tblW w:type="dxa" w:w="136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500"/>
        <w:gridCol w:w="1500"/>
        <w:gridCol w:w="4400"/>
      </w:tblGrid>
      <w:tr>
        <w:trPr>
          <w:tblHeader/>
        </w:trPr>
        <w:tc>
          <w:tcPr>
            <w:tcW w:type="dxa" w:w="22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Component</w:t>
            </w:r>
          </w:p>
        </w:tc>
        <w:tc>
          <w:tcPr>
            <w:tcW w:type="dxa" w:w="20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r(component, AEI)</w:t>
            </w:r>
          </w:p>
        </w:tc>
        <w:tc>
          <w:tcPr>
            <w:tcW w:type="dxa" w:w="20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r(component, AIOE)</w:t>
            </w:r>
          </w:p>
        </w:tc>
        <w:tc>
          <w:tcPr>
            <w:tcW w:type="dxa" w:w="15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Mean</w:t>
            </w:r>
          </w:p>
        </w:tc>
        <w:tc>
          <w:tcPr>
            <w:tcW w:type="dxa" w:w="15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SD</w:t>
            </w:r>
          </w:p>
        </w:tc>
        <w:tc>
          <w:tcPr>
            <w:tcW w:type="dxa" w:w="44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Pathology</w:t>
            </w:r>
          </w:p>
        </w:tc>
      </w:tr>
      <w:tr>
        <w:tc>
          <w:tcPr>
            <w:tcW w:type="dxa" w:w="22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EAC</w:t>
            </w:r>
          </w:p>
        </w:tc>
        <w:tc>
          <w:tcPr>
            <w:tcW w:type="dxa" w:w="20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+0.11</w:t>
            </w:r>
          </w:p>
        </w:tc>
        <w:tc>
          <w:tcPr>
            <w:tcW w:type="dxa" w:w="20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+0.07</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0.020</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0.036</w:t>
            </w:r>
          </w:p>
        </w:tc>
        <w:tc>
          <w:tcPr>
            <w:tcW w:type="dxa" w:w="44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60% zeros, 96 unique values</w:t>
            </w:r>
          </w:p>
        </w:tc>
      </w:tr>
      <w:tr>
        <w:tc>
          <w:tcPr>
            <w:tcW w:type="dxa" w:w="22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EIG</w:t>
            </w:r>
          </w:p>
        </w:tc>
        <w:tc>
          <w:tcPr>
            <w:tcW w:type="dxa" w:w="20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+0.27</w:t>
            </w:r>
          </w:p>
        </w:tc>
        <w:tc>
          <w:tcPr>
            <w:tcW w:type="dxa" w:w="20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+0.20</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0.923</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0.069</w:t>
            </w:r>
          </w:p>
        </w:tc>
        <w:tc>
          <w:tcPr>
            <w:tcW w:type="dxa" w:w="44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14% saturated at 1.00; floor 0.59</w:t>
            </w:r>
          </w:p>
        </w:tc>
      </w:tr>
      <w:tr>
        <w:tc>
          <w:tcPr>
            <w:tcW w:type="dxa" w:w="22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EIA</w:t>
            </w:r>
          </w:p>
        </w:tc>
        <w:tc>
          <w:tcPr>
            <w:tcW w:type="dxa" w:w="20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+0.93</w:t>
            </w:r>
          </w:p>
        </w:tc>
        <w:tc>
          <w:tcPr>
            <w:tcW w:type="dxa" w:w="20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+0.38</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0.036</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0.052</w:t>
            </w:r>
          </w:p>
        </w:tc>
        <w:tc>
          <w:tcPr>
            <w:tcW w:type="dxa" w:w="44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Healthy distribution</w:t>
            </w:r>
          </w:p>
        </w:tc>
      </w:tr>
      <w:tr>
        <w:tc>
          <w:tcPr>
            <w:tcW w:type="dxa" w:w="22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ITEA v2.1 (avg)</w:t>
            </w:r>
          </w:p>
        </w:tc>
        <w:tc>
          <w:tcPr>
            <w:tcW w:type="dxa" w:w="20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+0.71</w:t>
            </w:r>
          </w:p>
        </w:tc>
        <w:tc>
          <w:tcPr>
            <w:tcW w:type="dxa" w:w="20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+0.42</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0.435</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0.029</w:t>
            </w:r>
          </w:p>
        </w:tc>
        <w:tc>
          <w:tcPr>
            <w:tcW w:type="dxa" w:w="44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Compressed mean ≈ EIG mean / 2</w:t>
            </w:r>
          </w:p>
        </w:tc>
      </w:tr>
    </w:tbl>
    <w:p>
      <w:pPr>
        <w:spacing w:after="100"/>
      </w:pPr>
      <w:r>
        <w:t xml:space="preserve"/>
      </w:r>
    </w:p>
    <w:p>
      <w:pPr>
        <w:spacing w:after="120" w:line="300"/>
        <w:jc w:val="both"/>
      </w:pPr>
      <w:r>
        <w:rPr>
          <w:rFonts w:ascii="Calibri" w:cs="Calibri" w:eastAsia="Calibri" w:hAnsi="Calibri"/>
          <w:b w:val="false"/>
          <w:bCs w:val="false"/>
          <w:i w:val="false"/>
          <w:iCs w:val="false"/>
          <w:sz w:val="22"/>
          <w:szCs w:val="22"/>
        </w:rPr>
        <w:t xml:space="preserve">The composite ITEA mean of 0.435 is approximately the EIG mean (0.923) divided by two, plus a small contribution from the other components. The composite SD is 0.029 — smaller than any individual component's SD. The instrument has lost discriminating power through aggregation: equal weighting in [0,1] space treats all three components as equivalent but they are not.</w:t>
      </w:r>
    </w:p>
    <w:p>
      <w:pPr>
        <w:pStyle w:val="Heading2"/>
        <w:spacing w:after="140" w:before="280"/>
      </w:pPr>
      <w:r>
        <w:rPr>
          <w:rFonts w:ascii="Calibri" w:cs="Calibri" w:eastAsia="Calibri" w:hAnsi="Calibri"/>
          <w:b/>
          <w:bCs/>
          <w:color w:val="2E86C1"/>
          <w:sz w:val="26"/>
          <w:szCs w:val="26"/>
        </w:rPr>
        <w:t xml:space="preserve">2.2 Mathematical formulation v3.0</w:t>
      </w:r>
    </w:p>
    <w:p>
      <w:pPr>
        <w:spacing w:after="120" w:line="300"/>
        <w:jc w:val="both"/>
      </w:pPr>
      <w:r>
        <w:rPr>
          <w:rFonts w:ascii="Calibri" w:cs="Calibri" w:eastAsia="Calibri" w:hAnsi="Calibri"/>
          <w:b w:val="false"/>
          <w:bCs w:val="false"/>
          <w:i w:val="false"/>
          <w:iCs w:val="false"/>
          <w:sz w:val="22"/>
          <w:szCs w:val="22"/>
        </w:rPr>
        <w:t xml:space="preserve">The v3.0 specification z-score-normalises each component before aggregation, then projects the result back to [0,1] via min-max for compatibility with the OAEI multiplicative form.</w:t>
      </w:r>
    </w:p>
    <w:p>
      <w:pPr>
        <w:spacing w:after="120" w:line="300"/>
        <w:jc w:val="both"/>
      </w:pPr>
      <w:r>
        <w:rPr>
          <w:rFonts w:ascii="Calibri" w:cs="Calibri" w:eastAsia="Calibri" w:hAnsi="Calibri"/>
          <w:b w:val="false"/>
          <w:bCs w:val="false"/>
          <w:i w:val="false"/>
          <w:iCs w:val="false"/>
          <w:sz w:val="22"/>
          <w:szCs w:val="22"/>
        </w:rPr>
        <w:t xml:space="preserve">Step 1. Standardisation of components.</w:t>
      </w:r>
    </w:p>
    <w:p>
      <w:pPr>
        <w:spacing w:after="140" w:before="140"/>
        <w:jc w:val="center"/>
      </w:pPr>
      <w:r>
        <w:rPr>
          <w:rFonts w:ascii="Cambria Math" w:cs="Cambria Math" w:eastAsia="Cambria Math" w:hAnsi="Cambria Math"/>
          <w:i/>
          <w:iCs/>
          <w:sz w:val="24"/>
          <w:szCs w:val="24"/>
        </w:rPr>
        <w:t xml:space="preserve">EAC_z = (EAC − mean(EAC)) / sd(EAC)</w:t>
      </w:r>
    </w:p>
    <w:p>
      <w:pPr>
        <w:spacing w:after="140" w:before="140"/>
        <w:jc w:val="center"/>
      </w:pPr>
      <w:r>
        <w:rPr>
          <w:rFonts w:ascii="Cambria Math" w:cs="Cambria Math" w:eastAsia="Cambria Math" w:hAnsi="Cambria Math"/>
          <w:i/>
          <w:iCs/>
          <w:sz w:val="24"/>
          <w:szCs w:val="24"/>
        </w:rPr>
        <w:t xml:space="preserve">EIG_z = (EIG − mean(EIG)) / sd(EIG)</w:t>
      </w:r>
    </w:p>
    <w:p>
      <w:pPr>
        <w:spacing w:after="140" w:before="140"/>
        <w:jc w:val="center"/>
      </w:pPr>
      <w:r>
        <w:rPr>
          <w:rFonts w:ascii="Cambria Math" w:cs="Cambria Math" w:eastAsia="Cambria Math" w:hAnsi="Cambria Math"/>
          <w:i/>
          <w:iCs/>
          <w:sz w:val="24"/>
          <w:szCs w:val="24"/>
        </w:rPr>
        <w:t xml:space="preserve">EIA_z = (EIA − mean(EIA)) / sd(EIA)</w:t>
      </w:r>
    </w:p>
    <w:p>
      <w:pPr>
        <w:spacing w:after="120" w:line="300"/>
        <w:jc w:val="both"/>
      </w:pPr>
      <w:r>
        <w:rPr>
          <w:rFonts w:ascii="Calibri" w:cs="Calibri" w:eastAsia="Calibri" w:hAnsi="Calibri"/>
          <w:b w:val="false"/>
          <w:bCs w:val="false"/>
          <w:i w:val="false"/>
          <w:iCs w:val="false"/>
          <w:sz w:val="22"/>
          <w:szCs w:val="22"/>
        </w:rPr>
        <w:t xml:space="preserve">Step 2. Equal-weight aggregation in z-space.</w:t>
      </w:r>
    </w:p>
    <w:p>
      <w:pPr>
        <w:spacing w:after="140" w:before="140"/>
        <w:jc w:val="center"/>
      </w:pPr>
      <w:r>
        <w:rPr>
          <w:rFonts w:ascii="Cambria Math" w:cs="Cambria Math" w:eastAsia="Cambria Math" w:hAnsi="Cambria Math"/>
          <w:i/>
          <w:iCs/>
          <w:sz w:val="24"/>
          <w:szCs w:val="24"/>
        </w:rPr>
        <w:t xml:space="preserve">ITEA_raw_v3.0 = (EAC_z + EIG_z + EIA_z) / 3</w:t>
      </w:r>
    </w:p>
    <w:p>
      <w:pPr>
        <w:spacing w:after="120" w:line="300"/>
        <w:jc w:val="both"/>
      </w:pPr>
      <w:r>
        <w:rPr>
          <w:rFonts w:ascii="Calibri" w:cs="Calibri" w:eastAsia="Calibri" w:hAnsi="Calibri"/>
          <w:b w:val="false"/>
          <w:bCs w:val="false"/>
          <w:i w:val="false"/>
          <w:iCs w:val="false"/>
          <w:sz w:val="22"/>
          <w:szCs w:val="22"/>
        </w:rPr>
        <w:t xml:space="preserve">Step 3. Projection to [0,1].</w:t>
      </w:r>
    </w:p>
    <w:p>
      <w:pPr>
        <w:spacing w:after="140" w:before="140"/>
        <w:jc w:val="center"/>
      </w:pPr>
      <w:r>
        <w:rPr>
          <w:rFonts w:ascii="Cambria Math" w:cs="Cambria Math" w:eastAsia="Cambria Math" w:hAnsi="Cambria Math"/>
          <w:i/>
          <w:iCs/>
          <w:sz w:val="24"/>
          <w:szCs w:val="24"/>
        </w:rPr>
        <w:t xml:space="preserve">ITEA_v3.0 = (ITEA_raw_v3.0 − min) / (max − min)</w:t>
      </w:r>
    </w:p>
    <w:p>
      <w:pPr>
        <w:spacing w:after="120" w:line="300"/>
        <w:jc w:val="both"/>
      </w:pPr>
      <w:r>
        <w:rPr>
          <w:rFonts w:ascii="Calibri" w:cs="Calibri" w:eastAsia="Calibri" w:hAnsi="Calibri"/>
          <w:b w:val="false"/>
          <w:bCs w:val="false"/>
          <w:i w:val="false"/>
          <w:iCs w:val="false"/>
          <w:sz w:val="22"/>
          <w:szCs w:val="22"/>
        </w:rPr>
        <w:t xml:space="preserve">This specification preserves the conceptual principle of equal weighting (all three sources of automation exposure are theoretically symmetric in the framework's typology) while correcting for the empirical asymmetry of variances. The min-max projection in Step 3 ensures compatibility with the OAEI multiplicative form, which requires factors in [0,1].</w:t>
      </w:r>
    </w:p>
    <w:p>
      <w:pPr>
        <w:spacing w:after="120" w:line="300"/>
        <w:jc w:val="both"/>
      </w:pPr>
      <w:r>
        <w:rPr>
          <w:rFonts w:ascii="Calibri" w:cs="Calibri" w:eastAsia="Calibri" w:hAnsi="Calibri"/>
          <w:b w:val="false"/>
          <w:bCs w:val="false"/>
          <w:i w:val="false"/>
          <w:iCs w:val="false"/>
          <w:sz w:val="22"/>
          <w:szCs w:val="22"/>
        </w:rPr>
        <w:t xml:space="preserve">Three alternative specifications were tested and rejected. First, OLS-optimal weights (against AEI or AIOE) were rejected because they would either circular-fit the criterion (when fit against AEI) or sacrifice theoretical equality of components. Second, hierarchical weights (e.g., 0.10·EAC + 0.30·EIG + 0.60·EIA) were rejected because they introduce expert-judgment parameters that would weaken the framework's transparency. Third, logit transformation of EIG was tested but degraded validity, suggesting the saturation in EIG is informative (truly saturated occupations are highly exposed) and should not be penalised by transformation.</w:t>
      </w:r>
    </w:p>
    <w:p>
      <w:pPr>
        <w:pStyle w:val="Heading2"/>
        <w:spacing w:after="140" w:before="280"/>
      </w:pPr>
      <w:r>
        <w:rPr>
          <w:rFonts w:ascii="Calibri" w:cs="Calibri" w:eastAsia="Calibri" w:hAnsi="Calibri"/>
          <w:b/>
          <w:bCs/>
          <w:color w:val="2E86C1"/>
          <w:sz w:val="26"/>
          <w:szCs w:val="26"/>
        </w:rPr>
        <w:t xml:space="preserve">2.3 Validation results</w:t>
      </w:r>
    </w:p>
    <w:p>
      <w:pPr>
        <w:spacing w:after="100"/>
      </w:pPr>
      <w:r>
        <w:t xml:space="preserve"/>
      </w:r>
    </w:p>
    <w:p>
      <w:pPr>
        <w:spacing w:after="100" w:before="200"/>
        <w:jc w:val="center"/>
      </w:pPr>
      <w:r>
        <w:rPr>
          <w:rFonts w:ascii="Calibri" w:cs="Calibri" w:eastAsia="Calibri" w:hAnsi="Calibri"/>
          <w:b/>
          <w:bCs/>
          <w:i/>
          <w:iCs/>
          <w:sz w:val="20"/>
          <w:szCs w:val="20"/>
        </w:rPr>
        <w:t xml:space="preserve">Table 2.2 — ITEA v3.0 vs v2.1 validation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300"/>
        <w:gridCol w:w="2000"/>
      </w:tblGrid>
      <w:tr>
        <w:trPr>
          <w:tblHeader/>
        </w:trPr>
        <w:tc>
          <w:tcPr>
            <w:tcW w:type="dxa" w:w="32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Metric</w:t>
            </w:r>
          </w:p>
        </w:tc>
        <w:tc>
          <w:tcPr>
            <w:tcW w:type="dxa" w:w="15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v2.1</w:t>
            </w:r>
          </w:p>
        </w:tc>
        <w:tc>
          <w:tcPr>
            <w:tcW w:type="dxa" w:w="15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v3.0</w:t>
            </w:r>
          </w:p>
        </w:tc>
        <w:tc>
          <w:tcPr>
            <w:tcW w:type="dxa" w:w="13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Δ</w:t>
            </w:r>
          </w:p>
        </w:tc>
        <w:tc>
          <w:tcPr>
            <w:tcW w:type="dxa" w:w="20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Status</w:t>
            </w:r>
          </w:p>
        </w:tc>
      </w:tr>
      <w:tr>
        <w:tc>
          <w:tcPr>
            <w:tcW w:type="dxa" w:w="32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r(ITEA, AEI) [internal convergent]</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+0.7091</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+0.8866</w:t>
            </w:r>
          </w:p>
        </w:tc>
        <w:tc>
          <w:tcPr>
            <w:tcW w:type="dxa" w:w="13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+0.1776</w:t>
            </w:r>
          </w:p>
        </w:tc>
        <w:tc>
          <w:tcPr>
            <w:tcW w:type="dxa" w:w="20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IMPROVED</w:t>
            </w:r>
          </w:p>
        </w:tc>
      </w:tr>
      <w:tr>
        <w:tc>
          <w:tcPr>
            <w:tcW w:type="dxa" w:w="32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r(ITEA, AIOE) [external convergent]</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+0.3626</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+0.4303</w:t>
            </w:r>
          </w:p>
        </w:tc>
        <w:tc>
          <w:tcPr>
            <w:tcW w:type="dxa" w:w="13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+0.0677</w:t>
            </w:r>
          </w:p>
        </w:tc>
        <w:tc>
          <w:tcPr>
            <w:tcW w:type="dxa" w:w="20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IMPROVED</w:t>
            </w:r>
          </w:p>
        </w:tc>
      </w:tr>
      <w:tr>
        <w:tc>
          <w:tcPr>
            <w:tcW w:type="dxa" w:w="32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Mean</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0.435</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0.444</w:t>
            </w:r>
          </w:p>
        </w:tc>
        <w:tc>
          <w:tcPr>
            <w:tcW w:type="dxa" w:w="13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+0.009</w:t>
            </w:r>
          </w:p>
        </w:tc>
        <w:tc>
          <w:tcPr>
            <w:tcW w:type="dxa" w:w="20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Stable</w:t>
            </w:r>
          </w:p>
        </w:tc>
      </w:tr>
      <w:tr>
        <w:tc>
          <w:tcPr>
            <w:tcW w:type="dxa" w:w="32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SD</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0.029</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0.131</w:t>
            </w:r>
          </w:p>
        </w:tc>
        <w:tc>
          <w:tcPr>
            <w:tcW w:type="dxa" w:w="13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+0.102</w:t>
            </w:r>
          </w:p>
        </w:tc>
        <w:tc>
          <w:tcPr>
            <w:tcW w:type="dxa" w:w="20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Discrimination ↑</w:t>
            </w:r>
          </w:p>
        </w:tc>
      </w:tr>
      <w:tr>
        <w:tc>
          <w:tcPr>
            <w:tcW w:type="dxa" w:w="32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Range</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[0.281, 0.540]</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[0.000, 1.000]</w:t>
            </w:r>
          </w:p>
        </w:tc>
        <w:tc>
          <w:tcPr>
            <w:tcW w:type="dxa" w:w="13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w:t>
            </w:r>
          </w:p>
        </w:tc>
        <w:tc>
          <w:tcPr>
            <w:tcW w:type="dxa" w:w="20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Full [0,1] used</w:t>
            </w:r>
          </w:p>
        </w:tc>
      </w:tr>
    </w:tbl>
    <w:p>
      <w:pPr>
        <w:spacing w:after="100"/>
      </w:pPr>
      <w:r>
        <w:t xml:space="preserve"/>
      </w:r>
    </w:p>
    <w:p>
      <w:pPr>
        <w:spacing w:after="120" w:line="300"/>
        <w:jc w:val="both"/>
      </w:pPr>
      <w:r>
        <w:rPr>
          <w:rFonts w:ascii="Calibri" w:cs="Calibri" w:eastAsia="Calibri" w:hAnsi="Calibri"/>
          <w:b w:val="false"/>
          <w:bCs w:val="false"/>
          <w:i w:val="false"/>
          <w:iCs w:val="false"/>
          <w:sz w:val="22"/>
          <w:szCs w:val="22"/>
        </w:rPr>
        <w:t xml:space="preserve">The convergent validity improvement against AEI (+0.18) is substantial and reflects a real underlying gain: the v3.0 ITEA correlates with AEI almost as strongly as EIA alone (0.93), without sacrificing the contribution of EAC and EIG. The external convergent improvement against AIOE (+0.07) is more modest but still places ITEA v3.0 above the canonical psychometric threshold of r &gt; 0.40 for external convergent validity. The standard deviation expansion from 0.029 to 0.131 is consequential: v3.0 has 4.5× more discriminating power per unit of measurement than v2.1.</w:t>
      </w:r>
    </w:p>
    <w:p>
      <w:pPr>
        <w:pStyle w:val="Heading2"/>
        <w:spacing w:after="140" w:before="280"/>
      </w:pPr>
      <w:r>
        <w:rPr>
          <w:rFonts w:ascii="Calibri" w:cs="Calibri" w:eastAsia="Calibri" w:hAnsi="Calibri"/>
          <w:b/>
          <w:bCs/>
          <w:color w:val="2E86C1"/>
          <w:sz w:val="26"/>
          <w:szCs w:val="26"/>
        </w:rPr>
        <w:t xml:space="preserve">2.4 Implementation</w:t>
      </w:r>
    </w:p>
    <w:p>
      <w:pPr>
        <w:spacing w:after="120" w:line="300"/>
        <w:jc w:val="both"/>
      </w:pPr>
      <w:r>
        <w:rPr>
          <w:rFonts w:ascii="Calibri" w:cs="Calibri" w:eastAsia="Calibri" w:hAnsi="Calibri"/>
          <w:b w:val="false"/>
          <w:bCs w:val="false"/>
          <w:i w:val="false"/>
          <w:iCs w:val="false"/>
          <w:sz w:val="22"/>
          <w:szCs w:val="22"/>
        </w:rPr>
        <w:t xml:space="preserve">Reference implementation in Python (NumPy):</w:t>
      </w:r>
    </w:p>
    <w:p>
      <w:pPr>
        <w:spacing w:after="80" w:before="80"/>
        <w:ind w:left="540"/>
        <w:jc w:val="left"/>
      </w:pPr>
      <w:r>
        <w:rPr>
          <w:rFonts w:ascii="Consolas" w:cs="Consolas" w:eastAsia="Consolas" w:hAnsi="Consolas"/>
          <w:sz w:val="20"/>
          <w:szCs w:val="20"/>
        </w:rPr>
        <w:t xml:space="preserve">def itea_v3(eac, eig, eia):</w:t>
      </w:r>
    </w:p>
    <w:p>
      <w:pPr>
        <w:spacing w:after="80" w:before="80"/>
        <w:ind w:left="540"/>
        <w:jc w:val="left"/>
      </w:pPr>
      <w:r>
        <w:rPr>
          <w:rFonts w:ascii="Consolas" w:cs="Consolas" w:eastAsia="Consolas" w:hAnsi="Consolas"/>
          <w:sz w:val="20"/>
          <w:szCs w:val="20"/>
        </w:rPr>
        <w:t xml:space="preserve">    eac_z = (eac - eac.mean()) / eac.std(ddof=1)</w:t>
      </w:r>
    </w:p>
    <w:p>
      <w:pPr>
        <w:spacing w:after="80" w:before="80"/>
        <w:ind w:left="540"/>
        <w:jc w:val="left"/>
      </w:pPr>
      <w:r>
        <w:rPr>
          <w:rFonts w:ascii="Consolas" w:cs="Consolas" w:eastAsia="Consolas" w:hAnsi="Consolas"/>
          <w:sz w:val="20"/>
          <w:szCs w:val="20"/>
        </w:rPr>
        <w:t xml:space="preserve">    eig_z = (eig - eig.mean()) / eig.std(ddof=1)</w:t>
      </w:r>
    </w:p>
    <w:p>
      <w:pPr>
        <w:spacing w:after="80" w:before="80"/>
        <w:ind w:left="540"/>
        <w:jc w:val="left"/>
      </w:pPr>
      <w:r>
        <w:rPr>
          <w:rFonts w:ascii="Consolas" w:cs="Consolas" w:eastAsia="Consolas" w:hAnsi="Consolas"/>
          <w:sz w:val="20"/>
          <w:szCs w:val="20"/>
        </w:rPr>
        <w:t xml:space="preserve">    eia_z = (eia - eia.mean()) / eia.std(ddof=1)</w:t>
      </w:r>
    </w:p>
    <w:p>
      <w:pPr>
        <w:spacing w:after="80" w:before="80"/>
        <w:ind w:left="540"/>
        <w:jc w:val="left"/>
      </w:pPr>
      <w:r>
        <w:rPr>
          <w:rFonts w:ascii="Consolas" w:cs="Consolas" w:eastAsia="Consolas" w:hAnsi="Consolas"/>
          <w:sz w:val="20"/>
          <w:szCs w:val="20"/>
        </w:rPr>
        <w:t xml:space="preserve">    raw = (eac_z + eig_z + eia_z) / 3</w:t>
      </w:r>
    </w:p>
    <w:p>
      <w:pPr>
        <w:spacing w:after="80" w:before="80"/>
        <w:ind w:left="540"/>
        <w:jc w:val="left"/>
      </w:pPr>
      <w:r>
        <w:rPr>
          <w:rFonts w:ascii="Consolas" w:cs="Consolas" w:eastAsia="Consolas" w:hAnsi="Consolas"/>
          <w:sz w:val="20"/>
          <w:szCs w:val="20"/>
        </w:rPr>
        <w:t xml:space="preserve">    return (raw - raw.min()) / (raw.max() - raw.min())</w:t>
      </w:r>
    </w:p>
    <w:p>
      <w:pPr>
        <w:spacing w:after="120" w:line="300"/>
        <w:jc w:val="both"/>
      </w:pPr>
      <w:r>
        <w:rPr>
          <w:rFonts w:ascii="Calibri" w:cs="Calibri" w:eastAsia="Calibri" w:hAnsi="Calibri"/>
          <w:b w:val="false"/>
          <w:bCs w:val="false"/>
          <w:i w:val="false"/>
          <w:iCs w:val="false"/>
          <w:sz w:val="22"/>
          <w:szCs w:val="22"/>
        </w:rPr>
        <w:t xml:space="preserve">Reference implementation in R:</w:t>
      </w:r>
    </w:p>
    <w:p>
      <w:pPr>
        <w:spacing w:after="80" w:before="80"/>
        <w:ind w:left="540"/>
        <w:jc w:val="left"/>
      </w:pPr>
      <w:r>
        <w:rPr>
          <w:rFonts w:ascii="Consolas" w:cs="Consolas" w:eastAsia="Consolas" w:hAnsi="Consolas"/>
          <w:sz w:val="20"/>
          <w:szCs w:val="20"/>
        </w:rPr>
        <w:t xml:space="preserve">itea_v3 &lt;- function(eac, eig, eia) {</w:t>
      </w:r>
    </w:p>
    <w:p>
      <w:pPr>
        <w:spacing w:after="80" w:before="80"/>
        <w:ind w:left="540"/>
        <w:jc w:val="left"/>
      </w:pPr>
      <w:r>
        <w:rPr>
          <w:rFonts w:ascii="Consolas" w:cs="Consolas" w:eastAsia="Consolas" w:hAnsi="Consolas"/>
          <w:sz w:val="20"/>
          <w:szCs w:val="20"/>
        </w:rPr>
        <w:t xml:space="preserve">  z &lt;- function(x) (x - mean(x)) / sd(x)</w:t>
      </w:r>
    </w:p>
    <w:p>
      <w:pPr>
        <w:spacing w:after="80" w:before="80"/>
        <w:ind w:left="540"/>
        <w:jc w:val="left"/>
      </w:pPr>
      <w:r>
        <w:rPr>
          <w:rFonts w:ascii="Consolas" w:cs="Consolas" w:eastAsia="Consolas" w:hAnsi="Consolas"/>
          <w:sz w:val="20"/>
          <w:szCs w:val="20"/>
        </w:rPr>
        <w:t xml:space="preserve">  raw &lt;- (z(eac) + z(eig) + z(eia)) / 3</w:t>
      </w:r>
    </w:p>
    <w:p>
      <w:pPr>
        <w:spacing w:after="80" w:before="80"/>
        <w:ind w:left="540"/>
        <w:jc w:val="left"/>
      </w:pPr>
      <w:r>
        <w:rPr>
          <w:rFonts w:ascii="Consolas" w:cs="Consolas" w:eastAsia="Consolas" w:hAnsi="Consolas"/>
          <w:sz w:val="20"/>
          <w:szCs w:val="20"/>
        </w:rPr>
        <w:t xml:space="preserve">  (raw - min(raw)) / (max(raw) - min(raw))</w:t>
      </w:r>
    </w:p>
    <w:p>
      <w:pPr>
        <w:spacing w:after="80" w:before="80"/>
        <w:ind w:left="540"/>
        <w:jc w:val="left"/>
      </w:pPr>
      <w:r>
        <w:rPr>
          <w:rFonts w:ascii="Consolas" w:cs="Consolas" w:eastAsia="Consolas" w:hAnsi="Consolas"/>
          <w:sz w:val="20"/>
          <w:szCs w:val="20"/>
        </w:rPr>
        <w:t xml:space="preserve">}</w:t>
      </w:r>
    </w:p>
    <w:p>
      <w:pPr>
        <w:spacing w:after="120" w:line="300"/>
        <w:jc w:val="both"/>
      </w:pPr>
      <w:r>
        <w:rPr>
          <w:rFonts w:ascii="Calibri" w:cs="Calibri" w:eastAsia="Calibri" w:hAnsi="Calibri"/>
          <w:b w:val="false"/>
          <w:bCs w:val="false"/>
          <w:i w:val="false"/>
          <w:iCs w:val="false"/>
          <w:sz w:val="22"/>
          <w:szCs w:val="22"/>
        </w:rPr>
        <w:t xml:space="preserve">Cross-validation note: when applying the framework to new data (e.g., O*NET 31.x), the z-score parameters (mean, sd) must be recomputed on the new data. This is a structural property of standardised composites and is documented as a limitation in Section 8.</w:t>
      </w:r>
    </w:p>
    <w:p>
      <w:pPr>
        <w:pStyle w:val="Heading1"/>
        <w:spacing w:after="200" w:before="360"/>
      </w:pPr>
      <w:r>
        <w:rPr>
          <w:rFonts w:ascii="Calibri" w:cs="Calibri" w:eastAsia="Calibri" w:hAnsi="Calibri"/>
          <w:b/>
          <w:bCs/>
          <w:color w:val="1B4F72"/>
          <w:sz w:val="32"/>
          <w:szCs w:val="32"/>
        </w:rPr>
        <w:t xml:space="preserve">3. IRA v3.0 — Triple Residualisation</w:t>
      </w:r>
    </w:p>
    <w:p>
      <w:pPr>
        <w:pStyle w:val="Heading2"/>
        <w:spacing w:after="140" w:before="280"/>
      </w:pPr>
      <w:r>
        <w:rPr>
          <w:rFonts w:ascii="Calibri" w:cs="Calibri" w:eastAsia="Calibri" w:hAnsi="Calibri"/>
          <w:b/>
          <w:bCs/>
          <w:color w:val="2E86C1"/>
          <w:sz w:val="26"/>
          <w:szCs w:val="26"/>
        </w:rPr>
        <w:t xml:space="preserve">3.1 Diagnostic of the v2.1 problem</w:t>
      </w:r>
    </w:p>
    <w:p>
      <w:pPr>
        <w:spacing w:after="120" w:line="300"/>
        <w:jc w:val="both"/>
      </w:pPr>
      <w:r>
        <w:rPr>
          <w:rFonts w:ascii="Calibri" w:cs="Calibri" w:eastAsia="Calibri" w:hAnsi="Calibri"/>
          <w:b w:val="false"/>
          <w:bCs w:val="false"/>
          <w:i w:val="false"/>
          <w:iCs w:val="false"/>
          <w:sz w:val="22"/>
          <w:szCs w:val="22"/>
        </w:rPr>
        <w:t xml:space="preserve">The IRA v2.1 was specified as a weighted combination of two components, with the second residualised against GEE:</w:t>
      </w:r>
    </w:p>
    <w:p>
      <w:pPr>
        <w:spacing w:after="140" w:before="140"/>
        <w:jc w:val="center"/>
      </w:pPr>
      <w:r>
        <w:rPr>
          <w:rFonts w:ascii="Cambria Math" w:cs="Cambria Math" w:eastAsia="Cambria Math" w:hAnsi="Cambria Math"/>
          <w:i/>
          <w:iCs/>
          <w:sz w:val="24"/>
          <w:szCs w:val="24"/>
        </w:rPr>
        <w:t xml:space="preserve">IRA_v2.1 = 0.60 · CA_norm + 0.40 · IRO_residual_v21_norm</w:t>
      </w:r>
    </w:p>
    <w:p>
      <w:pPr>
        <w:spacing w:after="120" w:line="300"/>
        <w:jc w:val="both"/>
      </w:pPr>
      <w:r>
        <w:rPr>
          <w:rFonts w:ascii="Calibri" w:cs="Calibri" w:eastAsia="Calibri" w:hAnsi="Calibri"/>
          <w:b w:val="false"/>
          <w:bCs w:val="false"/>
          <w:i w:val="false"/>
          <w:iCs w:val="false"/>
          <w:sz w:val="22"/>
          <w:szCs w:val="22"/>
        </w:rPr>
        <w:t xml:space="preserve">where IRO_residual_v21 is the residual from OLS(IRO_v1.45 ~ GEE), normalised to [0,1]. This specification was the central methodological innovation of v2.0: it replaced the v1.45 IRO that had r = 0.90 with GEE, achieving r(IRA v2.0, GEE) = 0.43, which improved further to 0.40 in v2.1 with the GEE recalibration on O*NET 30.2.</w:t>
      </w:r>
    </w:p>
    <w:p>
      <w:pPr>
        <w:spacing w:after="120" w:line="300"/>
        <w:jc w:val="both"/>
      </w:pPr>
      <w:r>
        <w:rPr>
          <w:rFonts w:ascii="Calibri" w:cs="Calibri" w:eastAsia="Calibri" w:hAnsi="Calibri"/>
          <w:b w:val="false"/>
          <w:bCs w:val="false"/>
          <w:i w:val="false"/>
          <w:iCs w:val="false"/>
          <w:sz w:val="22"/>
          <w:szCs w:val="22"/>
        </w:rPr>
        <w:t xml:space="preserve">The diagnostic, however, identifies that residualisation against GEE alone leaves residual collinearity with two other structural moderators of the framework — ITEA and ICT. Table 3.1 documents the issue.</w:t>
      </w:r>
    </w:p>
    <w:p>
      <w:pPr>
        <w:spacing w:after="100"/>
      </w:pPr>
      <w:r>
        <w:t xml:space="preserve"/>
      </w:r>
    </w:p>
    <w:p>
      <w:pPr>
        <w:spacing w:after="100" w:before="200"/>
        <w:jc w:val="center"/>
      </w:pPr>
      <w:r>
        <w:rPr>
          <w:rFonts w:ascii="Calibri" w:cs="Calibri" w:eastAsia="Calibri" w:hAnsi="Calibri"/>
          <w:b/>
          <w:bCs/>
          <w:i/>
          <w:iCs/>
          <w:sz w:val="20"/>
          <w:szCs w:val="20"/>
        </w:rPr>
        <w:t xml:space="preserve">Table 3.1 — IRA v2.1 collinearity with structural moderators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000"/>
      </w:tblGrid>
      <w:tr>
        <w:trPr>
          <w:tblHeader/>
        </w:trPr>
        <w:tc>
          <w:tcPr>
            <w:tcW w:type="dxa" w:w="22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Moderator</w:t>
            </w:r>
          </w:p>
        </w:tc>
        <w:tc>
          <w:tcPr>
            <w:tcW w:type="dxa" w:w="24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r(IRA v2.1, moderator)</w:t>
            </w:r>
          </w:p>
        </w:tc>
        <w:tc>
          <w:tcPr>
            <w:tcW w:type="dxa" w:w="50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Theoretical implication</w:t>
            </w:r>
          </w:p>
        </w:tc>
      </w:tr>
      <w:tr>
        <w:tc>
          <w:tcPr>
            <w:tcW w:type="dxa" w:w="22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GEE</w:t>
            </w:r>
          </w:p>
        </w:tc>
        <w:tc>
          <w:tcPr>
            <w:tcW w:type="dxa" w:w="24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+0.40</w:t>
            </w:r>
          </w:p>
        </w:tc>
        <w:tc>
          <w:tcPr>
            <w:tcW w:type="dxa" w:w="50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Acceptable (residualised); reflects natural association</w:t>
            </w:r>
          </w:p>
        </w:tc>
      </w:tr>
      <w:tr>
        <w:tc>
          <w:tcPr>
            <w:tcW w:type="dxa" w:w="22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ITEA</w:t>
            </w:r>
          </w:p>
        </w:tc>
        <w:tc>
          <w:tcPr>
            <w:tcW w:type="dxa" w:w="24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+0.28</w:t>
            </w:r>
          </w:p>
        </w:tc>
        <w:tc>
          <w:tcPr>
            <w:tcW w:type="dxa" w:w="50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PROBLEMATIC: IRA conceptually distinct from exposure</w:t>
            </w:r>
          </w:p>
        </w:tc>
      </w:tr>
      <w:tr>
        <w:tc>
          <w:tcPr>
            <w:tcW w:type="dxa" w:w="22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ICT</w:t>
            </w:r>
          </w:p>
        </w:tc>
        <w:tc>
          <w:tcPr>
            <w:tcW w:type="dxa" w:w="24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+0.10</w:t>
            </w:r>
          </w:p>
        </w:tc>
        <w:tc>
          <w:tcPr>
            <w:tcW w:type="dxa" w:w="50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Marginal but non-zero; technical complexity overlap</w:t>
            </w:r>
          </w:p>
        </w:tc>
      </w:tr>
    </w:tbl>
    <w:p>
      <w:pPr>
        <w:spacing w:after="100"/>
      </w:pPr>
      <w:r>
        <w:t xml:space="preserve"/>
      </w:r>
    </w:p>
    <w:p>
      <w:pPr>
        <w:spacing w:after="120" w:line="300"/>
        <w:jc w:val="both"/>
      </w:pPr>
      <w:r>
        <w:rPr>
          <w:rFonts w:ascii="Calibri" w:cs="Calibri" w:eastAsia="Calibri" w:hAnsi="Calibri"/>
          <w:b w:val="false"/>
          <w:bCs w:val="false"/>
          <w:i w:val="false"/>
          <w:iCs w:val="false"/>
          <w:sz w:val="22"/>
          <w:szCs w:val="22"/>
        </w:rPr>
        <w:t xml:space="preserve">The conceptual issue is that the framework defines IRA as adaptive resilience orthogonal to both qualification (GEE) and technical exposure (ITEA, ICT). Residualisation against GEE alone respects only the first part of this definition. The 0.28 correlation with ITEA reveals that IRA v2.1 still partially measures something correlated with exposure, which compromises the interpretation of GEE × IRA quadrant analysis: when the maximum-exposure quadrant is also where IRA correlates highest with ITEA, the quadrant pattern may partly reflect endogenous correlation rather than the substantive Insider-Outsider inversion that the trilogy claims.</w:t>
      </w:r>
    </w:p>
    <w:p>
      <w:pPr>
        <w:pStyle w:val="Heading2"/>
        <w:spacing w:after="140" w:before="280"/>
      </w:pPr>
      <w:r>
        <w:rPr>
          <w:rFonts w:ascii="Calibri" w:cs="Calibri" w:eastAsia="Calibri" w:hAnsi="Calibri"/>
          <w:b/>
          <w:bCs/>
          <w:color w:val="2E86C1"/>
          <w:sz w:val="26"/>
          <w:szCs w:val="26"/>
        </w:rPr>
        <w:t xml:space="preserve">3.2 Mathematical formulation v3.0</w:t>
      </w:r>
    </w:p>
    <w:p>
      <w:pPr>
        <w:spacing w:after="120" w:line="300"/>
        <w:jc w:val="both"/>
      </w:pPr>
      <w:r>
        <w:rPr>
          <w:rFonts w:ascii="Calibri" w:cs="Calibri" w:eastAsia="Calibri" w:hAnsi="Calibri"/>
          <w:b w:val="false"/>
          <w:bCs w:val="false"/>
          <w:i w:val="false"/>
          <w:iCs w:val="false"/>
          <w:sz w:val="22"/>
          <w:szCs w:val="22"/>
        </w:rPr>
        <w:t xml:space="preserve">The v3.0 specification residualises both raw inputs (CA and IRO_v1.45) against the full set of structural moderators (GEE, ITEA, ICT).</w:t>
      </w:r>
    </w:p>
    <w:p>
      <w:pPr>
        <w:spacing w:after="120" w:line="300"/>
        <w:jc w:val="both"/>
      </w:pPr>
      <w:r>
        <w:rPr>
          <w:rFonts w:ascii="Calibri" w:cs="Calibri" w:eastAsia="Calibri" w:hAnsi="Calibri"/>
          <w:b w:val="false"/>
          <w:bCs w:val="false"/>
          <w:i w:val="false"/>
          <w:iCs w:val="false"/>
          <w:sz w:val="22"/>
          <w:szCs w:val="22"/>
        </w:rPr>
        <w:t xml:space="preserve">Step 1. Triple residualisation.</w:t>
      </w:r>
    </w:p>
    <w:p>
      <w:pPr>
        <w:spacing w:after="140" w:before="140"/>
        <w:jc w:val="center"/>
      </w:pPr>
      <w:r>
        <w:rPr>
          <w:rFonts w:ascii="Cambria Math" w:cs="Cambria Math" w:eastAsia="Cambria Math" w:hAnsi="Cambria Math"/>
          <w:i/>
          <w:iCs/>
          <w:sz w:val="24"/>
          <w:szCs w:val="24"/>
        </w:rPr>
        <w:t xml:space="preserve">IRO_residual_v3.0 = IRO_v1.45 − OLS(IRO_v1.45 ~ GEE + ITEA_v3.0 + ICT)</w:t>
      </w:r>
    </w:p>
    <w:p>
      <w:pPr>
        <w:spacing w:after="140" w:before="140"/>
        <w:jc w:val="center"/>
      </w:pPr>
      <w:r>
        <w:rPr>
          <w:rFonts w:ascii="Cambria Math" w:cs="Cambria Math" w:eastAsia="Cambria Math" w:hAnsi="Cambria Math"/>
          <w:i/>
          <w:iCs/>
          <w:sz w:val="24"/>
          <w:szCs w:val="24"/>
        </w:rPr>
        <w:t xml:space="preserve">IRO_residual_v3.0_norm = min-max(IRO_residual_v3.0, [0, 1])</w:t>
      </w:r>
    </w:p>
    <w:p>
      <w:pPr>
        <w:spacing w:after="120" w:line="300"/>
        <w:jc w:val="both"/>
      </w:pPr>
      <w:r>
        <w:rPr>
          <w:rFonts w:ascii="Calibri" w:cs="Calibri" w:eastAsia="Calibri" w:hAnsi="Calibri"/>
          <w:b w:val="false"/>
          <w:bCs w:val="false"/>
          <w:i w:val="false"/>
          <w:iCs w:val="false"/>
          <w:sz w:val="22"/>
          <w:szCs w:val="22"/>
        </w:rPr>
        <w:t xml:space="preserve">Step 2. Normalisation of CA.</w:t>
      </w:r>
    </w:p>
    <w:p>
      <w:pPr>
        <w:spacing w:after="140" w:before="140"/>
        <w:jc w:val="center"/>
      </w:pPr>
      <w:r>
        <w:rPr>
          <w:rFonts w:ascii="Cambria Math" w:cs="Cambria Math" w:eastAsia="Cambria Math" w:hAnsi="Cambria Math"/>
          <w:i/>
          <w:iCs/>
          <w:sz w:val="24"/>
          <w:szCs w:val="24"/>
        </w:rPr>
        <w:t xml:space="preserve">CA_norm = min-max(CA, [0, 1])</w:t>
      </w:r>
    </w:p>
    <w:p>
      <w:pPr>
        <w:spacing w:after="120" w:line="300"/>
        <w:jc w:val="both"/>
      </w:pPr>
      <w:r>
        <w:rPr>
          <w:rFonts w:ascii="Calibri" w:cs="Calibri" w:eastAsia="Calibri" w:hAnsi="Calibri"/>
          <w:b w:val="false"/>
          <w:bCs w:val="false"/>
          <w:i w:val="false"/>
          <w:iCs w:val="false"/>
          <w:sz w:val="22"/>
          <w:szCs w:val="22"/>
        </w:rPr>
        <w:t xml:space="preserve">Step 3. Combination with preserved 60/40 weights.</w:t>
      </w:r>
    </w:p>
    <w:p>
      <w:pPr>
        <w:spacing w:after="140" w:before="140"/>
        <w:jc w:val="center"/>
      </w:pPr>
      <w:r>
        <w:rPr>
          <w:rFonts w:ascii="Cambria Math" w:cs="Cambria Math" w:eastAsia="Cambria Math" w:hAnsi="Cambria Math"/>
          <w:i/>
          <w:iCs/>
          <w:sz w:val="24"/>
          <w:szCs w:val="24"/>
        </w:rPr>
        <w:t xml:space="preserve">IRA_v3.0 = 0.60 · CA_norm + 0.40 · IRO_residual_v3.0_norm</w:t>
      </w:r>
    </w:p>
    <w:p>
      <w:pPr>
        <w:spacing w:after="120" w:line="300"/>
        <w:jc w:val="both"/>
      </w:pPr>
      <w:r>
        <w:rPr>
          <w:rFonts w:ascii="Calibri" w:cs="Calibri" w:eastAsia="Calibri" w:hAnsi="Calibri"/>
          <w:b w:val="false"/>
          <w:bCs w:val="false"/>
          <w:i w:val="false"/>
          <w:iCs w:val="false"/>
          <w:sz w:val="22"/>
          <w:szCs w:val="22"/>
        </w:rPr>
        <w:t xml:space="preserve">The choice to residualise IRO against (GEE, ITEA, ICT) but to keep CA in raw form is deliberate. CA is the conceptually primary component of IRA — it directly measures adaptability through five O*NET items (Innovation, Adaptability, Tolerance, Curiosity, Initiative). Residualising CA would either remove the natural association with qualification (which is conceptually expected: highly qualified workers do tend to be more adaptable in operational practice) or distort the construct. The 60/40 weight in favour of CA preserves the conceptual centrality of CA while letting the orthogonalised IRO_residual capture additional information that is independent of all three structural moderators.</w:t>
      </w:r>
    </w:p>
    <w:p>
      <w:pPr>
        <w:spacing w:after="120" w:line="300"/>
        <w:jc w:val="both"/>
      </w:pPr>
      <w:r>
        <w:rPr>
          <w:rFonts w:ascii="Calibri" w:cs="Calibri" w:eastAsia="Calibri" w:hAnsi="Calibri"/>
          <w:b w:val="false"/>
          <w:bCs w:val="false"/>
          <w:i w:val="false"/>
          <w:iCs w:val="false"/>
          <w:sz w:val="22"/>
          <w:szCs w:val="22"/>
        </w:rPr>
        <w:t xml:space="preserve">An alternative specification was tested in which BOTH CA and IRO_residual were residualised against (GEE, ITEA, ICT), achieving exact orthogonality (r = 0.00 with all three moderators) at the cost of removing CA's natural meaning. This was rejected because it would produce an IRA disconnected from the underlying O*NET signals — an artifact of the residualisation rather than a measure of adaptability.</w:t>
      </w:r>
    </w:p>
    <w:p>
      <w:pPr>
        <w:pStyle w:val="Heading2"/>
        <w:spacing w:after="140" w:before="280"/>
      </w:pPr>
      <w:r>
        <w:rPr>
          <w:rFonts w:ascii="Calibri" w:cs="Calibri" w:eastAsia="Calibri" w:hAnsi="Calibri"/>
          <w:b/>
          <w:bCs/>
          <w:color w:val="2E86C1"/>
          <w:sz w:val="26"/>
          <w:szCs w:val="26"/>
        </w:rPr>
        <w:t xml:space="preserve">3.3 Validation results</w:t>
      </w:r>
    </w:p>
    <w:p>
      <w:pPr>
        <w:spacing w:after="100"/>
      </w:pPr>
      <w:r>
        <w:t xml:space="preserve"/>
      </w:r>
    </w:p>
    <w:p>
      <w:pPr>
        <w:spacing w:after="100" w:before="200"/>
        <w:jc w:val="center"/>
      </w:pPr>
      <w:r>
        <w:rPr>
          <w:rFonts w:ascii="Calibri" w:cs="Calibri" w:eastAsia="Calibri" w:hAnsi="Calibri"/>
          <w:b/>
          <w:bCs/>
          <w:i/>
          <w:iCs/>
          <w:sz w:val="20"/>
          <w:szCs w:val="20"/>
        </w:rPr>
        <w:t xml:space="preserve">Table 3.2 — IRA v3.0 vs v2.1 validation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1300"/>
        <w:gridCol w:w="2000"/>
      </w:tblGrid>
      <w:tr>
        <w:trPr>
          <w:tblHeader/>
        </w:trPr>
        <w:tc>
          <w:tcPr>
            <w:tcW w:type="dxa" w:w="32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Metric</w:t>
            </w:r>
          </w:p>
        </w:tc>
        <w:tc>
          <w:tcPr>
            <w:tcW w:type="dxa" w:w="15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v2.1</w:t>
            </w:r>
          </w:p>
        </w:tc>
        <w:tc>
          <w:tcPr>
            <w:tcW w:type="dxa" w:w="15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v3.0</w:t>
            </w:r>
          </w:p>
        </w:tc>
        <w:tc>
          <w:tcPr>
            <w:tcW w:type="dxa" w:w="13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Δ</w:t>
            </w:r>
          </w:p>
        </w:tc>
        <w:tc>
          <w:tcPr>
            <w:tcW w:type="dxa" w:w="20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Status</w:t>
            </w:r>
          </w:p>
        </w:tc>
      </w:tr>
      <w:tr>
        <w:tc>
          <w:tcPr>
            <w:tcW w:type="dxa" w:w="32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r(IRA, GEE) [discriminant primary]</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+0.4004</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+0.3969</w:t>
            </w:r>
          </w:p>
        </w:tc>
        <w:tc>
          <w:tcPr>
            <w:tcW w:type="dxa" w:w="13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−0.0035</w:t>
            </w:r>
          </w:p>
        </w:tc>
        <w:tc>
          <w:tcPr>
            <w:tcW w:type="dxa" w:w="20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Stable</w:t>
            </w:r>
          </w:p>
        </w:tc>
      </w:tr>
      <w:tr>
        <w:tc>
          <w:tcPr>
            <w:tcW w:type="dxa" w:w="32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r(IRA, ITEA) [discriminant secondary]</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+0.2758</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+0.1448</w:t>
            </w:r>
          </w:p>
        </w:tc>
        <w:tc>
          <w:tcPr>
            <w:tcW w:type="dxa" w:w="13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−0.1310</w:t>
            </w:r>
          </w:p>
        </w:tc>
        <w:tc>
          <w:tcPr>
            <w:tcW w:type="dxa" w:w="20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IMPROVED</w:t>
            </w:r>
          </w:p>
        </w:tc>
      </w:tr>
      <w:tr>
        <w:tc>
          <w:tcPr>
            <w:tcW w:type="dxa" w:w="32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r(IRA, ICT) [discriminant tertiary]</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+0.0960</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+0.0584</w:t>
            </w:r>
          </w:p>
        </w:tc>
        <w:tc>
          <w:tcPr>
            <w:tcW w:type="dxa" w:w="13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−0.0376</w:t>
            </w:r>
          </w:p>
        </w:tc>
        <w:tc>
          <w:tcPr>
            <w:tcW w:type="dxa" w:w="20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IMPROVED</w:t>
            </w:r>
          </w:p>
        </w:tc>
      </w:tr>
      <w:tr>
        <w:tc>
          <w:tcPr>
            <w:tcW w:type="dxa" w:w="32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Variance retained vs raw IRO</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100.0%</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83.8%</w:t>
            </w:r>
          </w:p>
        </w:tc>
        <w:tc>
          <w:tcPr>
            <w:tcW w:type="dxa" w:w="13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−16.2%</w:t>
            </w:r>
          </w:p>
        </w:tc>
        <w:tc>
          <w:tcPr>
            <w:tcW w:type="dxa" w:w="20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Acceptable</w:t>
            </w:r>
          </w:p>
        </w:tc>
      </w:tr>
      <w:tr>
        <w:tc>
          <w:tcPr>
            <w:tcW w:type="dxa" w:w="32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r(IRA v2.1, IRA v3.0) [stability]</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+0.999</w:t>
            </w:r>
          </w:p>
        </w:tc>
        <w:tc>
          <w:tcPr>
            <w:tcW w:type="dxa" w:w="13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w:t>
            </w:r>
          </w:p>
        </w:tc>
        <w:tc>
          <w:tcPr>
            <w:tcW w:type="dxa" w:w="20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Very high</w:t>
            </w:r>
          </w:p>
        </w:tc>
      </w:tr>
    </w:tbl>
    <w:p>
      <w:pPr>
        <w:spacing w:after="100"/>
      </w:pPr>
      <w:r>
        <w:t xml:space="preserve"/>
      </w:r>
    </w:p>
    <w:p>
      <w:pPr>
        <w:spacing w:after="120" w:line="300"/>
        <w:jc w:val="both"/>
      </w:pPr>
      <w:r>
        <w:rPr>
          <w:rFonts w:ascii="Calibri" w:cs="Calibri" w:eastAsia="Calibri" w:hAnsi="Calibri"/>
          <w:b w:val="false"/>
          <w:bCs w:val="false"/>
          <w:i w:val="false"/>
          <w:iCs w:val="false"/>
          <w:sz w:val="22"/>
          <w:szCs w:val="22"/>
        </w:rPr>
        <w:t xml:space="preserve">The discriminant validity gains are substantial: r(IRA, ITEA) drops by half (0.28 → 0.14) and r(IRA, ICT) drops by 40%. The primary discriminant against GEE is preserved at 0.40 — slightly improved by the more complete residualisation. The 16% variance loss is acceptable given the construct purification: variance shared with structural moderators is not informative for the IRA construct anyway.</w:t>
      </w:r>
    </w:p>
    <w:p>
      <w:pPr>
        <w:spacing w:after="120" w:line="300"/>
        <w:jc w:val="both"/>
      </w:pPr>
      <w:r>
        <w:rPr>
          <w:rFonts w:ascii="Calibri" w:cs="Calibri" w:eastAsia="Calibri" w:hAnsi="Calibri"/>
          <w:b w:val="false"/>
          <w:bCs w:val="false"/>
          <w:i w:val="false"/>
          <w:iCs w:val="false"/>
          <w:sz w:val="22"/>
          <w:szCs w:val="22"/>
        </w:rPr>
        <w:t xml:space="preserve">The 0.999 cross-version Pearson correlation is striking and not accidental: triple residualisation refines the construct without changing its essential information content, because most of the variance in IRA derives from CA (which is unchanged) and IRO_residual_v2.1 already removes most of the GEE overlap. The marginal additional residualisation against ITEA and ICT removes only the small portion of variance that overlaps with these moderators.</w:t>
      </w:r>
    </w:p>
    <w:p>
      <w:pPr>
        <w:pStyle w:val="Heading2"/>
        <w:spacing w:after="140" w:before="280"/>
      </w:pPr>
      <w:r>
        <w:rPr>
          <w:rFonts w:ascii="Calibri" w:cs="Calibri" w:eastAsia="Calibri" w:hAnsi="Calibri"/>
          <w:b/>
          <w:bCs/>
          <w:color w:val="2E86C1"/>
          <w:sz w:val="26"/>
          <w:szCs w:val="26"/>
        </w:rPr>
        <w:t xml:space="preserve">3.4 Implementation</w:t>
      </w:r>
    </w:p>
    <w:p>
      <w:pPr>
        <w:spacing w:after="120" w:line="300"/>
        <w:jc w:val="both"/>
      </w:pPr>
      <w:r>
        <w:rPr>
          <w:rFonts w:ascii="Calibri" w:cs="Calibri" w:eastAsia="Calibri" w:hAnsi="Calibri"/>
          <w:b w:val="false"/>
          <w:bCs w:val="false"/>
          <w:i w:val="false"/>
          <w:iCs w:val="false"/>
          <w:sz w:val="22"/>
          <w:szCs w:val="22"/>
        </w:rPr>
        <w:t xml:space="preserve">Reference implementation in Python:</w:t>
      </w:r>
    </w:p>
    <w:p>
      <w:pPr>
        <w:spacing w:after="80" w:before="80"/>
        <w:ind w:left="540"/>
        <w:jc w:val="left"/>
      </w:pPr>
      <w:r>
        <w:rPr>
          <w:rFonts w:ascii="Consolas" w:cs="Consolas" w:eastAsia="Consolas" w:hAnsi="Consolas"/>
          <w:sz w:val="20"/>
          <w:szCs w:val="20"/>
        </w:rPr>
        <w:t xml:space="preserve">def ira_v3(ca, iro_v145, gee, itea_v3, ict):</w:t>
      </w:r>
    </w:p>
    <w:p>
      <w:pPr>
        <w:spacing w:after="80" w:before="80"/>
        <w:ind w:left="540"/>
        <w:jc w:val="left"/>
      </w:pPr>
      <w:r>
        <w:rPr>
          <w:rFonts w:ascii="Consolas" w:cs="Consolas" w:eastAsia="Consolas" w:hAnsi="Consolas"/>
          <w:sz w:val="20"/>
          <w:szCs w:val="20"/>
        </w:rPr>
        <w:t xml:space="preserve">    import numpy as np</w:t>
      </w:r>
    </w:p>
    <w:p>
      <w:pPr>
        <w:spacing w:after="80" w:before="80"/>
        <w:ind w:left="540"/>
        <w:jc w:val="left"/>
      </w:pPr>
      <w:r>
        <w:rPr>
          <w:rFonts w:ascii="Consolas" w:cs="Consolas" w:eastAsia="Consolas" w:hAnsi="Consolas"/>
          <w:sz w:val="20"/>
          <w:szCs w:val="20"/>
        </w:rPr>
        <w:t xml:space="preserve">    X = np.column_stack([np.ones_like(gee), gee, itea_v3, ict])</w:t>
      </w:r>
    </w:p>
    <w:p>
      <w:pPr>
        <w:spacing w:after="80" w:before="80"/>
        <w:ind w:left="540"/>
        <w:jc w:val="left"/>
      </w:pPr>
      <w:r>
        <w:rPr>
          <w:rFonts w:ascii="Consolas" w:cs="Consolas" w:eastAsia="Consolas" w:hAnsi="Consolas"/>
          <w:sz w:val="20"/>
          <w:szCs w:val="20"/>
        </w:rPr>
        <w:t xml:space="preserve">    beta, *_ = np.linalg.lstsq(X, iro_v145, rcond=None)</w:t>
      </w:r>
    </w:p>
    <w:p>
      <w:pPr>
        <w:spacing w:after="80" w:before="80"/>
        <w:ind w:left="540"/>
        <w:jc w:val="left"/>
      </w:pPr>
      <w:r>
        <w:rPr>
          <w:rFonts w:ascii="Consolas" w:cs="Consolas" w:eastAsia="Consolas" w:hAnsi="Consolas"/>
          <w:sz w:val="20"/>
          <w:szCs w:val="20"/>
        </w:rPr>
        <w:t xml:space="preserve">    iro_res = iro_v145 - X @ beta</w:t>
      </w:r>
    </w:p>
    <w:p>
      <w:pPr>
        <w:spacing w:after="80" w:before="80"/>
        <w:ind w:left="540"/>
        <w:jc w:val="left"/>
      </w:pPr>
      <w:r>
        <w:rPr>
          <w:rFonts w:ascii="Consolas" w:cs="Consolas" w:eastAsia="Consolas" w:hAnsi="Consolas"/>
          <w:sz w:val="20"/>
          <w:szCs w:val="20"/>
        </w:rPr>
        <w:t xml:space="preserve">    iro_res_n = (iro_res - iro_res.min()) / (iro_res.max() - iro_res.min())</w:t>
      </w:r>
    </w:p>
    <w:p>
      <w:pPr>
        <w:spacing w:after="80" w:before="80"/>
        <w:ind w:left="540"/>
        <w:jc w:val="left"/>
      </w:pPr>
      <w:r>
        <w:rPr>
          <w:rFonts w:ascii="Consolas" w:cs="Consolas" w:eastAsia="Consolas" w:hAnsi="Consolas"/>
          <w:sz w:val="20"/>
          <w:szCs w:val="20"/>
        </w:rPr>
        <w:t xml:space="preserve">    ca_n = (ca - ca.min()) / (ca.max() - ca.min())</w:t>
      </w:r>
    </w:p>
    <w:p>
      <w:pPr>
        <w:spacing w:after="80" w:before="80"/>
        <w:ind w:left="540"/>
        <w:jc w:val="left"/>
      </w:pPr>
      <w:r>
        <w:rPr>
          <w:rFonts w:ascii="Consolas" w:cs="Consolas" w:eastAsia="Consolas" w:hAnsi="Consolas"/>
          <w:sz w:val="20"/>
          <w:szCs w:val="20"/>
        </w:rPr>
        <w:t xml:space="preserve">    return 0.60 * ca_n + 0.40 * iro_res_n</w:t>
      </w:r>
    </w:p>
    <w:p>
      <w:pPr>
        <w:spacing w:after="120" w:line="300"/>
        <w:jc w:val="both"/>
      </w:pPr>
      <w:r>
        <w:rPr>
          <w:rFonts w:ascii="Calibri" w:cs="Calibri" w:eastAsia="Calibri" w:hAnsi="Calibri"/>
          <w:b w:val="false"/>
          <w:bCs w:val="false"/>
          <w:i w:val="false"/>
          <w:iCs w:val="false"/>
          <w:sz w:val="22"/>
          <w:szCs w:val="22"/>
        </w:rPr>
        <w:t xml:space="preserve">Note that this specification creates a chain of dependencies: ITEA v3.0 must be computed first (because it enters the IRA residualisation), which means the indicators must be computed in order: ITEA → IRA → OAEI. This is documented in Section 7 of the migration guide.</w:t>
      </w:r>
    </w:p>
    <w:p>
      <w:pPr>
        <w:pStyle w:val="Heading1"/>
        <w:spacing w:after="200" w:before="360"/>
      </w:pPr>
      <w:r>
        <w:rPr>
          <w:rFonts w:ascii="Calibri" w:cs="Calibri" w:eastAsia="Calibri" w:hAnsi="Calibri"/>
          <w:b/>
          <w:bCs/>
          <w:color w:val="1B4F72"/>
          <w:sz w:val="32"/>
          <w:szCs w:val="32"/>
        </w:rPr>
        <w:t xml:space="preserve">4. OAEI v3.0 — Dual-Variant Architecture</w:t>
      </w:r>
    </w:p>
    <w:p>
      <w:pPr>
        <w:spacing w:after="120" w:line="300"/>
        <w:jc w:val="both"/>
      </w:pPr>
      <w:r>
        <w:rPr>
          <w:rFonts w:ascii="Calibri" w:cs="Calibri" w:eastAsia="Calibri" w:hAnsi="Calibri"/>
          <w:b w:val="false"/>
          <w:bCs w:val="false"/>
          <w:i w:val="false"/>
          <w:iCs w:val="false"/>
          <w:sz w:val="22"/>
          <w:szCs w:val="22"/>
        </w:rPr>
        <w:t xml:space="preserve">The OAEI is the operational composite of the framework, designed to provide a single occupation-level scalar that captures the severity of contractual mismatch under the Agentic regime. The v3.0 introduces a dual-variant architecture: a canonical multiplicative variant that preserves backward compatibility with the trilogy of papers, and an alternative additive variant that improves criterion validity for applications where the multiplicative form is not required for theoretical alignment.</w:t>
      </w:r>
    </w:p>
    <w:p>
      <w:pPr>
        <w:pStyle w:val="Heading2"/>
        <w:spacing w:after="140" w:before="280"/>
      </w:pPr>
      <w:r>
        <w:rPr>
          <w:rFonts w:ascii="Calibri" w:cs="Calibri" w:eastAsia="Calibri" w:hAnsi="Calibri"/>
          <w:b/>
          <w:bCs/>
          <w:color w:val="2E86C1"/>
          <w:sz w:val="26"/>
          <w:szCs w:val="26"/>
        </w:rPr>
        <w:t xml:space="preserve">4.1 OAEI v3.0 (canonical multiplicative)</w:t>
      </w:r>
    </w:p>
    <w:p>
      <w:pPr>
        <w:spacing w:after="120" w:line="300"/>
        <w:jc w:val="both"/>
      </w:pPr>
      <w:r>
        <w:rPr>
          <w:rFonts w:ascii="Calibri" w:cs="Calibri" w:eastAsia="Calibri" w:hAnsi="Calibri"/>
          <w:b w:val="false"/>
          <w:bCs w:val="false"/>
          <w:i w:val="false"/>
          <w:iCs w:val="false"/>
          <w:sz w:val="22"/>
          <w:szCs w:val="22"/>
        </w:rPr>
        <w:t xml:space="preserve">The canonical OAEI v3.0 preserves the multiplicative structure of v2.1 and only upgrades the ITEA input:</w:t>
      </w:r>
    </w:p>
    <w:p>
      <w:pPr>
        <w:spacing w:after="140" w:before="140"/>
        <w:jc w:val="center"/>
      </w:pPr>
      <w:r>
        <w:rPr>
          <w:rFonts w:ascii="Cambria Math" w:cs="Cambria Math" w:eastAsia="Cambria Math" w:hAnsi="Cambria Math"/>
          <w:i/>
          <w:iCs/>
          <w:sz w:val="24"/>
          <w:szCs w:val="24"/>
        </w:rPr>
        <w:t xml:space="preserve">OAEI_raw_v3.0 = ITEA_v3.0 × GEE × ICT × (1 − IPI)</w:t>
      </w:r>
    </w:p>
    <w:p>
      <w:pPr>
        <w:spacing w:after="140" w:before="140"/>
        <w:jc w:val="center"/>
      </w:pPr>
      <w:r>
        <w:rPr>
          <w:rFonts w:ascii="Cambria Math" w:cs="Cambria Math" w:eastAsia="Cambria Math" w:hAnsi="Cambria Math"/>
          <w:i/>
          <w:iCs/>
          <w:sz w:val="24"/>
          <w:szCs w:val="24"/>
        </w:rPr>
        <w:t xml:space="preserve">OAEI_v3.0 = 1 + 99 × (OAEI_raw_v3.0 − min) / (max − min)</w:t>
      </w:r>
    </w:p>
    <w:p>
      <w:pPr>
        <w:spacing w:after="120" w:line="300"/>
        <w:jc w:val="both"/>
      </w:pPr>
      <w:r>
        <w:rPr>
          <w:rFonts w:ascii="Calibri" w:cs="Calibri" w:eastAsia="Calibri" w:hAnsi="Calibri"/>
          <w:b w:val="false"/>
          <w:bCs w:val="false"/>
          <w:i w:val="false"/>
          <w:iCs w:val="false"/>
          <w:sz w:val="22"/>
          <w:szCs w:val="22"/>
        </w:rPr>
        <w:t xml:space="preserve">The multiplicative structure is preserved for three reasons. First, it is the form cited in the trilogy (Paper 8A v2.2 §3.4, Paper 8B v1.4 Section 3, Paper 8C v1.1) and changing it would force immediate updates to those papers. Second, the multiplicative form embeds the conceptual claim that exposure dimensions are NOT additive: a worker with high ITEA but very low GEE (e.g., a highly automatable occupation that requires no formal qualification) is structurally different from a worker with moderate exposure on both — multiplicativity captures this complementarity. Third, the (1 − IPI) factor implements the SECI-grounded claim that physical presence is a natural barrier to algorithmic crystallisation.</w:t>
      </w:r>
    </w:p>
    <w:p>
      <w:pPr>
        <w:pStyle w:val="Heading2"/>
        <w:spacing w:after="140" w:before="280"/>
      </w:pPr>
      <w:r>
        <w:rPr>
          <w:rFonts w:ascii="Calibri" w:cs="Calibri" w:eastAsia="Calibri" w:hAnsi="Calibri"/>
          <w:b/>
          <w:bCs/>
          <w:color w:val="2E86C1"/>
          <w:sz w:val="26"/>
          <w:szCs w:val="26"/>
        </w:rPr>
        <w:t xml:space="preserve">4.2 OAEI v3.0+ (alternative additive)</w:t>
      </w:r>
    </w:p>
    <w:p>
      <w:pPr>
        <w:spacing w:after="120" w:line="300"/>
        <w:jc w:val="both"/>
      </w:pPr>
      <w:r>
        <w:rPr>
          <w:rFonts w:ascii="Calibri" w:cs="Calibri" w:eastAsia="Calibri" w:hAnsi="Calibri"/>
          <w:b w:val="false"/>
          <w:bCs w:val="false"/>
          <w:i w:val="false"/>
          <w:iCs w:val="false"/>
          <w:sz w:val="22"/>
          <w:szCs w:val="22"/>
        </w:rPr>
        <w:t xml:space="preserve">An alternative additive variant is provided for applications where criterion validity (against wage, employment outcomes, etc.) is the primary concern and the multiplicative form is not theoretically required.</w:t>
      </w:r>
    </w:p>
    <w:p>
      <w:pPr>
        <w:spacing w:after="140" w:before="140"/>
        <w:jc w:val="center"/>
      </w:pPr>
      <w:r>
        <w:rPr>
          <w:rFonts w:ascii="Cambria Math" w:cs="Cambria Math" w:eastAsia="Cambria Math" w:hAnsi="Cambria Math"/>
          <w:i/>
          <w:iCs/>
          <w:sz w:val="24"/>
          <w:szCs w:val="24"/>
        </w:rPr>
        <w:t xml:space="preserve">OAEI_raw_v3.0+ = 0.5 · GEE + 0.3 · ITEA_v3.0 + 0.2 · ICT · (1 − IPI)</w:t>
      </w:r>
    </w:p>
    <w:p>
      <w:pPr>
        <w:spacing w:after="140" w:before="140"/>
        <w:jc w:val="center"/>
      </w:pPr>
      <w:r>
        <w:rPr>
          <w:rFonts w:ascii="Cambria Math" w:cs="Cambria Math" w:eastAsia="Cambria Math" w:hAnsi="Cambria Math"/>
          <w:i/>
          <w:iCs/>
          <w:sz w:val="24"/>
          <w:szCs w:val="24"/>
        </w:rPr>
        <w:t xml:space="preserve">OAEI_v3.0+ = 1 + 99 × (OAEI_raw_v3.0+ − min) / (max − min)</w:t>
      </w:r>
    </w:p>
    <w:p>
      <w:pPr>
        <w:spacing w:after="120" w:line="300"/>
        <w:jc w:val="both"/>
      </w:pPr>
      <w:r>
        <w:rPr>
          <w:rFonts w:ascii="Calibri" w:cs="Calibri" w:eastAsia="Calibri" w:hAnsi="Calibri"/>
          <w:b w:val="false"/>
          <w:bCs w:val="false"/>
          <w:i w:val="false"/>
          <w:iCs w:val="false"/>
          <w:sz w:val="22"/>
          <w:szCs w:val="22"/>
        </w:rPr>
        <w:t xml:space="preserve">The weights 0.5, 0.3, 0.2 reflect the empirical convergent validity hierarchy of the components against AIOE: GEE leads at r = 0.745, ITEA follows at r = 0.430, and ICT × (1 − IPI) provides the remainder. The variant retains a multiplicative interaction between ICT and (1 − IPI) because the SECI-grounded claim about physical presence interacting with technical complexity is supported.</w:t>
      </w:r>
    </w:p>
    <w:p>
      <w:pPr>
        <w:pStyle w:val="Heading2"/>
        <w:spacing w:after="140" w:before="280"/>
      </w:pPr>
      <w:r>
        <w:rPr>
          <w:rFonts w:ascii="Calibri" w:cs="Calibri" w:eastAsia="Calibri" w:hAnsi="Calibri"/>
          <w:b/>
          <w:bCs/>
          <w:color w:val="2E86C1"/>
          <w:sz w:val="26"/>
          <w:szCs w:val="26"/>
        </w:rPr>
        <w:t xml:space="preserve">4.3 Comparative validation</w:t>
      </w:r>
    </w:p>
    <w:p>
      <w:pPr>
        <w:spacing w:after="100"/>
      </w:pPr>
      <w:r>
        <w:t xml:space="preserve"/>
      </w:r>
    </w:p>
    <w:p>
      <w:pPr>
        <w:spacing w:after="100" w:before="200"/>
        <w:jc w:val="center"/>
      </w:pPr>
      <w:r>
        <w:rPr>
          <w:rFonts w:ascii="Calibri" w:cs="Calibri" w:eastAsia="Calibri" w:hAnsi="Calibri"/>
          <w:b/>
          <w:bCs/>
          <w:i/>
          <w:iCs/>
          <w:sz w:val="20"/>
          <w:szCs w:val="20"/>
        </w:rPr>
        <w:t xml:space="preserve">Table 4.1 — OAEI variant comparison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1700"/>
        <w:gridCol w:w="1900"/>
        <w:gridCol w:w="1700"/>
        <w:gridCol w:w="1500"/>
      </w:tblGrid>
      <w:tr>
        <w:trPr>
          <w:tblHeader/>
        </w:trPr>
        <w:tc>
          <w:tcPr>
            <w:tcW w:type="dxa" w:w="32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Criterion</w:t>
            </w:r>
          </w:p>
        </w:tc>
        <w:tc>
          <w:tcPr>
            <w:tcW w:type="dxa" w:w="17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v2.1 baseline</w:t>
            </w:r>
          </w:p>
        </w:tc>
        <w:tc>
          <w:tcPr>
            <w:tcW w:type="dxa" w:w="19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v3.0 multiplicative</w:t>
            </w:r>
          </w:p>
        </w:tc>
        <w:tc>
          <w:tcPr>
            <w:tcW w:type="dxa" w:w="17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v3.0+ additive</w:t>
            </w:r>
          </w:p>
        </w:tc>
        <w:tc>
          <w:tcPr>
            <w:tcW w:type="dxa" w:w="15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Best variant</w:t>
            </w:r>
          </w:p>
        </w:tc>
      </w:tr>
      <w:tr>
        <w:tc>
          <w:tcPr>
            <w:tcW w:type="dxa" w:w="32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r(OAEI, AIOE) [external]</w:t>
            </w:r>
          </w:p>
        </w:tc>
        <w:tc>
          <w:tcPr>
            <w:tcW w:type="dxa" w:w="17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+0.8062</w:t>
            </w:r>
          </w:p>
        </w:tc>
        <w:tc>
          <w:tcPr>
            <w:tcW w:type="dxa" w:w="19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+0.7654</w:t>
            </w:r>
          </w:p>
        </w:tc>
        <w:tc>
          <w:tcPr>
            <w:tcW w:type="dxa" w:w="17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+0.7968</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v2.1 ≈ v3.0+</w:t>
            </w:r>
          </w:p>
        </w:tc>
      </w:tr>
      <w:tr>
        <w:tc>
          <w:tcPr>
            <w:tcW w:type="dxa" w:w="32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r(OAEI, Wage) [criterion]</w:t>
            </w:r>
          </w:p>
        </w:tc>
        <w:tc>
          <w:tcPr>
            <w:tcW w:type="dxa" w:w="17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+0.5781</w:t>
            </w:r>
          </w:p>
        </w:tc>
        <w:tc>
          <w:tcPr>
            <w:tcW w:type="dxa" w:w="19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+0.5614</w:t>
            </w:r>
          </w:p>
        </w:tc>
        <w:tc>
          <w:tcPr>
            <w:tcW w:type="dxa" w:w="17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+0.6632</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v3.0+</w:t>
            </w:r>
          </w:p>
        </w:tc>
      </w:tr>
      <w:tr>
        <w:tc>
          <w:tcPr>
            <w:tcW w:type="dxa" w:w="32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r(OAEI, AEI) [internal]</w:t>
            </w:r>
          </w:p>
        </w:tc>
        <w:tc>
          <w:tcPr>
            <w:tcW w:type="dxa" w:w="17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+0.5320</w:t>
            </w:r>
          </w:p>
        </w:tc>
        <w:tc>
          <w:tcPr>
            <w:tcW w:type="dxa" w:w="19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+0.7747</w:t>
            </w:r>
          </w:p>
        </w:tc>
        <w:tc>
          <w:tcPr>
            <w:tcW w:type="dxa" w:w="17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+0.6702</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v3.0</w:t>
            </w:r>
          </w:p>
        </w:tc>
      </w:tr>
      <w:tr>
        <w:tc>
          <w:tcPr>
            <w:tcW w:type="dxa" w:w="32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Spearman ρ vs AIOE</w:t>
            </w:r>
          </w:p>
        </w:tc>
        <w:tc>
          <w:tcPr>
            <w:tcW w:type="dxa" w:w="17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+0.821</w:t>
            </w:r>
          </w:p>
        </w:tc>
        <w:tc>
          <w:tcPr>
            <w:tcW w:type="dxa" w:w="19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+0.787</w:t>
            </w:r>
          </w:p>
        </w:tc>
        <w:tc>
          <w:tcPr>
            <w:tcW w:type="dxa" w:w="17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+0.802</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v2.1 ≈ v3.0+</w:t>
            </w:r>
          </w:p>
        </w:tc>
      </w:tr>
      <w:tr>
        <w:tc>
          <w:tcPr>
            <w:tcW w:type="dxa" w:w="32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Cross-version r with v2.1</w:t>
            </w:r>
          </w:p>
        </w:tc>
        <w:tc>
          <w:tcPr>
            <w:tcW w:type="dxa" w:w="17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w:t>
            </w:r>
          </w:p>
        </w:tc>
        <w:tc>
          <w:tcPr>
            <w:tcW w:type="dxa" w:w="19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+0.927</w:t>
            </w:r>
          </w:p>
        </w:tc>
        <w:tc>
          <w:tcPr>
            <w:tcW w:type="dxa" w:w="17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+0.880</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v3.0</w:t>
            </w:r>
          </w:p>
        </w:tc>
      </w:tr>
    </w:tbl>
    <w:p>
      <w:pPr>
        <w:spacing w:after="100"/>
      </w:pPr>
      <w:r>
        <w:t xml:space="preserve"/>
      </w:r>
    </w:p>
    <w:p>
      <w:pPr>
        <w:spacing w:after="120" w:line="300"/>
        <w:jc w:val="both"/>
      </w:pPr>
      <w:r>
        <w:rPr>
          <w:rFonts w:ascii="Calibri" w:cs="Calibri" w:eastAsia="Calibri" w:hAnsi="Calibri"/>
          <w:b w:val="false"/>
          <w:bCs w:val="false"/>
          <w:i w:val="false"/>
          <w:iCs w:val="false"/>
          <w:sz w:val="22"/>
          <w:szCs w:val="22"/>
        </w:rPr>
        <w:t xml:space="preserve">The pattern is clear: the multiplicative v3.0 trades external AIOE convergence (−0.04) for internal AEI convergence (+0.24), reflecting that the upgraded ITEA is more aligned with AEI's task-based construction than with AIOE's ability-based construction. The additive v3.0+ recovers most of the external AIOE convergence (+0.03 vs v3.0 multiplicative) and, critically, improves criterion validity against wage by +0.09 — reaching 0.66, well above the v2.1 level.</w:t>
      </w:r>
    </w:p>
    <w:p>
      <w:pPr>
        <w:spacing w:after="120" w:line="300"/>
        <w:jc w:val="both"/>
      </w:pPr>
      <w:r>
        <w:rPr>
          <w:rFonts w:ascii="Calibri" w:cs="Calibri" w:eastAsia="Calibri" w:hAnsi="Calibri"/>
          <w:b w:val="false"/>
          <w:bCs w:val="false"/>
          <w:i w:val="false"/>
          <w:iCs w:val="false"/>
          <w:sz w:val="22"/>
          <w:szCs w:val="22"/>
        </w:rPr>
        <w:t xml:space="preserve">The interpretive consequence is that the v3.0 multiplicative variant is preferred when the research priority is internal coherence with the AEI auxiliary criterion and structural alignment with the trilogy; the v3.0+ additive variant is preferred when the research priority is criterion validity against external labour-market outcomes and convergence with the canonical AIOE benchmark.</w:t>
      </w:r>
    </w:p>
    <w:p>
      <w:pPr>
        <w:pStyle w:val="Heading2"/>
        <w:spacing w:after="140" w:before="280"/>
      </w:pPr>
      <w:r>
        <w:rPr>
          <w:rFonts w:ascii="Calibri" w:cs="Calibri" w:eastAsia="Calibri" w:hAnsi="Calibri"/>
          <w:b/>
          <w:bCs/>
          <w:color w:val="2E86C1"/>
          <w:sz w:val="26"/>
          <w:szCs w:val="26"/>
        </w:rPr>
        <w:t xml:space="preserve">4.4 Use case selection guide</w:t>
      </w:r>
    </w:p>
    <w:p>
      <w:pPr>
        <w:spacing w:after="100"/>
      </w:pPr>
      <w:r>
        <w:t xml:space="preserve"/>
      </w:r>
    </w:p>
    <w:p>
      <w:pPr>
        <w:spacing w:after="100" w:before="200"/>
        <w:jc w:val="center"/>
      </w:pPr>
      <w:r>
        <w:rPr>
          <w:rFonts w:ascii="Calibri" w:cs="Calibri" w:eastAsia="Calibri" w:hAnsi="Calibri"/>
          <w:b/>
          <w:bCs/>
          <w:i/>
          <w:iCs/>
          <w:sz w:val="20"/>
          <w:szCs w:val="20"/>
        </w:rPr>
        <w:t xml:space="preserve">Table 4.2 — Variant selection criteria</w:t>
      </w:r>
    </w:p>
    <w:tbl>
      <w:tblPr>
        <w:tblW w:type="dxa" w:w="11800"/>
        <w:tblBorders>
          <w:top w:val="single" w:color="auto" w:sz="4"/>
          <w:left w:val="single" w:color="auto" w:sz="4"/>
          <w:bottom w:val="single" w:color="auto" w:sz="4"/>
          <w:right w:val="single" w:color="auto" w:sz="4"/>
          <w:insideH w:val="single" w:color="auto" w:sz="4"/>
          <w:insideV w:val="single" w:color="auto" w:sz="4"/>
        </w:tblBorders>
      </w:tblPr>
      <w:tblGrid>
        <w:gridCol w:w="4400"/>
        <w:gridCol w:w="3200"/>
        <w:gridCol w:w="4200"/>
      </w:tblGrid>
      <w:tr>
        <w:trPr>
          <w:tblHeader/>
        </w:trPr>
        <w:tc>
          <w:tcPr>
            <w:tcW w:type="dxa" w:w="44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Use case</w:t>
            </w:r>
          </w:p>
        </w:tc>
        <w:tc>
          <w:tcPr>
            <w:tcW w:type="dxa" w:w="32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Recommended variant</w:t>
            </w:r>
          </w:p>
        </w:tc>
        <w:tc>
          <w:tcPr>
            <w:tcW w:type="dxa" w:w="42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Rationale</w:t>
            </w:r>
          </w:p>
        </w:tc>
      </w:tr>
      <w:tr>
        <w:tc>
          <w:tcPr>
            <w:tcW w:type="dxa" w:w="44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Replication of trilogy results (Papers 8A, 8B, 8C)</w:t>
            </w:r>
          </w:p>
        </w:tc>
        <w:tc>
          <w:tcPr>
            <w:tcW w:type="dxa" w:w="32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OAEI v3.0 multiplicative</w:t>
            </w:r>
          </w:p>
        </w:tc>
        <w:tc>
          <w:tcPr>
            <w:tcW w:type="dxa" w:w="42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Backward compatibility with cited formula</w:t>
            </w:r>
          </w:p>
        </w:tc>
      </w:tr>
      <w:tr>
        <w:tc>
          <w:tcPr>
            <w:tcW w:type="dxa" w:w="44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Cross-paper meta-analysis with AIOE-based studies</w:t>
            </w:r>
          </w:p>
        </w:tc>
        <w:tc>
          <w:tcPr>
            <w:tcW w:type="dxa" w:w="32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OAEI v3.0+ additive</w:t>
            </w:r>
          </w:p>
        </w:tc>
        <w:tc>
          <w:tcPr>
            <w:tcW w:type="dxa" w:w="42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Maximum AIOE convergence</w:t>
            </w:r>
          </w:p>
        </w:tc>
      </w:tr>
      <w:tr>
        <w:tc>
          <w:tcPr>
            <w:tcW w:type="dxa" w:w="44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Wage prediction / labour outcome modelling</w:t>
            </w:r>
          </w:p>
        </w:tc>
        <w:tc>
          <w:tcPr>
            <w:tcW w:type="dxa" w:w="32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OAEI v3.0+ additive</w:t>
            </w:r>
          </w:p>
        </w:tc>
        <w:tc>
          <w:tcPr>
            <w:tcW w:type="dxa" w:w="42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Criterion validity = 0.66</w:t>
            </w:r>
          </w:p>
        </w:tc>
      </w:tr>
      <w:tr>
        <w:tc>
          <w:tcPr>
            <w:tcW w:type="dxa" w:w="44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Sectoral aggregation and policy targeting</w:t>
            </w:r>
          </w:p>
        </w:tc>
        <w:tc>
          <w:tcPr>
            <w:tcW w:type="dxa" w:w="32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Either variant</w:t>
            </w:r>
          </w:p>
        </w:tc>
        <w:tc>
          <w:tcPr>
            <w:tcW w:type="dxa" w:w="42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Both produce similar SOC Major rankings</w:t>
            </w:r>
          </w:p>
        </w:tc>
      </w:tr>
      <w:tr>
        <w:tc>
          <w:tcPr>
            <w:tcW w:type="dxa" w:w="44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Theoretical exposition of Agentic regime</w:t>
            </w:r>
          </w:p>
        </w:tc>
        <w:tc>
          <w:tcPr>
            <w:tcW w:type="dxa" w:w="32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OAEI v3.0 multiplicative</w:t>
            </w:r>
          </w:p>
        </w:tc>
        <w:tc>
          <w:tcPr>
            <w:tcW w:type="dxa" w:w="42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Conceptual alignment with SECI complementarity</w:t>
            </w:r>
          </w:p>
        </w:tc>
      </w:tr>
      <w:tr>
        <w:tc>
          <w:tcPr>
            <w:tcW w:type="dxa" w:w="44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New empirical research after April 2026</w:t>
            </w:r>
          </w:p>
        </w:tc>
        <w:tc>
          <w:tcPr>
            <w:tcW w:type="dxa" w:w="32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OAEI v3.0+ as primary, multiplicative as robustness check</w:t>
            </w:r>
          </w:p>
        </w:tc>
        <w:tc>
          <w:tcPr>
            <w:tcW w:type="dxa" w:w="42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Best of both with documented robustness</w:t>
            </w:r>
          </w:p>
        </w:tc>
      </w:tr>
    </w:tbl>
    <w:p>
      <w:pPr>
        <w:spacing w:after="100"/>
      </w:pPr>
      <w:r>
        <w:t xml:space="preserve"/>
      </w:r>
    </w:p>
    <w:p>
      <w:pPr>
        <w:pStyle w:val="Heading1"/>
        <w:spacing w:after="200" w:before="360"/>
      </w:pPr>
      <w:r>
        <w:rPr>
          <w:rFonts w:ascii="Calibri" w:cs="Calibri" w:eastAsia="Calibri" w:hAnsi="Calibri"/>
          <w:b/>
          <w:bCs/>
          <w:color w:val="1B4F72"/>
          <w:sz w:val="32"/>
          <w:szCs w:val="32"/>
        </w:rPr>
        <w:t xml:space="preserve">5. Integrated Validation — Eight Psychometric Criteria</w:t>
      </w:r>
    </w:p>
    <w:p>
      <w:pPr>
        <w:spacing w:after="120" w:line="300"/>
        <w:jc w:val="both"/>
      </w:pPr>
      <w:r>
        <w:rPr>
          <w:rFonts w:ascii="Calibri" w:cs="Calibri" w:eastAsia="Calibri" w:hAnsi="Calibri"/>
          <w:b w:val="false"/>
          <w:bCs w:val="false"/>
          <w:i w:val="false"/>
          <w:iCs w:val="false"/>
          <w:sz w:val="22"/>
          <w:szCs w:val="22"/>
        </w:rPr>
        <w:t xml:space="preserve">This section presents the integrated psychometric validation of the v3.0 framework against eight criteria, with side-by-side comparison against v2.1. The validation uses the complete-data subset (N = 846 occupations across all required indicators; N = 738 for criteria involving the AIOE benchmark).</w:t>
      </w:r>
    </w:p>
    <w:p>
      <w:pPr>
        <w:spacing w:after="100"/>
      </w:pPr>
      <w:r>
        <w:t xml:space="preserve"/>
      </w:r>
    </w:p>
    <w:p>
      <w:pPr>
        <w:spacing w:after="100" w:before="200"/>
        <w:jc w:val="center"/>
      </w:pPr>
      <w:r>
        <w:rPr>
          <w:rFonts w:ascii="Calibri" w:cs="Calibri" w:eastAsia="Calibri" w:hAnsi="Calibri"/>
          <w:b/>
          <w:bCs/>
          <w:i/>
          <w:iCs/>
          <w:sz w:val="20"/>
          <w:szCs w:val="20"/>
        </w:rPr>
        <w:t xml:space="preserve">Table 5.1 — Eight psychometric criteria, v3.0 vs v2.1</w:t>
      </w:r>
    </w:p>
    <w:tbl>
      <w:tblPr>
        <w:tblW w:type="dxa" w:w="11600"/>
        <w:tblBorders>
          <w:top w:val="single" w:color="auto" w:sz="4"/>
          <w:left w:val="single" w:color="auto" w:sz="4"/>
          <w:bottom w:val="single" w:color="auto" w:sz="4"/>
          <w:right w:val="single" w:color="auto" w:sz="4"/>
          <w:insideH w:val="single" w:color="auto" w:sz="4"/>
          <w:insideV w:val="single" w:color="auto" w:sz="4"/>
        </w:tblBorders>
      </w:tblPr>
      <w:tblGrid>
        <w:gridCol w:w="600"/>
        <w:gridCol w:w="4500"/>
        <w:gridCol w:w="1300"/>
        <w:gridCol w:w="1300"/>
        <w:gridCol w:w="1300"/>
        <w:gridCol w:w="1100"/>
        <w:gridCol w:w="1500"/>
      </w:tblGrid>
      <w:tr>
        <w:trPr>
          <w:tblHeader/>
        </w:trPr>
        <w:tc>
          <w:tcPr>
            <w:tcW w:type="dxa" w:w="6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w:t>
            </w:r>
          </w:p>
        </w:tc>
        <w:tc>
          <w:tcPr>
            <w:tcW w:type="dxa" w:w="45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Criterion</w:t>
            </w:r>
          </w:p>
        </w:tc>
        <w:tc>
          <w:tcPr>
            <w:tcW w:type="dxa" w:w="13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Threshold</w:t>
            </w:r>
          </w:p>
        </w:tc>
        <w:tc>
          <w:tcPr>
            <w:tcW w:type="dxa" w:w="13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v2.1</w:t>
            </w:r>
          </w:p>
        </w:tc>
        <w:tc>
          <w:tcPr>
            <w:tcW w:type="dxa" w:w="13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v3.0</w:t>
            </w:r>
          </w:p>
        </w:tc>
        <w:tc>
          <w:tcPr>
            <w:tcW w:type="dxa" w:w="11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Δ</w:t>
            </w:r>
          </w:p>
        </w:tc>
        <w:tc>
          <w:tcPr>
            <w:tcW w:type="dxa" w:w="15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Status</w:t>
            </w:r>
          </w:p>
        </w:tc>
      </w:tr>
      <w:tr>
        <w:tc>
          <w:tcPr>
            <w:tcW w:type="dxa" w:w="6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(i)</w:t>
            </w:r>
          </w:p>
        </w:tc>
        <w:tc>
          <w:tcPr>
            <w:tcW w:type="dxa" w:w="4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r(ITEA, AEI) — internal convergent</w:t>
            </w:r>
          </w:p>
        </w:tc>
        <w:tc>
          <w:tcPr>
            <w:tcW w:type="dxa" w:w="13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&gt; 0.50</w:t>
            </w:r>
          </w:p>
        </w:tc>
        <w:tc>
          <w:tcPr>
            <w:tcW w:type="dxa" w:w="13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+0.7091</w:t>
            </w:r>
          </w:p>
        </w:tc>
        <w:tc>
          <w:tcPr>
            <w:tcW w:type="dxa" w:w="13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+0.8866</w:t>
            </w:r>
          </w:p>
        </w:tc>
        <w:tc>
          <w:tcPr>
            <w:tcW w:type="dxa" w:w="11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+0.1776</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IMPROVED</w:t>
            </w:r>
          </w:p>
        </w:tc>
      </w:tr>
      <w:tr>
        <w:tc>
          <w:tcPr>
            <w:tcW w:type="dxa" w:w="6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(ii)</w:t>
            </w:r>
          </w:p>
        </w:tc>
        <w:tc>
          <w:tcPr>
            <w:tcW w:type="dxa" w:w="4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r(ITEA, AIOE) — external convergent</w:t>
            </w:r>
          </w:p>
        </w:tc>
        <w:tc>
          <w:tcPr>
            <w:tcW w:type="dxa" w:w="13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&gt; 0.50</w:t>
            </w:r>
          </w:p>
        </w:tc>
        <w:tc>
          <w:tcPr>
            <w:tcW w:type="dxa" w:w="13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+0.3626</w:t>
            </w:r>
          </w:p>
        </w:tc>
        <w:tc>
          <w:tcPr>
            <w:tcW w:type="dxa" w:w="13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+0.4303</w:t>
            </w:r>
          </w:p>
        </w:tc>
        <w:tc>
          <w:tcPr>
            <w:tcW w:type="dxa" w:w="11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+0.0677</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IMPROVED</w:t>
            </w:r>
          </w:p>
        </w:tc>
      </w:tr>
      <w:tr>
        <w:tc>
          <w:tcPr>
            <w:tcW w:type="dxa" w:w="6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(iii)</w:t>
            </w:r>
          </w:p>
        </w:tc>
        <w:tc>
          <w:tcPr>
            <w:tcW w:type="dxa" w:w="4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r(OAEI, Wage) — criterion (multiplicative)</w:t>
            </w:r>
          </w:p>
        </w:tc>
        <w:tc>
          <w:tcPr>
            <w:tcW w:type="dxa" w:w="13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&gt; 0.40</w:t>
            </w:r>
          </w:p>
        </w:tc>
        <w:tc>
          <w:tcPr>
            <w:tcW w:type="dxa" w:w="13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+0.5781</w:t>
            </w:r>
          </w:p>
        </w:tc>
        <w:tc>
          <w:tcPr>
            <w:tcW w:type="dxa" w:w="13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+0.5614</w:t>
            </w:r>
          </w:p>
        </w:tc>
        <w:tc>
          <w:tcPr>
            <w:tcW w:type="dxa" w:w="11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−0.0167</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Stable</w:t>
            </w:r>
          </w:p>
        </w:tc>
      </w:tr>
      <w:tr>
        <w:tc>
          <w:tcPr>
            <w:tcW w:type="dxa" w:w="6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(iii+)</w:t>
            </w:r>
          </w:p>
        </w:tc>
        <w:tc>
          <w:tcPr>
            <w:tcW w:type="dxa" w:w="4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r(OAEI v3.0+, Wage) — criterion (additive)</w:t>
            </w:r>
          </w:p>
        </w:tc>
        <w:tc>
          <w:tcPr>
            <w:tcW w:type="dxa" w:w="13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&gt; 0.40</w:t>
            </w:r>
          </w:p>
        </w:tc>
        <w:tc>
          <w:tcPr>
            <w:tcW w:type="dxa" w:w="13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+0.5781</w:t>
            </w:r>
          </w:p>
        </w:tc>
        <w:tc>
          <w:tcPr>
            <w:tcW w:type="dxa" w:w="13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+0.6632</w:t>
            </w:r>
          </w:p>
        </w:tc>
        <w:tc>
          <w:tcPr>
            <w:tcW w:type="dxa" w:w="11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+0.0852</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IMPROVED</w:t>
            </w:r>
          </w:p>
        </w:tc>
      </w:tr>
      <w:tr>
        <w:tc>
          <w:tcPr>
            <w:tcW w:type="dxa" w:w="6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(iv)</w:t>
            </w:r>
          </w:p>
        </w:tc>
        <w:tc>
          <w:tcPr>
            <w:tcW w:type="dxa" w:w="4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r(IRA, GEE) — discriminant primary</w:t>
            </w:r>
          </w:p>
        </w:tc>
        <w:tc>
          <w:tcPr>
            <w:tcW w:type="dxa" w:w="13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&lt; 0.50</w:t>
            </w:r>
          </w:p>
        </w:tc>
        <w:tc>
          <w:tcPr>
            <w:tcW w:type="dxa" w:w="13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+0.4004</w:t>
            </w:r>
          </w:p>
        </w:tc>
        <w:tc>
          <w:tcPr>
            <w:tcW w:type="dxa" w:w="13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+0.3969</w:t>
            </w:r>
          </w:p>
        </w:tc>
        <w:tc>
          <w:tcPr>
            <w:tcW w:type="dxa" w:w="11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−0.0035</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Stable</w:t>
            </w:r>
          </w:p>
        </w:tc>
      </w:tr>
      <w:tr>
        <w:tc>
          <w:tcPr>
            <w:tcW w:type="dxa" w:w="6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(v)</w:t>
            </w:r>
          </w:p>
        </w:tc>
        <w:tc>
          <w:tcPr>
            <w:tcW w:type="dxa" w:w="4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r(IRA, ITEA) — discriminant secondary [NEW]</w:t>
            </w:r>
          </w:p>
        </w:tc>
        <w:tc>
          <w:tcPr>
            <w:tcW w:type="dxa" w:w="13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&lt; 0.50</w:t>
            </w:r>
          </w:p>
        </w:tc>
        <w:tc>
          <w:tcPr>
            <w:tcW w:type="dxa" w:w="13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+0.2758</w:t>
            </w:r>
          </w:p>
        </w:tc>
        <w:tc>
          <w:tcPr>
            <w:tcW w:type="dxa" w:w="13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+0.1448</w:t>
            </w:r>
          </w:p>
        </w:tc>
        <w:tc>
          <w:tcPr>
            <w:tcW w:type="dxa" w:w="11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−0.1310</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IMPROVED</w:t>
            </w:r>
          </w:p>
        </w:tc>
      </w:tr>
      <w:tr>
        <w:tc>
          <w:tcPr>
            <w:tcW w:type="dxa" w:w="6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(vi)</w:t>
            </w:r>
          </w:p>
        </w:tc>
        <w:tc>
          <w:tcPr>
            <w:tcW w:type="dxa" w:w="4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r(IRA, ICT) — discriminant tertiary [NEW]</w:t>
            </w:r>
          </w:p>
        </w:tc>
        <w:tc>
          <w:tcPr>
            <w:tcW w:type="dxa" w:w="13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&lt; 0.50</w:t>
            </w:r>
          </w:p>
        </w:tc>
        <w:tc>
          <w:tcPr>
            <w:tcW w:type="dxa" w:w="13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+0.0960</w:t>
            </w:r>
          </w:p>
        </w:tc>
        <w:tc>
          <w:tcPr>
            <w:tcW w:type="dxa" w:w="13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+0.0584</w:t>
            </w:r>
          </w:p>
        </w:tc>
        <w:tc>
          <w:tcPr>
            <w:tcW w:type="dxa" w:w="11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−0.0376</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IMPROVED</w:t>
            </w:r>
          </w:p>
        </w:tc>
      </w:tr>
      <w:tr>
        <w:tc>
          <w:tcPr>
            <w:tcW w:type="dxa" w:w="6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(vii)</w:t>
            </w:r>
          </w:p>
        </w:tc>
        <w:tc>
          <w:tcPr>
            <w:tcW w:type="dxa" w:w="4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r(OAEI, AIOE) — external (multiplicative)</w:t>
            </w:r>
          </w:p>
        </w:tc>
        <w:tc>
          <w:tcPr>
            <w:tcW w:type="dxa" w:w="13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&gt; 0.50</w:t>
            </w:r>
          </w:p>
        </w:tc>
        <w:tc>
          <w:tcPr>
            <w:tcW w:type="dxa" w:w="13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+0.8062</w:t>
            </w:r>
          </w:p>
        </w:tc>
        <w:tc>
          <w:tcPr>
            <w:tcW w:type="dxa" w:w="13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+0.7654</w:t>
            </w:r>
          </w:p>
        </w:tc>
        <w:tc>
          <w:tcPr>
            <w:tcW w:type="dxa" w:w="11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−0.0408</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Decrease</w:t>
            </w:r>
          </w:p>
        </w:tc>
      </w:tr>
      <w:tr>
        <w:tc>
          <w:tcPr>
            <w:tcW w:type="dxa" w:w="6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(vii+)</w:t>
            </w:r>
          </w:p>
        </w:tc>
        <w:tc>
          <w:tcPr>
            <w:tcW w:type="dxa" w:w="4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r(OAEI v3.0+, AIOE) — external (additive)</w:t>
            </w:r>
          </w:p>
        </w:tc>
        <w:tc>
          <w:tcPr>
            <w:tcW w:type="dxa" w:w="13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&gt; 0.50</w:t>
            </w:r>
          </w:p>
        </w:tc>
        <w:tc>
          <w:tcPr>
            <w:tcW w:type="dxa" w:w="13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+0.8062</w:t>
            </w:r>
          </w:p>
        </w:tc>
        <w:tc>
          <w:tcPr>
            <w:tcW w:type="dxa" w:w="13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+0.7968</w:t>
            </w:r>
          </w:p>
        </w:tc>
        <w:tc>
          <w:tcPr>
            <w:tcW w:type="dxa" w:w="11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−0.0094</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Stable</w:t>
            </w:r>
          </w:p>
        </w:tc>
      </w:tr>
      <w:tr>
        <w:tc>
          <w:tcPr>
            <w:tcW w:type="dxa" w:w="6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(viii)</w:t>
            </w:r>
          </w:p>
        </w:tc>
        <w:tc>
          <w:tcPr>
            <w:tcW w:type="dxa" w:w="4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VIF max [multicollinearity]</w:t>
            </w:r>
          </w:p>
        </w:tc>
        <w:tc>
          <w:tcPr>
            <w:tcW w:type="dxa" w:w="13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&lt; 5.0</w:t>
            </w:r>
          </w:p>
        </w:tc>
        <w:tc>
          <w:tcPr>
            <w:tcW w:type="dxa" w:w="13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1.21</w:t>
            </w:r>
          </w:p>
        </w:tc>
        <w:tc>
          <w:tcPr>
            <w:tcW w:type="dxa" w:w="13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1.21</w:t>
            </w:r>
          </w:p>
        </w:tc>
        <w:tc>
          <w:tcPr>
            <w:tcW w:type="dxa" w:w="11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0.00</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Stable</w:t>
            </w:r>
          </w:p>
        </w:tc>
      </w:tr>
    </w:tbl>
    <w:p>
      <w:pPr>
        <w:spacing w:after="100"/>
      </w:pPr>
      <w:r>
        <w:t xml:space="preserve"/>
      </w:r>
    </w:p>
    <w:p>
      <w:pPr>
        <w:spacing w:after="120" w:line="300"/>
        <w:jc w:val="both"/>
      </w:pPr>
      <w:r>
        <w:rPr>
          <w:rFonts w:ascii="Calibri" w:cs="Calibri" w:eastAsia="Calibri" w:hAnsi="Calibri"/>
          <w:b w:val="false"/>
          <w:bCs w:val="false"/>
          <w:i w:val="false"/>
          <w:iCs w:val="false"/>
          <w:sz w:val="22"/>
          <w:szCs w:val="22"/>
        </w:rPr>
        <w:t xml:space="preserve">Six of the eight criteria show net improvement under v3.0 (criteria i, ii, iii+, v, vi, vii+). Two show small decreases (criteria iii multiplicative and vii multiplicative), both reflecting the trade-off between internal coherence with AEI and external convergence with AIOE that is intrinsic to the multiplicative variant. Two are stable (criteria iv and viii).</w:t>
      </w:r>
    </w:p>
    <w:p>
      <w:pPr>
        <w:spacing w:after="120" w:line="300"/>
        <w:jc w:val="both"/>
      </w:pPr>
      <w:r>
        <w:rPr>
          <w:rFonts w:ascii="Calibri" w:cs="Calibri" w:eastAsia="Calibri" w:hAnsi="Calibri"/>
          <w:b w:val="false"/>
          <w:bCs w:val="false"/>
          <w:i w:val="false"/>
          <w:iCs w:val="false"/>
          <w:sz w:val="22"/>
          <w:szCs w:val="22"/>
        </w:rPr>
        <w:t xml:space="preserve">The new criteria (v) and (vi) — discriminant validity of IRA against ITEA and ICT — are introduced in v3.0 as part of the framework's commitment to clean dimensional separation. Their addition makes the validation matrix more demanding (more criteria to satisfy) and the v3.0 satisfies all of them comfortably below the &lt; 0.50 threshold.</w:t>
      </w:r>
    </w:p>
    <w:p>
      <w:pPr>
        <w:spacing w:after="120" w:line="300"/>
        <w:jc w:val="both"/>
      </w:pPr>
      <w:r>
        <w:rPr>
          <w:rFonts w:ascii="Calibri" w:cs="Calibri" w:eastAsia="Calibri" w:hAnsi="Calibri"/>
          <w:b w:val="false"/>
          <w:bCs w:val="false"/>
          <w:i w:val="false"/>
          <w:iCs w:val="false"/>
          <w:sz w:val="22"/>
          <w:szCs w:val="22"/>
        </w:rPr>
        <w:t xml:space="preserve">The introduction of the v3.0+ additive variant gives users the option to recover criterion validity (iii+ at 0.66 vs iii at 0.56) and external convergence (vii+ at 0.80 vs vii at 0.77) at the cost of departing from the multiplicative form. The dual-variant architecture is the framework's response to the impossibility of optimising all dimensions simultaneously.</w:t>
      </w:r>
    </w:p>
    <w:p>
      <w:pPr>
        <w:pStyle w:val="Heading1"/>
        <w:spacing w:after="200" w:before="360"/>
      </w:pPr>
      <w:r>
        <w:rPr>
          <w:rFonts w:ascii="Calibri" w:cs="Calibri" w:eastAsia="Calibri" w:hAnsi="Calibri"/>
          <w:b/>
          <w:bCs/>
          <w:color w:val="1B4F72"/>
          <w:sz w:val="32"/>
          <w:szCs w:val="32"/>
        </w:rPr>
        <w:t xml:space="preserve">6. Empirical Implications for the Trilogy</w:t>
      </w:r>
    </w:p>
    <w:p>
      <w:pPr>
        <w:pStyle w:val="Heading2"/>
        <w:spacing w:after="140" w:before="280"/>
      </w:pPr>
      <w:r>
        <w:rPr>
          <w:rFonts w:ascii="Calibri" w:cs="Calibri" w:eastAsia="Calibri" w:hAnsi="Calibri"/>
          <w:b/>
          <w:bCs/>
          <w:color w:val="2E86C1"/>
          <w:sz w:val="26"/>
          <w:szCs w:val="26"/>
        </w:rPr>
        <w:t xml:space="preserve">6.1 Q1 quadrant preservation</w:t>
      </w:r>
    </w:p>
    <w:p>
      <w:pPr>
        <w:spacing w:after="120" w:line="300"/>
        <w:jc w:val="both"/>
      </w:pPr>
      <w:r>
        <w:rPr>
          <w:rFonts w:ascii="Calibri" w:cs="Calibri" w:eastAsia="Calibri" w:hAnsi="Calibri"/>
          <w:b w:val="false"/>
          <w:bCs w:val="false"/>
          <w:i w:val="false"/>
          <w:iCs w:val="false"/>
          <w:sz w:val="22"/>
          <w:szCs w:val="22"/>
        </w:rPr>
        <w:t xml:space="preserve">The central empirical claim of the trilogy is that the Q1 quadrant (high GEE × high IRA, defined by median splits on both dimensions) concentrates the maximum OAEI under the Insider-Outsider inversion characteristic of the Agentic regime. The v3.0 specification preserves this hierarchy.</w:t>
      </w:r>
    </w:p>
    <w:p>
      <w:pPr>
        <w:spacing w:after="100"/>
      </w:pPr>
      <w:r>
        <w:t xml:space="preserve"/>
      </w:r>
    </w:p>
    <w:p>
      <w:pPr>
        <w:spacing w:after="100" w:before="200"/>
        <w:jc w:val="center"/>
      </w:pPr>
      <w:r>
        <w:rPr>
          <w:rFonts w:ascii="Calibri" w:cs="Calibri" w:eastAsia="Calibri" w:hAnsi="Calibri"/>
          <w:b/>
          <w:bCs/>
          <w:i/>
          <w:iCs/>
          <w:sz w:val="20"/>
          <w:szCs w:val="20"/>
        </w:rPr>
        <w:t xml:space="preserve">Table 6.1 — Quadrant analysis v3.0 vs v2.1</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1500"/>
        <w:gridCol w:w="1100"/>
        <w:gridCol w:w="1500"/>
        <w:gridCol w:w="2200"/>
      </w:tblGrid>
      <w:tr>
        <w:trPr>
          <w:tblHeader/>
        </w:trPr>
        <w:tc>
          <w:tcPr>
            <w:tcW w:type="dxa" w:w="32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Quadrant</w:t>
            </w:r>
          </w:p>
        </w:tc>
        <w:tc>
          <w:tcPr>
            <w:tcW w:type="dxa" w:w="11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N v2.1</w:t>
            </w:r>
          </w:p>
        </w:tc>
        <w:tc>
          <w:tcPr>
            <w:tcW w:type="dxa" w:w="15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OAEI v2.1</w:t>
            </w:r>
          </w:p>
        </w:tc>
        <w:tc>
          <w:tcPr>
            <w:tcW w:type="dxa" w:w="11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N v3.0</w:t>
            </w:r>
          </w:p>
        </w:tc>
        <w:tc>
          <w:tcPr>
            <w:tcW w:type="dxa" w:w="15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OAEI v3.0</w:t>
            </w:r>
          </w:p>
        </w:tc>
        <w:tc>
          <w:tcPr>
            <w:tcW w:type="dxa" w:w="22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Hierarchy</w:t>
            </w:r>
          </w:p>
        </w:tc>
      </w:tr>
      <w:tr>
        <w:tc>
          <w:tcPr>
            <w:tcW w:type="dxa" w:w="32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Q1: high GEE × high IRA</w:t>
            </w:r>
          </w:p>
        </w:tc>
        <w:tc>
          <w:tcPr>
            <w:tcW w:type="dxa" w:w="11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295</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61.80</w:t>
            </w:r>
          </w:p>
        </w:tc>
        <w:tc>
          <w:tcPr>
            <w:tcW w:type="dxa" w:w="11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294</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40.06</w:t>
            </w:r>
          </w:p>
        </w:tc>
        <w:tc>
          <w:tcPr>
            <w:tcW w:type="dxa" w:w="22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PRESERVED max</w:t>
            </w:r>
          </w:p>
        </w:tc>
      </w:tr>
      <w:tr>
        <w:tc>
          <w:tcPr>
            <w:tcW w:type="dxa" w:w="32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Q4: high GEE × low IRA</w:t>
            </w:r>
          </w:p>
        </w:tc>
        <w:tc>
          <w:tcPr>
            <w:tcW w:type="dxa" w:w="11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128</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50.42</w:t>
            </w:r>
          </w:p>
        </w:tc>
        <w:tc>
          <w:tcPr>
            <w:tcW w:type="dxa" w:w="11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129</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34.84</w:t>
            </w:r>
          </w:p>
        </w:tc>
        <w:tc>
          <w:tcPr>
            <w:tcW w:type="dxa" w:w="22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PRESERVED 2nd</w:t>
            </w:r>
          </w:p>
        </w:tc>
      </w:tr>
      <w:tr>
        <w:tc>
          <w:tcPr>
            <w:tcW w:type="dxa" w:w="32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Q3: low GEE × low IRA</w:t>
            </w:r>
          </w:p>
        </w:tc>
        <w:tc>
          <w:tcPr>
            <w:tcW w:type="dxa" w:w="11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295</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28.11</w:t>
            </w:r>
          </w:p>
        </w:tc>
        <w:tc>
          <w:tcPr>
            <w:tcW w:type="dxa" w:w="11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294</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16.97</w:t>
            </w:r>
          </w:p>
        </w:tc>
        <w:tc>
          <w:tcPr>
            <w:tcW w:type="dxa" w:w="22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PRESERVED 3rd</w:t>
            </w:r>
          </w:p>
        </w:tc>
      </w:tr>
      <w:tr>
        <w:tc>
          <w:tcPr>
            <w:tcW w:type="dxa" w:w="32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Q2: low GEE × high IRA</w:t>
            </w:r>
          </w:p>
        </w:tc>
        <w:tc>
          <w:tcPr>
            <w:tcW w:type="dxa" w:w="11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128</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21.73</w:t>
            </w:r>
          </w:p>
        </w:tc>
        <w:tc>
          <w:tcPr>
            <w:tcW w:type="dxa" w:w="11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129</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12.10</w:t>
            </w:r>
          </w:p>
        </w:tc>
        <w:tc>
          <w:tcPr>
            <w:tcW w:type="dxa" w:w="22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PRESERVED 4th</w:t>
            </w:r>
          </w:p>
        </w:tc>
      </w:tr>
    </w:tbl>
    <w:p>
      <w:pPr>
        <w:spacing w:after="100"/>
      </w:pPr>
      <w:r>
        <w:t xml:space="preserve"/>
      </w:r>
    </w:p>
    <w:p>
      <w:pPr>
        <w:spacing w:after="120" w:line="300"/>
        <w:jc w:val="both"/>
      </w:pPr>
      <w:r>
        <w:rPr>
          <w:rFonts w:ascii="Calibri" w:cs="Calibri" w:eastAsia="Calibri" w:hAnsi="Calibri"/>
          <w:b w:val="false"/>
          <w:bCs w:val="false"/>
          <w:i w:val="false"/>
          <w:iCs w:val="false"/>
          <w:sz w:val="22"/>
          <w:szCs w:val="22"/>
        </w:rPr>
        <w:t xml:space="preserve">The hierarchy Q1 &gt; Q4 &gt; Q3 ≈ Q2 is preserved exactly. The absolute magnitude of OAEI values contracts (Q1 mean drops from 61.80 to 40.06) because v3.0 disentangles ITEA from GEE, removing the artificial inflation that GEE-domination produced in v2.1. The Q1-Q4 separation contracts from 11.4 to 5.2 OAEI points, which is a substantive reduction.</w:t>
      </w:r>
    </w:p>
    <w:p>
      <w:pPr>
        <w:spacing w:after="120" w:line="300"/>
        <w:jc w:val="both"/>
      </w:pPr>
      <w:r>
        <w:rPr>
          <w:rFonts w:ascii="Calibri" w:cs="Calibri" w:eastAsia="Calibri" w:hAnsi="Calibri"/>
          <w:b w:val="false"/>
          <w:bCs w:val="false"/>
          <w:i w:val="false"/>
          <w:iCs w:val="false"/>
          <w:sz w:val="22"/>
          <w:szCs w:val="22"/>
        </w:rPr>
        <w:t xml:space="preserve">Two interpretations of this contraction are equally consistent with the v3.0 specification. The conservative interpretation: the v2.1 separation was inflated by the GEE-correlated component of OAEI, and the true Insider-Outsider inversion magnitude is what v3.0 reports. The alternative interpretation: v3.0 has rebalanced the OAEI in a way that distributes exposure more evenly across quadrants and the contracted separation is a side effect of the rebalancing rather than a more accurate measurement. Both interpretations preserve the qualitative claim that Q1 has maximum exposure; they differ on the magnitude. The trilogy can adopt the conservative interpretation in revised editions, citing the v3.0 separation as the more rigorous estimate.</w:t>
      </w:r>
    </w:p>
    <w:p>
      <w:pPr>
        <w:pStyle w:val="Heading2"/>
        <w:spacing w:after="140" w:before="280"/>
      </w:pPr>
      <w:r>
        <w:rPr>
          <w:rFonts w:ascii="Calibri" w:cs="Calibri" w:eastAsia="Calibri" w:hAnsi="Calibri"/>
          <w:b/>
          <w:bCs/>
          <w:color w:val="2E86C1"/>
          <w:sz w:val="26"/>
          <w:szCs w:val="26"/>
        </w:rPr>
        <w:t xml:space="preserve">6.2 Top-20 ranking transition</w:t>
      </w:r>
    </w:p>
    <w:p>
      <w:pPr>
        <w:spacing w:after="120" w:line="300"/>
        <w:jc w:val="both"/>
      </w:pPr>
      <w:r>
        <w:rPr>
          <w:rFonts w:ascii="Calibri" w:cs="Calibri" w:eastAsia="Calibri" w:hAnsi="Calibri"/>
          <w:b w:val="false"/>
          <w:bCs w:val="false"/>
          <w:i w:val="false"/>
          <w:iCs w:val="false"/>
          <w:sz w:val="22"/>
          <w:szCs w:val="22"/>
        </w:rPr>
        <w:t xml:space="preserve">The new top-20 OAEI ranking under v3.0 retains 11 of the 20 occupations from v2.1 but with substantial reordering. Pathologists rises to rank 1 (from rank 5 in v2.1); Market Research Analysts rises to rank 2 (from rank 12); Business Intelligence Analysts and Credit Analysts enter the top 5 (both were outside top 20 in v2.1). Conversely, several heavily academically-coded occupations exit: Political Scientists (rank 1 in v2.1, rank 75 in v3.0), Engineering Teachers (rank 2 → outside top 20), Sociologists, History Teachers, Social Work Teachers.</w:t>
      </w:r>
    </w:p>
    <w:p>
      <w:pPr>
        <w:spacing w:after="120" w:line="300"/>
        <w:jc w:val="both"/>
      </w:pPr>
      <w:r>
        <w:rPr>
          <w:rFonts w:ascii="Calibri" w:cs="Calibri" w:eastAsia="Calibri" w:hAnsi="Calibri"/>
          <w:b w:val="false"/>
          <w:bCs w:val="false"/>
          <w:i w:val="false"/>
          <w:iCs w:val="false"/>
          <w:sz w:val="22"/>
          <w:szCs w:val="22"/>
        </w:rPr>
        <w:t xml:space="preserve">The transition is qualitatively favourable for the trilogy's theoretical claim. The v2.1 top 20 was dominated by academic occupations whose high OAEI was driven primarily by GEE — they have high formal qualification but their exposure to Agentic AI specifically is more diffuse than the OAEI v2.1 multiplicative form suggested. The v3.0 top 20, in contrast, is led by exactly the populations that the trilogy theoretically singles out: quantitative analysts (Financial Quant Analysts, Biostatisticians, Mathematicians, Operations Research Analysts), diagnostic medical specialists (Pathologists, Neuropsychologists, Emergency Medicine Physicians), and intelligence-analysis profiles (BI Analysts, Credit Analysts, Budget Analysts, Market Research Analysts). These are the chemically pure populations of the Agentic crystallisation phenomenon.</w:t>
      </w:r>
    </w:p>
    <w:p>
      <w:pPr>
        <w:spacing w:after="120" w:line="300"/>
        <w:jc w:val="both"/>
      </w:pPr>
      <w:r>
        <w:rPr>
          <w:rFonts w:ascii="Calibri" w:cs="Calibri" w:eastAsia="Calibri" w:hAnsi="Calibri"/>
          <w:b w:val="false"/>
          <w:bCs w:val="false"/>
          <w:i w:val="false"/>
          <w:iCs w:val="false"/>
          <w:sz w:val="22"/>
          <w:szCs w:val="22"/>
        </w:rPr>
        <w:t xml:space="preserve">The implication for the trilogy is straightforward: future revisions (Papers 8A v2.3, 8B v1.5) should update their top-20 references to the v3.0 ranking. The narrative becomes more compelling, not less: rather than defending why Political Scientists rank top, the papers can directly cite Pathologists and Quantitative Analysts as the canonical examples of the phenomenon they describe.</w:t>
      </w:r>
    </w:p>
    <w:p>
      <w:pPr>
        <w:pStyle w:val="Heading2"/>
        <w:spacing w:after="140" w:before="280"/>
      </w:pPr>
      <w:r>
        <w:rPr>
          <w:rFonts w:ascii="Calibri" w:cs="Calibri" w:eastAsia="Calibri" w:hAnsi="Calibri"/>
          <w:b/>
          <w:bCs/>
          <w:color w:val="2E86C1"/>
          <w:sz w:val="26"/>
          <w:szCs w:val="26"/>
        </w:rPr>
        <w:t xml:space="preserve">6.3 Sectoral concentration changes</w:t>
      </w:r>
    </w:p>
    <w:p>
      <w:pPr>
        <w:spacing w:after="100"/>
      </w:pPr>
      <w:r>
        <w:t xml:space="preserve"/>
      </w:r>
    </w:p>
    <w:p>
      <w:pPr>
        <w:spacing w:after="100" w:before="200"/>
        <w:jc w:val="center"/>
      </w:pPr>
      <w:r>
        <w:rPr>
          <w:rFonts w:ascii="Calibri" w:cs="Calibri" w:eastAsia="Calibri" w:hAnsi="Calibri"/>
          <w:b/>
          <w:bCs/>
          <w:i/>
          <w:iCs/>
          <w:sz w:val="20"/>
          <w:szCs w:val="20"/>
        </w:rPr>
        <w:t xml:space="preserve">Table 6.2 — Sectoral concentration v3.0 (top 8 sectors)</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600"/>
        <w:gridCol w:w="4400"/>
        <w:gridCol w:w="600"/>
        <w:gridCol w:w="1500"/>
        <w:gridCol w:w="1500"/>
        <w:gridCol w:w="1500"/>
      </w:tblGrid>
      <w:tr>
        <w:trPr>
          <w:tblHeader/>
        </w:trPr>
        <w:tc>
          <w:tcPr>
            <w:tcW w:type="dxa" w:w="6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SOC</w:t>
            </w:r>
          </w:p>
        </w:tc>
        <w:tc>
          <w:tcPr>
            <w:tcW w:type="dxa" w:w="44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Sector</w:t>
            </w:r>
          </w:p>
        </w:tc>
        <w:tc>
          <w:tcPr>
            <w:tcW w:type="dxa" w:w="6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N</w:t>
            </w:r>
          </w:p>
        </w:tc>
        <w:tc>
          <w:tcPr>
            <w:tcW w:type="dxa" w:w="15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OAEI v2.1</w:t>
            </w:r>
          </w:p>
        </w:tc>
        <w:tc>
          <w:tcPr>
            <w:tcW w:type="dxa" w:w="15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OAEI v3.0</w:t>
            </w:r>
          </w:p>
        </w:tc>
        <w:tc>
          <w:tcPr>
            <w:tcW w:type="dxa" w:w="15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Δ</w:t>
            </w:r>
          </w:p>
        </w:tc>
      </w:tr>
      <w:tr>
        <w:tc>
          <w:tcPr>
            <w:tcW w:type="dxa" w:w="6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15</w:t>
            </w:r>
          </w:p>
        </w:tc>
        <w:tc>
          <w:tcPr>
            <w:tcW w:type="dxa" w:w="44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Computer and Mathematical</w:t>
            </w:r>
          </w:p>
        </w:tc>
        <w:tc>
          <w:tcPr>
            <w:tcW w:type="dxa" w:w="6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30</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68.66</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50.38</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−18.27</w:t>
            </w:r>
          </w:p>
        </w:tc>
      </w:tr>
      <w:tr>
        <w:tc>
          <w:tcPr>
            <w:tcW w:type="dxa" w:w="6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19</w:t>
            </w:r>
          </w:p>
        </w:tc>
        <w:tc>
          <w:tcPr>
            <w:tcW w:type="dxa" w:w="44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Life, Physical, Social Science</w:t>
            </w:r>
          </w:p>
        </w:tc>
        <w:tc>
          <w:tcPr>
            <w:tcW w:type="dxa" w:w="6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53</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66.56</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47.80</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−18.76</w:t>
            </w:r>
          </w:p>
        </w:tc>
      </w:tr>
      <w:tr>
        <w:tc>
          <w:tcPr>
            <w:tcW w:type="dxa" w:w="6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23</w:t>
            </w:r>
          </w:p>
        </w:tc>
        <w:tc>
          <w:tcPr>
            <w:tcW w:type="dxa" w:w="44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Legal</w:t>
            </w:r>
          </w:p>
        </w:tc>
        <w:tc>
          <w:tcPr>
            <w:tcW w:type="dxa" w:w="6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7</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72.40</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46.36</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−26.04</w:t>
            </w:r>
          </w:p>
        </w:tc>
      </w:tr>
      <w:tr>
        <w:tc>
          <w:tcPr>
            <w:tcW w:type="dxa" w:w="6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13</w:t>
            </w:r>
          </w:p>
        </w:tc>
        <w:tc>
          <w:tcPr>
            <w:tcW w:type="dxa" w:w="44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Business and Financial Operations</w:t>
            </w:r>
          </w:p>
        </w:tc>
        <w:tc>
          <w:tcPr>
            <w:tcW w:type="dxa" w:w="6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40</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59.82</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44.62</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−15.19</w:t>
            </w:r>
          </w:p>
        </w:tc>
      </w:tr>
      <w:tr>
        <w:tc>
          <w:tcPr>
            <w:tcW w:type="dxa" w:w="6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17</w:t>
            </w:r>
          </w:p>
        </w:tc>
        <w:tc>
          <w:tcPr>
            <w:tcW w:type="dxa" w:w="44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Architecture and Engineering</w:t>
            </w:r>
          </w:p>
        </w:tc>
        <w:tc>
          <w:tcPr>
            <w:tcW w:type="dxa" w:w="6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48</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59.16</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38.08</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−21.08</w:t>
            </w:r>
          </w:p>
        </w:tc>
      </w:tr>
      <w:tr>
        <w:tc>
          <w:tcPr>
            <w:tcW w:type="dxa" w:w="6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11</w:t>
            </w:r>
          </w:p>
        </w:tc>
        <w:tc>
          <w:tcPr>
            <w:tcW w:type="dxa" w:w="44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Management</w:t>
            </w:r>
          </w:p>
        </w:tc>
        <w:tc>
          <w:tcPr>
            <w:tcW w:type="dxa" w:w="6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41</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55.75</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36.54</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−19.21</w:t>
            </w:r>
          </w:p>
        </w:tc>
      </w:tr>
      <w:tr>
        <w:tc>
          <w:tcPr>
            <w:tcW w:type="dxa" w:w="6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25</w:t>
            </w:r>
          </w:p>
        </w:tc>
        <w:tc>
          <w:tcPr>
            <w:tcW w:type="dxa" w:w="44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Education</w:t>
            </w:r>
          </w:p>
        </w:tc>
        <w:tc>
          <w:tcPr>
            <w:tcW w:type="dxa" w:w="6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61</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61.54</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34.72</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−26.83</w:t>
            </w:r>
          </w:p>
        </w:tc>
      </w:tr>
      <w:tr>
        <w:tc>
          <w:tcPr>
            <w:tcW w:type="dxa" w:w="6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29</w:t>
            </w:r>
          </w:p>
        </w:tc>
        <w:tc>
          <w:tcPr>
            <w:tcW w:type="dxa" w:w="44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Healthcare Practitioners</w:t>
            </w:r>
          </w:p>
        </w:tc>
        <w:tc>
          <w:tcPr>
            <w:tcW w:type="dxa" w:w="6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82</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49.87</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34.49</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−15.38</w:t>
            </w:r>
          </w:p>
        </w:tc>
      </w:tr>
    </w:tbl>
    <w:p>
      <w:pPr>
        <w:spacing w:after="100"/>
      </w:pPr>
      <w:r>
        <w:t xml:space="preserve"/>
      </w:r>
    </w:p>
    <w:p>
      <w:pPr>
        <w:spacing w:after="120" w:line="300"/>
        <w:jc w:val="both"/>
      </w:pPr>
      <w:r>
        <w:rPr>
          <w:rFonts w:ascii="Calibri" w:cs="Calibri" w:eastAsia="Calibri" w:hAnsi="Calibri"/>
          <w:b w:val="false"/>
          <w:bCs w:val="false"/>
          <w:i w:val="false"/>
          <w:iCs w:val="false"/>
          <w:sz w:val="22"/>
          <w:szCs w:val="22"/>
        </w:rPr>
        <w:t xml:space="preserve">The sectoral hierarchy under v3.0 places SOC 15 (Computer and Mathematical) in the lead, followed by SOC 19 (Life, Physical, Social Science), SOC 23 (Legal), and SOC 13 (Business and Financial Operations). This ordering is more theoretically aligned with the trilogy's claim that the Agentic regime affects primarily knowledge-quantitative and analytical occupations. SOC 25 (Education), which led some v2.1 sub-rankings, drops sharply (−26.83) — this is a substantive correction reflecting that educators have high formal qualification but lower direct exposure to proprietary Agentic systems than the trilogy's primary populations.</w:t>
      </w:r>
    </w:p>
    <w:p>
      <w:pPr>
        <w:pStyle w:val="Heading1"/>
        <w:spacing w:after="200" w:before="360"/>
      </w:pPr>
      <w:r>
        <w:rPr>
          <w:rFonts w:ascii="Calibri" w:cs="Calibri" w:eastAsia="Calibri" w:hAnsi="Calibri"/>
          <w:b/>
          <w:bCs/>
          <w:color w:val="1B4F72"/>
          <w:sz w:val="32"/>
          <w:szCs w:val="32"/>
        </w:rPr>
        <w:t xml:space="preserve">7. Cross-Version Stability and Migration</w:t>
      </w:r>
    </w:p>
    <w:p>
      <w:pPr>
        <w:spacing w:after="100"/>
      </w:pPr>
      <w:r>
        <w:t xml:space="preserve"/>
      </w:r>
    </w:p>
    <w:p>
      <w:pPr>
        <w:spacing w:after="100" w:before="200"/>
        <w:jc w:val="center"/>
      </w:pPr>
      <w:r>
        <w:rPr>
          <w:rFonts w:ascii="Calibri" w:cs="Calibri" w:eastAsia="Calibri" w:hAnsi="Calibri"/>
          <w:b/>
          <w:bCs/>
          <w:i/>
          <w:iCs/>
          <w:sz w:val="20"/>
          <w:szCs w:val="20"/>
        </w:rPr>
        <w:t xml:space="preserve">Table 7.1 — Cross-version stability v2.1 → v3.0</w:t>
      </w:r>
    </w:p>
    <w:tbl>
      <w:tblPr>
        <w:tblW w:type="dxa" w:w="1060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500"/>
        <w:gridCol w:w="4400"/>
      </w:tblGrid>
      <w:tr>
        <w:trPr>
          <w:tblHeader/>
        </w:trPr>
        <w:tc>
          <w:tcPr>
            <w:tcW w:type="dxa" w:w="32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Indicator</w:t>
            </w:r>
          </w:p>
        </w:tc>
        <w:tc>
          <w:tcPr>
            <w:tcW w:type="dxa" w:w="15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Pearson r</w:t>
            </w:r>
          </w:p>
        </w:tc>
        <w:tc>
          <w:tcPr>
            <w:tcW w:type="dxa" w:w="15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Spearman ρ</w:t>
            </w:r>
          </w:p>
        </w:tc>
        <w:tc>
          <w:tcPr>
            <w:tcW w:type="dxa" w:w="4400"/>
            <w:tcBorders>
              <w:top w:val="single" w:color="1B4F72" w:sz="4"/>
              <w:left w:val="single" w:color="1B4F72" w:sz="4"/>
              <w:bottom w:val="single" w:color="1B4F72" w:sz="4"/>
              <w:right w:val="single" w:color="1B4F72" w:sz="4"/>
            </w:tcBorders>
            <w:shd w:fill="1B4F72" w:val="clear"/>
            <w:tcMar>
              <w:top w:type="dxa" w:w="100"/>
              <w:left w:type="dxa" w:w="120"/>
              <w:bottom w:type="dxa" w:w="100"/>
              <w:right w:type="dxa" w:w="120"/>
            </w:tcMar>
            <w:vAlign w:val="center"/>
          </w:tcPr>
          <w:p>
            <w:pPr>
              <w:jc w:val="center"/>
            </w:pPr>
            <w:r>
              <w:rPr>
                <w:rFonts w:ascii="Calibri" w:cs="Calibri" w:eastAsia="Calibri" w:hAnsi="Calibri"/>
                <w:b/>
                <w:bCs/>
                <w:color w:val="FFFFFF"/>
                <w:sz w:val="20"/>
                <w:szCs w:val="20"/>
              </w:rPr>
              <w:t xml:space="preserve">Stability assessment</w:t>
            </w:r>
          </w:p>
        </w:tc>
      </w:tr>
      <w:tr>
        <w:tc>
          <w:tcPr>
            <w:tcW w:type="dxa" w:w="32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ITEA Global</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+0.83</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+0.80</w:t>
            </w:r>
          </w:p>
        </w:tc>
        <w:tc>
          <w:tcPr>
            <w:tcW w:type="dxa" w:w="44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MODERATE — major revision</w:t>
            </w:r>
          </w:p>
        </w:tc>
      </w:tr>
      <w:tr>
        <w:tc>
          <w:tcPr>
            <w:tcW w:type="dxa" w:w="32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IRA</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+0.999</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+0.995</w:t>
            </w:r>
          </w:p>
        </w:tc>
        <w:tc>
          <w:tcPr>
            <w:tcW w:type="dxa" w:w="44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VERY HIGH — refinement</w:t>
            </w:r>
          </w:p>
        </w:tc>
      </w:tr>
      <w:tr>
        <w:tc>
          <w:tcPr>
            <w:tcW w:type="dxa" w:w="32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OAEI multiplicative</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+0.93</w:t>
            </w:r>
          </w:p>
        </w:tc>
        <w:tc>
          <w:tcPr>
            <w:tcW w:type="dxa" w:w="15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+0.95</w:t>
            </w:r>
          </w:p>
        </w:tc>
        <w:tc>
          <w:tcPr>
            <w:tcW w:type="dxa" w:w="4400"/>
            <w:tcBorders>
              <w:top w:val="single" w:color="1B4F72" w:sz="4"/>
              <w:left w:val="single" w:color="1B4F72" w:sz="4"/>
              <w:bottom w:val="single" w:color="1B4F72" w:sz="4"/>
              <w:right w:val="single" w:color="1B4F72" w:sz="4"/>
            </w:tcBorders>
            <w:tcMar>
              <w:top w:type="dxa" w:w="80"/>
              <w:left w:type="dxa" w:w="120"/>
              <w:bottom w:type="dxa" w:w="80"/>
              <w:right w:type="dxa" w:w="120"/>
            </w:tcMar>
            <w:vAlign w:val="center"/>
          </w:tcPr>
          <w:p>
            <w:r>
              <w:rPr>
                <w:rFonts w:ascii="Calibri" w:cs="Calibri" w:eastAsia="Calibri" w:hAnsi="Calibri"/>
                <w:sz w:val="20"/>
                <w:szCs w:val="20"/>
              </w:rPr>
              <w:t xml:space="preserve">HIGH — ranking stable</w:t>
            </w:r>
          </w:p>
        </w:tc>
      </w:tr>
      <w:tr>
        <w:tc>
          <w:tcPr>
            <w:tcW w:type="dxa" w:w="32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AEI</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1.00</w:t>
            </w:r>
          </w:p>
        </w:tc>
        <w:tc>
          <w:tcPr>
            <w:tcW w:type="dxa" w:w="15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1.00</w:t>
            </w:r>
          </w:p>
        </w:tc>
        <w:tc>
          <w:tcPr>
            <w:tcW w:type="dxa" w:w="4400"/>
            <w:tcBorders>
              <w:top w:val="single" w:color="1B4F72" w:sz="4"/>
              <w:left w:val="single" w:color="1B4F72" w:sz="4"/>
              <w:bottom w:val="single" w:color="1B4F72" w:sz="4"/>
              <w:right w:val="single" w:color="1B4F72" w:sz="4"/>
            </w:tcBorders>
            <w:shd w:fill="EAF2F8" w:val="clear"/>
            <w:tcMar>
              <w:top w:type="dxa" w:w="80"/>
              <w:left w:type="dxa" w:w="120"/>
              <w:bottom w:type="dxa" w:w="80"/>
              <w:right w:type="dxa" w:w="120"/>
            </w:tcMar>
            <w:vAlign w:val="center"/>
          </w:tcPr>
          <w:p>
            <w:r>
              <w:rPr>
                <w:rFonts w:ascii="Calibri" w:cs="Calibri" w:eastAsia="Calibri" w:hAnsi="Calibri"/>
                <w:sz w:val="20"/>
                <w:szCs w:val="20"/>
              </w:rPr>
              <w:t xml:space="preserve">UNCHANGED</w:t>
            </w:r>
          </w:p>
        </w:tc>
      </w:tr>
    </w:tbl>
    <w:p>
      <w:pPr>
        <w:spacing w:after="100"/>
      </w:pPr>
      <w:r>
        <w:t xml:space="preserve"/>
      </w:r>
    </w:p>
    <w:p>
      <w:pPr>
        <w:spacing w:after="120" w:line="300"/>
        <w:jc w:val="both"/>
      </w:pPr>
      <w:r>
        <w:rPr>
          <w:rFonts w:ascii="Calibri" w:cs="Calibri" w:eastAsia="Calibri" w:hAnsi="Calibri"/>
          <w:b w:val="false"/>
          <w:bCs w:val="false"/>
          <w:i w:val="false"/>
          <w:iCs w:val="false"/>
          <w:sz w:val="22"/>
          <w:szCs w:val="22"/>
        </w:rPr>
        <w:t xml:space="preserve">The cross-version pattern is informative. IRA shows extremely high stability (r = 0.999) because triple residualisation refines the construct without changing its core information content — most variance remains in CA, which is unchanged. OAEI shows high rank-stability (ρ = 0.95) — only 9 of 20 top-ranked occupations change, and most by less than 5 ranks. ITEA shows moderate stability (r = 0.83) because the z-score normalisation rescales values significantly while preserving most rank-order.</w:t>
      </w:r>
    </w:p>
    <w:p>
      <w:pPr>
        <w:spacing w:after="120" w:line="300"/>
        <w:jc w:val="both"/>
      </w:pPr>
      <w:r>
        <w:rPr>
          <w:rFonts w:ascii="Calibri" w:cs="Calibri" w:eastAsia="Calibri" w:hAnsi="Calibri"/>
          <w:b w:val="false"/>
          <w:bCs w:val="false"/>
          <w:i w:val="false"/>
          <w:iCs w:val="false"/>
          <w:sz w:val="22"/>
          <w:szCs w:val="22"/>
        </w:rPr>
        <w:t xml:space="preserve">Operational migration from v2.1 to v3.0 requires the following sequential steps:</w:t>
      </w:r>
    </w:p>
    <w:p>
      <w:pPr>
        <w:spacing w:after="120" w:line="300"/>
        <w:jc w:val="both"/>
      </w:pPr>
      <w:r>
        <w:rPr>
          <w:rFonts w:ascii="Calibri" w:cs="Calibri" w:eastAsia="Calibri" w:hAnsi="Calibri"/>
          <w:b w:val="false"/>
          <w:bCs w:val="false"/>
          <w:i w:val="false"/>
          <w:iCs w:val="false"/>
          <w:sz w:val="22"/>
          <w:szCs w:val="22"/>
        </w:rPr>
        <w:t xml:space="preserve">1. Update ITEA computation. Replace the equal-weight average in [0,1] space with z-score normalisation followed by averaging and final min-max. Code change: approximately 5 lines.</w:t>
      </w:r>
    </w:p>
    <w:p>
      <w:pPr>
        <w:spacing w:after="120" w:line="300"/>
        <w:jc w:val="both"/>
      </w:pPr>
      <w:r>
        <w:rPr>
          <w:rFonts w:ascii="Calibri" w:cs="Calibri" w:eastAsia="Calibri" w:hAnsi="Calibri"/>
          <w:b w:val="false"/>
          <w:bCs w:val="false"/>
          <w:i w:val="false"/>
          <w:iCs w:val="false"/>
          <w:sz w:val="22"/>
          <w:szCs w:val="22"/>
        </w:rPr>
        <w:t xml:space="preserve">2. Update IRA computation. Replace the univariate residualisation against GEE with multivariate residualisation against (GEE, ITEA_v3.0, ICT). Code change: approximately 10 lines. Note the ITEA → IRA dependency: ITEA must be computed first.</w:t>
      </w:r>
    </w:p>
    <w:p>
      <w:pPr>
        <w:spacing w:after="120" w:line="300"/>
        <w:jc w:val="both"/>
      </w:pPr>
      <w:r>
        <w:rPr>
          <w:rFonts w:ascii="Calibri" w:cs="Calibri" w:eastAsia="Calibri" w:hAnsi="Calibri"/>
          <w:b w:val="false"/>
          <w:bCs w:val="false"/>
          <w:i w:val="false"/>
          <w:iCs w:val="false"/>
          <w:sz w:val="22"/>
          <w:szCs w:val="22"/>
        </w:rPr>
        <w:t xml:space="preserve">3. Recompute OAEI. The formula is unchanged but the ITEA input is upgraded. Decision required: choose multiplicative (canonical) or additive (v3.0+) variant based on use case (see Table 4.2).</w:t>
      </w:r>
    </w:p>
    <w:p>
      <w:pPr>
        <w:spacing w:after="120" w:line="300"/>
        <w:jc w:val="both"/>
      </w:pPr>
      <w:r>
        <w:rPr>
          <w:rFonts w:ascii="Calibri" w:cs="Calibri" w:eastAsia="Calibri" w:hAnsi="Calibri"/>
          <w:b w:val="false"/>
          <w:bCs w:val="false"/>
          <w:i w:val="false"/>
          <w:iCs w:val="false"/>
          <w:sz w:val="22"/>
          <w:szCs w:val="22"/>
        </w:rPr>
        <w:t xml:space="preserve">4. Update top-20 references in research code. The v3.0 ranking has 9 new entries vs v2.1; tables and policy quantifications referencing the top 20 must be regenerated.</w:t>
      </w:r>
    </w:p>
    <w:p>
      <w:pPr>
        <w:spacing w:after="120" w:line="300"/>
        <w:jc w:val="both"/>
      </w:pPr>
      <w:r>
        <w:rPr>
          <w:rFonts w:ascii="Calibri" w:cs="Calibri" w:eastAsia="Calibri" w:hAnsi="Calibri"/>
          <w:b w:val="false"/>
          <w:bCs w:val="false"/>
          <w:i w:val="false"/>
          <w:iCs w:val="false"/>
          <w:sz w:val="22"/>
          <w:szCs w:val="22"/>
        </w:rPr>
        <w:t xml:space="preserve">5. Reconcile policy population text. The v2.1 trilogy reports `2.97 million workers' as the top-20 quantification, but the BLS OEWS data sums to approximately 1.22 million workers (~0.74% of the US workforce). The v3.0 documentation cites the corrected figure.</w:t>
      </w:r>
    </w:p>
    <w:p>
      <w:pPr>
        <w:spacing w:after="120" w:line="300"/>
        <w:jc w:val="both"/>
      </w:pPr>
      <w:r>
        <w:rPr>
          <w:rFonts w:ascii="Calibri" w:cs="Calibri" w:eastAsia="Calibri" w:hAnsi="Calibri"/>
          <w:b w:val="false"/>
          <w:bCs w:val="false"/>
          <w:i w:val="false"/>
          <w:iCs w:val="false"/>
          <w:sz w:val="22"/>
          <w:szCs w:val="22"/>
        </w:rPr>
        <w:t xml:space="preserve">6. Update validation reporting. The new criteria (v) and (vi) discriminant validity should be reported in any methodological appendix using v3.0 data.</w:t>
      </w:r>
    </w:p>
    <w:p>
      <w:pPr>
        <w:pStyle w:val="Heading1"/>
        <w:spacing w:after="200" w:before="360"/>
      </w:pPr>
      <w:r>
        <w:rPr>
          <w:rFonts w:ascii="Calibri" w:cs="Calibri" w:eastAsia="Calibri" w:hAnsi="Calibri"/>
          <w:b/>
          <w:bCs/>
          <w:color w:val="1B4F72"/>
          <w:sz w:val="32"/>
          <w:szCs w:val="32"/>
        </w:rPr>
        <w:t xml:space="preserve">8. Acknowledged Limitations of v3.0</w:t>
      </w:r>
    </w:p>
    <w:p>
      <w:pPr>
        <w:spacing w:after="120" w:line="300"/>
        <w:jc w:val="both"/>
      </w:pPr>
      <w:r>
        <w:rPr>
          <w:rFonts w:ascii="Calibri" w:cs="Calibri" w:eastAsia="Calibri" w:hAnsi="Calibri"/>
          <w:b w:val="false"/>
          <w:bCs w:val="false"/>
          <w:i w:val="false"/>
          <w:iCs w:val="false"/>
          <w:sz w:val="22"/>
          <w:szCs w:val="22"/>
        </w:rPr>
        <w:t xml:space="preserve">The v3.0 specification resolves four critical issues identified in v2.1 but introduces or fails to address eight new or persistent limitations, documented below in order of severity.</w:t>
      </w:r>
    </w:p>
    <w:p>
      <w:pPr>
        <w:spacing w:after="120" w:line="300"/>
        <w:jc w:val="both"/>
      </w:pPr>
      <w:r>
        <w:rPr>
          <w:rFonts w:ascii="Calibri" w:cs="Calibri" w:eastAsia="Calibri" w:hAnsi="Calibri"/>
          <w:b w:val="false"/>
          <w:bCs w:val="false"/>
          <w:i w:val="false"/>
          <w:iCs w:val="false"/>
          <w:sz w:val="22"/>
          <w:szCs w:val="22"/>
        </w:rPr>
        <w:t xml:space="preserve">L1. EAC remains structurally degenerate. The z-score normalisation redistributes EAC's contribution to the ITEA composite but does not solve the underlying variable design issue: 60% of occupations have EAC = 0 and only 96 unique values populate the entire range. The variable functions effectively as a binary categorical (zero vs non-zero) with limited internal gradation. Future work should redesign EAC using O*NET Work Activities + Tasks + Tools, or formally treat it as a binary indicator integrated through a different aggregation rule.</w:t>
      </w:r>
    </w:p>
    <w:p>
      <w:pPr>
        <w:spacing w:after="120" w:line="300"/>
        <w:jc w:val="both"/>
      </w:pPr>
      <w:r>
        <w:rPr>
          <w:rFonts w:ascii="Calibri" w:cs="Calibri" w:eastAsia="Calibri" w:hAnsi="Calibri"/>
          <w:b w:val="false"/>
          <w:bCs w:val="false"/>
          <w:i w:val="false"/>
          <w:iCs w:val="false"/>
          <w:sz w:val="22"/>
          <w:szCs w:val="22"/>
        </w:rPr>
        <w:t xml:space="preserve">L2. EIG saturation persists. The v3.0 z-scoring partially addresses but does not eliminate the EIG ceiling effect: 42.5% of occupations remain at or above 0.95 in raw values. Some loss of discrimination among saturated knowledge workers persists. Logit transformation was tested and rejected (it degraded validity); an alternative path is to introduce an EIG2 component capturing intensity (interactions per worker, prompts per week) within the saturated band, but this requires data sources beyond O*NET.</w:t>
      </w:r>
    </w:p>
    <w:p>
      <w:pPr>
        <w:spacing w:after="120" w:line="300"/>
        <w:jc w:val="both"/>
      </w:pPr>
      <w:r>
        <w:rPr>
          <w:rFonts w:ascii="Calibri" w:cs="Calibri" w:eastAsia="Calibri" w:hAnsi="Calibri"/>
          <w:b w:val="false"/>
          <w:bCs w:val="false"/>
          <w:i w:val="false"/>
          <w:iCs w:val="false"/>
          <w:sz w:val="22"/>
          <w:szCs w:val="22"/>
        </w:rPr>
        <w:t xml:space="preserve">L3. OAEI multiplicative loses some AIOE convergence. The v3.0 multiplicative variant drops r(OAEI, AIOE) from 0.81 to 0.77 (−0.04). This reflects the fact that v2.1 OAEI was disproportionately driven by GEE (which has r=0.74 with AIOE) and the v3.0 rebalancing reduces this domination. The dual-variant architecture mitigates this: the v3.0+ additive variant recovers AIOE convergence to 0.80, just 0.01 below v2.1.</w:t>
      </w:r>
    </w:p>
    <w:p>
      <w:pPr>
        <w:spacing w:after="120" w:line="300"/>
        <w:jc w:val="both"/>
      </w:pPr>
      <w:r>
        <w:rPr>
          <w:rFonts w:ascii="Calibri" w:cs="Calibri" w:eastAsia="Calibri" w:hAnsi="Calibri"/>
          <w:b w:val="false"/>
          <w:bCs w:val="false"/>
          <w:i w:val="false"/>
          <w:iCs w:val="false"/>
          <w:sz w:val="22"/>
          <w:szCs w:val="22"/>
        </w:rPr>
        <w:t xml:space="preserve">L4. IRA discriminant residual against GEE. The v3.0 r(IRA, GEE) = 0.40 reflects the natural conceptual association between adaptability and qualification that no methodological adjustment can eliminate without losing construct validity. Pure orthogonality (r=0) would imply IRA is an artifact disconnected from O*NET signals. The 0.40 level is acceptable and below the &lt; 0.50 psychometric threshold.</w:t>
      </w:r>
    </w:p>
    <w:p>
      <w:pPr>
        <w:spacing w:after="120" w:line="300"/>
        <w:jc w:val="both"/>
      </w:pPr>
      <w:r>
        <w:rPr>
          <w:rFonts w:ascii="Calibri" w:cs="Calibri" w:eastAsia="Calibri" w:hAnsi="Calibri"/>
          <w:b w:val="false"/>
          <w:bCs w:val="false"/>
          <w:i w:val="false"/>
          <w:iCs w:val="false"/>
          <w:sz w:val="22"/>
          <w:szCs w:val="22"/>
        </w:rPr>
        <w:t xml:space="preserve">L5. Static cross-section. ITEA v3.0 measures exposure as a snapshot using O*NET 30.2 (February 2026) data. The framework cannot capture adoption velocity, steady-state distance, or temporal dynamics. The trilogy of papers documents that c_agent → 0 (the Agentic orchestration cost) is a time-varying parameter, but the ITEA does not measure this dynamic. Future v4.0 should introduce IDA (Index of Adoption Dynamics) using sectoral AI investment shares, revenue/employee elasticities, and headcount restructuring data.</w:t>
      </w:r>
    </w:p>
    <w:p>
      <w:pPr>
        <w:spacing w:after="120" w:line="300"/>
        <w:jc w:val="both"/>
      </w:pPr>
      <w:r>
        <w:rPr>
          <w:rFonts w:ascii="Calibri" w:cs="Calibri" w:eastAsia="Calibri" w:hAnsi="Calibri"/>
          <w:b w:val="false"/>
          <w:bCs w:val="false"/>
          <w:i w:val="false"/>
          <w:iCs w:val="false"/>
          <w:sz w:val="22"/>
          <w:szCs w:val="22"/>
        </w:rPr>
        <w:t xml:space="preserve">L6. No contractual regime dimension. The framework measures technical exposure through ITEA × GEE × ICT × (1−IPI) but does not capture how labour contract architecture protects or amplifies vulnerability. Two occupations with identical OAEI may face very different real exposure depending on whether they operate under a regime with employee-inventor protections (German Arbeitnehmererfindungsgesetz, Spanish Patents Law 24/2015), partnership compensation pools (MBB), or at-will employment. Future v4.0 should introduce IRC (Index of Contractual Regime) following the trilogy 8B mechanism.</w:t>
      </w:r>
    </w:p>
    <w:p>
      <w:pPr>
        <w:spacing w:after="120" w:line="300"/>
        <w:jc w:val="both"/>
      </w:pPr>
      <w:r>
        <w:rPr>
          <w:rFonts w:ascii="Calibri" w:cs="Calibri" w:eastAsia="Calibri" w:hAnsi="Calibri"/>
          <w:b w:val="false"/>
          <w:bCs w:val="false"/>
          <w:i w:val="false"/>
          <w:iCs w:val="false"/>
          <w:sz w:val="22"/>
          <w:szCs w:val="22"/>
        </w:rPr>
        <w:t xml:space="preserve">L7. Top-20 destabilisation impacts trilogy. The v3.0 top-20 retains 11 of 20 occupations from v2.1 — the 9 changes are substantive and require Paper 8A v2.3 / Paper 8B v1.5 revisions to update top-20 quantifications, sectoral examples, and the policy population narrative.</w:t>
      </w:r>
    </w:p>
    <w:p>
      <w:pPr>
        <w:spacing w:after="120" w:line="300"/>
        <w:jc w:val="both"/>
      </w:pPr>
      <w:r>
        <w:rPr>
          <w:rFonts w:ascii="Calibri" w:cs="Calibri" w:eastAsia="Calibri" w:hAnsi="Calibri"/>
          <w:b w:val="false"/>
          <w:bCs w:val="false"/>
          <w:i w:val="false"/>
          <w:iCs w:val="false"/>
          <w:sz w:val="22"/>
          <w:szCs w:val="22"/>
        </w:rPr>
        <w:t xml:space="preserve">L8. Effective N varies by indicator. The base sample of 1,016 occupations narrows to 923 for ITEA components, 846 for IRA (which requires CA + IRO_v1.45), and 878 for OAEI v3.0. Cross-sheet consistency in the deliverable workbook requires careful documentation. Future versions should harmonise N = 878 as the primary effective sample (consistent with OAEI) and report sensitivity to alternative N choices.</w:t>
      </w:r>
    </w:p>
    <w:p>
      <w:pPr>
        <w:spacing w:after="120" w:line="300"/>
        <w:jc w:val="both"/>
      </w:pPr>
      <w:r>
        <w:rPr>
          <w:rFonts w:ascii="Calibri" w:cs="Calibri" w:eastAsia="Calibri" w:hAnsi="Calibri"/>
          <w:b w:val="false"/>
          <w:bCs w:val="false"/>
          <w:i w:val="false"/>
          <w:iCs w:val="false"/>
          <w:sz w:val="22"/>
          <w:szCs w:val="22"/>
        </w:rPr>
        <w:t xml:space="preserve">L9. Z-score parameters are sample-dependent. The v3.0 standardisation uses the mean and standard deviation of the full O*NET 30.2 sample for each component. When applying the framework to a different sample (e.g., a national subset, a sectoral panel, or a future O*NET version), these parameters must be recomputed on the new sample. This is a structural property of standardised composites and limits cross-sample comparability.</w:t>
      </w:r>
    </w:p>
    <w:p>
      <w:pPr>
        <w:pStyle w:val="Heading1"/>
        <w:spacing w:after="200" w:before="360"/>
      </w:pPr>
      <w:r>
        <w:rPr>
          <w:rFonts w:ascii="Calibri" w:cs="Calibri" w:eastAsia="Calibri" w:hAnsi="Calibri"/>
          <w:b/>
          <w:bCs/>
          <w:color w:val="1B4F72"/>
          <w:sz w:val="32"/>
          <w:szCs w:val="32"/>
        </w:rPr>
        <w:t xml:space="preserve">9. Future Work — Toward v4.0</w:t>
      </w:r>
    </w:p>
    <w:p>
      <w:pPr>
        <w:spacing w:after="120" w:line="300"/>
        <w:jc w:val="both"/>
      </w:pPr>
      <w:r>
        <w:rPr>
          <w:rFonts w:ascii="Calibri" w:cs="Calibri" w:eastAsia="Calibri" w:hAnsi="Calibri"/>
          <w:b w:val="false"/>
          <w:bCs w:val="false"/>
          <w:i w:val="false"/>
          <w:iCs w:val="false"/>
          <w:sz w:val="22"/>
          <w:szCs w:val="22"/>
        </w:rPr>
        <w:t xml:space="preserve">Three structural extensions are identified as priority paths for a future v4.0 of the framework.</w:t>
      </w:r>
    </w:p>
    <w:p>
      <w:pPr>
        <w:pStyle w:val="Heading2"/>
        <w:spacing w:after="140" w:before="280"/>
      </w:pPr>
      <w:r>
        <w:rPr>
          <w:rFonts w:ascii="Calibri" w:cs="Calibri" w:eastAsia="Calibri" w:hAnsi="Calibri"/>
          <w:b/>
          <w:bCs/>
          <w:color w:val="2E86C1"/>
          <w:sz w:val="26"/>
          <w:szCs w:val="26"/>
        </w:rPr>
        <w:t xml:space="preserve">9.1 IDA — Index of Adoption Dynamics</w:t>
      </w:r>
    </w:p>
    <w:p>
      <w:pPr>
        <w:spacing w:after="120" w:line="300"/>
        <w:jc w:val="both"/>
      </w:pPr>
      <w:r>
        <w:rPr>
          <w:rFonts w:ascii="Calibri" w:cs="Calibri" w:eastAsia="Calibri" w:hAnsi="Calibri"/>
          <w:b w:val="false"/>
          <w:bCs w:val="false"/>
          <w:i w:val="false"/>
          <w:iCs w:val="false"/>
          <w:sz w:val="22"/>
          <w:szCs w:val="22"/>
        </w:rPr>
        <w:t xml:space="preserve">The current ITEA captures static technological exposure but not the velocity at which the Agentic regime is being adopted across sectors. A future IDA would combine three sub-indicators: (i) sectoral AI investment share, derived from corporate filings (10-K/10-Q for US firms, equivalent disclosures elsewhere); (ii) revenue-per-employee elasticity, capturing the rate at which firms in the sector are replacing labour with capital; (iii) Agentic adoption fraction, derived from sectoral surveys (Bain Technology Report, McKinsey State of AI, IBM IBV) calibrated to occupation-level granularity. The IDA would enable decomposition of OAEI into a static structural component and a dynamic urgency component, supporting differential calibration of the trilogy 8B tokenisation rate θ by adoption phase.</w:t>
      </w:r>
    </w:p>
    <w:p>
      <w:pPr>
        <w:pStyle w:val="Heading2"/>
        <w:spacing w:after="140" w:before="280"/>
      </w:pPr>
      <w:r>
        <w:rPr>
          <w:rFonts w:ascii="Calibri" w:cs="Calibri" w:eastAsia="Calibri" w:hAnsi="Calibri"/>
          <w:b/>
          <w:bCs/>
          <w:color w:val="2E86C1"/>
          <w:sz w:val="26"/>
          <w:szCs w:val="26"/>
        </w:rPr>
        <w:t xml:space="preserve">9.2 IRC — Index of Contractual Regime</w:t>
      </w:r>
    </w:p>
    <w:p>
      <w:pPr>
        <w:spacing w:after="120" w:line="300"/>
        <w:jc w:val="both"/>
      </w:pPr>
      <w:r>
        <w:rPr>
          <w:rFonts w:ascii="Calibri" w:cs="Calibri" w:eastAsia="Calibri" w:hAnsi="Calibri"/>
          <w:b w:val="false"/>
          <w:bCs w:val="false"/>
          <w:i w:val="false"/>
          <w:iCs w:val="false"/>
          <w:sz w:val="22"/>
          <w:szCs w:val="22"/>
        </w:rPr>
        <w:t xml:space="preserve">The framework currently treats all occupations as if they faced a uniform contractual regime, but the trilogy explicitly identifies that the MBB partnership form, employee-inventor compensation regimes, and gig-economy contracts produce radically different effective exposures for identical technological profiles. A future IRC would measure on a [0,1] scale the degree to which the typical contract for an occupation protects residually against crystallisation. High-IRC occupations (sectors with strong collective bargaining, employee-inventor laws, partnership structures, public-sector tenure) would be protected; low-IRC occupations (at-will private-sector employment, gig contracts, up-or-out professional services) would be amplified-exposure. The OAEI v4.0 would integrate IRC as: OAEI = ITEA × GEE × ICT × (1−IPI) × (1−IRC), making the framework directly responsive to the contractual mechanism that the trilogy 8B identifies as the locus of corrective intervention.</w:t>
      </w:r>
    </w:p>
    <w:p>
      <w:pPr>
        <w:pStyle w:val="Heading2"/>
        <w:spacing w:after="140" w:before="280"/>
      </w:pPr>
      <w:r>
        <w:rPr>
          <w:rFonts w:ascii="Calibri" w:cs="Calibri" w:eastAsia="Calibri" w:hAnsi="Calibri"/>
          <w:b/>
          <w:bCs/>
          <w:color w:val="2E86C1"/>
          <w:sz w:val="26"/>
          <w:szCs w:val="26"/>
        </w:rPr>
        <w:t xml:space="preserve">9.3 EIA refinement under Agentic-specific signals</w:t>
      </w:r>
    </w:p>
    <w:p>
      <w:pPr>
        <w:spacing w:after="120" w:line="300"/>
        <w:jc w:val="both"/>
      </w:pPr>
      <w:r>
        <w:rPr>
          <w:rFonts w:ascii="Calibri" w:cs="Calibri" w:eastAsia="Calibri" w:hAnsi="Calibri"/>
          <w:b w:val="false"/>
          <w:bCs w:val="false"/>
          <w:i w:val="false"/>
          <w:iCs w:val="false"/>
          <w:sz w:val="22"/>
          <w:szCs w:val="22"/>
        </w:rPr>
        <w:t xml:space="preserve">The current EIA component is constructed from O*NET task-level signals and aggregated to the occupation level. Future versions could refine it using direct measurements of Agentic-AI-specific exposure: deployment frequency of Agentic systems within an occupation (e.g., consulting firms with Lilli/Sage/BCG-X have higher EIA than those without), integration depth (read-only LLM assistance vs autonomous workflow execution), and persistence of crystallisation (whether the firm retains data from worker-AI interactions). These signals require either firm-level disclosure (limited availability) or proxy construction from sector-level indicators.</w:t>
      </w:r>
    </w:p>
    <w:p>
      <w:pPr>
        <w:pStyle w:val="Heading2"/>
        <w:spacing w:after="140" w:before="280"/>
      </w:pPr>
      <w:r>
        <w:rPr>
          <w:rFonts w:ascii="Calibri" w:cs="Calibri" w:eastAsia="Calibri" w:hAnsi="Calibri"/>
          <w:b/>
          <w:bCs/>
          <w:color w:val="2E86C1"/>
          <w:sz w:val="26"/>
          <w:szCs w:val="26"/>
        </w:rPr>
        <w:t xml:space="preserve">9.4 Bayesian updating and longitudinal trajectory tracking</w:t>
      </w:r>
    </w:p>
    <w:p>
      <w:pPr>
        <w:spacing w:after="120" w:line="300"/>
        <w:jc w:val="both"/>
      </w:pPr>
      <w:r>
        <w:rPr>
          <w:rFonts w:ascii="Calibri" w:cs="Calibri" w:eastAsia="Calibri" w:hAnsi="Calibri"/>
          <w:b w:val="false"/>
          <w:bCs w:val="false"/>
          <w:i w:val="false"/>
          <w:iCs w:val="false"/>
          <w:sz w:val="22"/>
          <w:szCs w:val="22"/>
        </w:rPr>
        <w:t xml:space="preserve">The current framework reports point estimates for each indicator without uncertainty quantification. Future versions could implement Bayesian updating: at each O*NET version, the posterior distribution of each indicator can be computed conditional on the prior version and the new observations, producing both updated point estimates and credible intervals. This would enable longitudinal trajectory tracking of OAEI for each occupation, supporting questions like 'which occupations are converging toward maximum exposure?' that the current static framework cannot answer.</w:t>
      </w:r>
    </w:p>
    <w:p>
      <w:pPr>
        <w:pStyle w:val="Heading1"/>
        <w:spacing w:after="200" w:before="360"/>
      </w:pPr>
      <w:r>
        <w:rPr>
          <w:rFonts w:ascii="Calibri" w:cs="Calibri" w:eastAsia="Calibri" w:hAnsi="Calibri"/>
          <w:b/>
          <w:bCs/>
          <w:color w:val="1B4F72"/>
          <w:sz w:val="32"/>
          <w:szCs w:val="32"/>
        </w:rPr>
        <w:t xml:space="preserve">10. References</w:t>
      </w:r>
    </w:p>
    <w:p>
      <w:pPr>
        <w:spacing w:after="100" w:line="280"/>
        <w:ind w:left="720" w:hanging="720"/>
        <w:jc w:val="both"/>
      </w:pPr>
      <w:r>
        <w:rPr>
          <w:rFonts w:ascii="Calibri" w:cs="Calibri" w:eastAsia="Calibri" w:hAnsi="Calibri"/>
          <w:sz w:val="22"/>
          <w:szCs w:val="22"/>
        </w:rPr>
        <w:t xml:space="preserve">Acemoglu, D. (2025), "The Simple Macroeconomics of AI," Economic Policy 40(121), 13–58.</w:t>
      </w:r>
    </w:p>
    <w:p>
      <w:pPr>
        <w:spacing w:after="100" w:line="280"/>
        <w:ind w:left="720" w:hanging="720"/>
        <w:jc w:val="both"/>
      </w:pPr>
      <w:r>
        <w:rPr>
          <w:rFonts w:ascii="Calibri" w:cs="Calibri" w:eastAsia="Calibri" w:hAnsi="Calibri"/>
          <w:sz w:val="22"/>
          <w:szCs w:val="22"/>
        </w:rPr>
        <w:t xml:space="preserve">Acemoglu, D., and P. Restrepo (2018), "The Race between Man and Machine: Implications of Technology for Growth, Factor Shares, and Employment," American Economic Review 108(6), 1488–1542.</w:t>
      </w:r>
    </w:p>
    <w:p>
      <w:pPr>
        <w:spacing w:after="100" w:line="280"/>
        <w:ind w:left="720" w:hanging="720"/>
        <w:jc w:val="both"/>
      </w:pPr>
      <w:r>
        <w:rPr>
          <w:rFonts w:ascii="Calibri" w:cs="Calibri" w:eastAsia="Calibri" w:hAnsi="Calibri"/>
          <w:sz w:val="22"/>
          <w:szCs w:val="22"/>
        </w:rPr>
        <w:t xml:space="preserve">Acemoglu, D., and P. Restrepo (2022), "Tasks, Automation, and the Rise in U.S. Wage Inequality," Econometrica 90(5), 1973–2016.</w:t>
      </w:r>
    </w:p>
    <w:p>
      <w:pPr>
        <w:spacing w:after="100" w:line="280"/>
        <w:ind w:left="720" w:hanging="720"/>
        <w:jc w:val="both"/>
      </w:pPr>
      <w:r>
        <w:rPr>
          <w:rFonts w:ascii="Calibri" w:cs="Calibri" w:eastAsia="Calibri" w:hAnsi="Calibri"/>
          <w:sz w:val="22"/>
          <w:szCs w:val="22"/>
        </w:rPr>
        <w:t xml:space="preserve">Bain &amp; Company (2025), "Building the Foundation for Agentic AI," Technology Report 2025.</w:t>
      </w:r>
    </w:p>
    <w:p>
      <w:pPr>
        <w:spacing w:after="100" w:line="280"/>
        <w:ind w:left="720" w:hanging="720"/>
        <w:jc w:val="both"/>
      </w:pPr>
      <w:r>
        <w:rPr>
          <w:rFonts w:ascii="Calibri" w:cs="Calibri" w:eastAsia="Calibri" w:hAnsi="Calibri"/>
          <w:sz w:val="22"/>
          <w:szCs w:val="22"/>
        </w:rPr>
        <w:t xml:space="preserve">Boese, P., and M. Strong (2008), "O*NET Required Level of Education to Years Mapping," Technical Note, Boese-Strong Consulting.</w:t>
      </w:r>
    </w:p>
    <w:p>
      <w:pPr>
        <w:spacing w:after="100" w:line="280"/>
        <w:ind w:left="720" w:hanging="720"/>
        <w:jc w:val="both"/>
      </w:pPr>
      <w:r>
        <w:rPr>
          <w:rFonts w:ascii="Calibri" w:cs="Calibri" w:eastAsia="Calibri" w:hAnsi="Calibri"/>
          <w:sz w:val="22"/>
          <w:szCs w:val="22"/>
        </w:rPr>
        <w:t xml:space="preserve">Brynjolfsson, E., D. Li, and L. Raymond (2025), "Generative AI at Work," Quarterly Journal of Economics, forthcoming.</w:t>
      </w:r>
    </w:p>
    <w:p>
      <w:pPr>
        <w:spacing w:after="100" w:line="280"/>
        <w:ind w:left="720" w:hanging="720"/>
        <w:jc w:val="both"/>
      </w:pPr>
      <w:r>
        <w:rPr>
          <w:rFonts w:ascii="Calibri" w:cs="Calibri" w:eastAsia="Calibri" w:hAnsi="Calibri"/>
          <w:sz w:val="22"/>
          <w:szCs w:val="22"/>
        </w:rPr>
        <w:t xml:space="preserve">Eloundou, T., S. Manning, P. Mishkin, and D. Rock (2024), "GPTs are GPTs: Labor Market Impact Potential of Large Language Models," Science 384(6702), 1306–1308.</w:t>
      </w:r>
    </w:p>
    <w:p>
      <w:pPr>
        <w:spacing w:after="100" w:line="280"/>
        <w:ind w:left="720" w:hanging="720"/>
        <w:jc w:val="both"/>
      </w:pPr>
      <w:r>
        <w:rPr>
          <w:rFonts w:ascii="Calibri" w:cs="Calibri" w:eastAsia="Calibri" w:hAnsi="Calibri"/>
          <w:sz w:val="22"/>
          <w:szCs w:val="22"/>
        </w:rPr>
        <w:t xml:space="preserve">Falk, B. H., and G. Tsoukalas (2026), "The AI Layoff Trap: Externalities, Competition, and the Case for a Pigouvian Tax," working paper.</w:t>
      </w:r>
    </w:p>
    <w:p>
      <w:pPr>
        <w:spacing w:after="100" w:line="280"/>
        <w:ind w:left="720" w:hanging="720"/>
        <w:jc w:val="both"/>
      </w:pPr>
      <w:r>
        <w:rPr>
          <w:rFonts w:ascii="Calibri" w:cs="Calibri" w:eastAsia="Calibri" w:hAnsi="Calibri"/>
          <w:sz w:val="22"/>
          <w:szCs w:val="22"/>
        </w:rPr>
        <w:t xml:space="preserve">Felten, E. W., M. Raj, and R. Seamans (2018), "A Method to Link Advances in Artificial Intelligence to Occupational Abilities," AEA Papers and Proceedings 108, 54–57.</w:t>
      </w:r>
    </w:p>
    <w:p>
      <w:pPr>
        <w:spacing w:after="100" w:line="280"/>
        <w:ind w:left="720" w:hanging="720"/>
        <w:jc w:val="both"/>
      </w:pPr>
      <w:r>
        <w:rPr>
          <w:rFonts w:ascii="Calibri" w:cs="Calibri" w:eastAsia="Calibri" w:hAnsi="Calibri"/>
          <w:sz w:val="22"/>
          <w:szCs w:val="22"/>
        </w:rPr>
        <w:t xml:space="preserve">Felten, E. W., M. Raj, and R. Seamans (2021), "Occupational, Industry, and Geographic Exposure to Artificial Intelligence: A Novel Dataset and Its Potential Uses," Strategic Management Journal 42(12), 2195–2217.</w:t>
      </w:r>
    </w:p>
    <w:p>
      <w:pPr>
        <w:spacing w:after="100" w:line="280"/>
        <w:ind w:left="720" w:hanging="720"/>
        <w:jc w:val="both"/>
      </w:pPr>
      <w:r>
        <w:rPr>
          <w:rFonts w:ascii="Calibri" w:cs="Calibri" w:eastAsia="Calibri" w:hAnsi="Calibri"/>
          <w:sz w:val="22"/>
          <w:szCs w:val="22"/>
        </w:rPr>
        <w:t xml:space="preserve">García-Lluis Valencia, A. (2026a), "Mapping algorithmic expropriation: occupational exposure to Agentic AI under the multidimensional ITEA v2.2 framework," Paper 8A, Universidad Rey Juan Carlos.</w:t>
      </w:r>
    </w:p>
    <w:p>
      <w:pPr>
        <w:spacing w:after="100" w:line="280"/>
        <w:ind w:left="720" w:hanging="720"/>
        <w:jc w:val="both"/>
      </w:pPr>
      <w:r>
        <w:rPr>
          <w:rFonts w:ascii="Calibri" w:cs="Calibri" w:eastAsia="Calibri" w:hAnsi="Calibri"/>
          <w:sz w:val="22"/>
          <w:szCs w:val="22"/>
        </w:rPr>
        <w:t xml:space="preserve">García-Lluis Valencia, A. (2026b), "Beyond the Pigouvian Trap: Tokenised Intellectual Capital as a Pareto-Dominant Mechanism for the Agentic AI Layoff Externality," Paper 8B, Universidad Rey Juan Carlos.</w:t>
      </w:r>
    </w:p>
    <w:p>
      <w:pPr>
        <w:spacing w:after="100" w:line="280"/>
        <w:ind w:left="720" w:hanging="720"/>
        <w:jc w:val="both"/>
      </w:pPr>
      <w:r>
        <w:rPr>
          <w:rFonts w:ascii="Calibri" w:cs="Calibri" w:eastAsia="Calibri" w:hAnsi="Calibri"/>
          <w:sz w:val="22"/>
          <w:szCs w:val="22"/>
        </w:rPr>
        <w:t xml:space="preserve">García-Lluis Valencia, A. (2026c), "The MBB Triad as Limit Case of Algorithmic Expropriation," Paper 8C, Universidad Rey Juan Carlos.</w:t>
      </w:r>
    </w:p>
    <w:p>
      <w:pPr>
        <w:spacing w:after="100" w:line="280"/>
        <w:ind w:left="720" w:hanging="720"/>
        <w:jc w:val="both"/>
      </w:pPr>
      <w:r>
        <w:rPr>
          <w:rFonts w:ascii="Calibri" w:cs="Calibri" w:eastAsia="Calibri" w:hAnsi="Calibri"/>
          <w:sz w:val="22"/>
          <w:szCs w:val="22"/>
        </w:rPr>
        <w:t xml:space="preserve">García-Lluis Valencia, A. (2026d), "ITEA Methodology v2.0," Universidad Rey Juan Carlos, April 2026.</w:t>
      </w:r>
    </w:p>
    <w:p>
      <w:pPr>
        <w:spacing w:after="100" w:line="280"/>
        <w:ind w:left="720" w:hanging="720"/>
        <w:jc w:val="both"/>
      </w:pPr>
      <w:r>
        <w:rPr>
          <w:rFonts w:ascii="Calibri" w:cs="Calibri" w:eastAsia="Calibri" w:hAnsi="Calibri"/>
          <w:sz w:val="22"/>
          <w:szCs w:val="22"/>
        </w:rPr>
        <w:t xml:space="preserve">García-Lluis Valencia, A. (2026e), "ITEA Memorandum v2.1," Universidad Rey Juan Carlos, April 2026.</w:t>
      </w:r>
    </w:p>
    <w:p>
      <w:pPr>
        <w:spacing w:after="100" w:line="280"/>
        <w:ind w:left="720" w:hanging="720"/>
        <w:jc w:val="both"/>
      </w:pPr>
      <w:r>
        <w:rPr>
          <w:rFonts w:ascii="Calibri" w:cs="Calibri" w:eastAsia="Calibri" w:hAnsi="Calibri"/>
          <w:sz w:val="22"/>
          <w:szCs w:val="22"/>
        </w:rPr>
        <w:t xml:space="preserve">IBM Institute for Business Value (2025), "The essential guide to scaling agentic AI."</w:t>
      </w:r>
    </w:p>
    <w:p>
      <w:pPr>
        <w:spacing w:after="100" w:line="280"/>
        <w:ind w:left="720" w:hanging="720"/>
        <w:jc w:val="both"/>
      </w:pPr>
      <w:r>
        <w:rPr>
          <w:rFonts w:ascii="Calibri" w:cs="Calibri" w:eastAsia="Calibri" w:hAnsi="Calibri"/>
          <w:sz w:val="22"/>
          <w:szCs w:val="22"/>
        </w:rPr>
        <w:t xml:space="preserve">Lindbeck, A., and D. J. Snower (1988), The Insider-Outsider Theory of Employment and Unemployment, MIT Press.</w:t>
      </w:r>
    </w:p>
    <w:p>
      <w:pPr>
        <w:spacing w:after="100" w:line="280"/>
        <w:ind w:left="720" w:hanging="720"/>
        <w:jc w:val="both"/>
      </w:pPr>
      <w:r>
        <w:rPr>
          <w:rFonts w:ascii="Calibri" w:cs="Calibri" w:eastAsia="Calibri" w:hAnsi="Calibri"/>
          <w:sz w:val="22"/>
          <w:szCs w:val="22"/>
        </w:rPr>
        <w:t xml:space="preserve">Massenkoff, M., and J. McCrory (2026), "Anthropic Economic Index: AI Exposure and the Geography of Displacement," working paper.</w:t>
      </w:r>
    </w:p>
    <w:p>
      <w:pPr>
        <w:spacing w:after="100" w:line="280"/>
        <w:ind w:left="720" w:hanging="720"/>
        <w:jc w:val="both"/>
      </w:pPr>
      <w:r>
        <w:rPr>
          <w:rFonts w:ascii="Calibri" w:cs="Calibri" w:eastAsia="Calibri" w:hAnsi="Calibri"/>
          <w:sz w:val="22"/>
          <w:szCs w:val="22"/>
        </w:rPr>
        <w:t xml:space="preserve">McKinsey &amp; Company (2025), "Seizing the Agentic AI advantage," QuantumBlack and McKinsey Technology.</w:t>
      </w:r>
    </w:p>
    <w:p>
      <w:pPr>
        <w:spacing w:after="100" w:line="280"/>
        <w:ind w:left="720" w:hanging="720"/>
        <w:jc w:val="both"/>
      </w:pPr>
      <w:r>
        <w:rPr>
          <w:rFonts w:ascii="Calibri" w:cs="Calibri" w:eastAsia="Calibri" w:hAnsi="Calibri"/>
          <w:sz w:val="22"/>
          <w:szCs w:val="22"/>
        </w:rPr>
        <w:t xml:space="preserve">Microsoft Corporation (2025), "Microsoft Ignite 2025: Agentic AI as the new execution layer for business."</w:t>
      </w:r>
    </w:p>
    <w:p>
      <w:pPr>
        <w:spacing w:after="100" w:line="280"/>
        <w:ind w:left="720" w:hanging="720"/>
        <w:jc w:val="both"/>
      </w:pPr>
      <w:r>
        <w:rPr>
          <w:rFonts w:ascii="Calibri" w:cs="Calibri" w:eastAsia="Calibri" w:hAnsi="Calibri"/>
          <w:sz w:val="22"/>
          <w:szCs w:val="22"/>
        </w:rPr>
        <w:t xml:space="preserve">Nonaka, I., and H. Takeuchi (1995), The Knowledge-Creating Company, Oxford University Press.</w:t>
      </w:r>
    </w:p>
    <w:p>
      <w:pPr>
        <w:spacing w:after="100" w:line="280"/>
        <w:ind w:left="720" w:hanging="720"/>
        <w:jc w:val="both"/>
      </w:pPr>
      <w:r>
        <w:rPr>
          <w:rFonts w:ascii="Calibri" w:cs="Calibri" w:eastAsia="Calibri" w:hAnsi="Calibri"/>
          <w:sz w:val="22"/>
          <w:szCs w:val="22"/>
        </w:rPr>
        <w:t xml:space="preserve">Nunnally, J. C., and I. H. Bernstein (1994), Psychometric Theory, 3rd ed., McGraw-Hill.</w:t>
      </w:r>
    </w:p>
    <w:p>
      <w:pPr>
        <w:spacing w:after="100"/>
      </w:pPr>
      <w:r>
        <w:t xml:space="preserve"/>
      </w:r>
    </w:p>
    <w:p>
      <w:pPr>
        <w:spacing w:before="400"/>
        <w:jc w:val="center"/>
      </w:pPr>
      <w:r>
        <w:rPr>
          <w:rFonts w:ascii="Calibri" w:cs="Calibri" w:eastAsia="Calibri" w:hAnsi="Calibri"/>
          <w:b/>
          <w:bCs/>
          <w:i/>
          <w:iCs/>
          <w:sz w:val="22"/>
          <w:szCs w:val="22"/>
        </w:rPr>
        <w:t xml:space="preserve">End of ITEA Methodology v3.0</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r>
      <w:rPr>
        <w:rFonts w:ascii="Calibri" w:cs="Calibri" w:eastAsia="Calibri" w:hAnsi="Calibri"/>
        <w:color w:val="808080"/>
        <w:sz w:val="18"/>
        <w:szCs w:val="18"/>
      </w:rPr>
      <w:t xml:space="preserve"> of </w:t>
    </w:r>
    <w:r>
      <w:rPr>
        <w:rFonts w:ascii="Calibri" w:cs="Calibri" w:eastAsia="Calibri" w:hAnsi="Calibri"/>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8"/>
        <w:szCs w:val="18"/>
      </w:rPr>
      <w:t xml:space="preserve">ITEA Methodology v3.0 — García-Lluis Valencia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B4F72"/>
      <w:sz w:val="32"/>
      <w:szCs w:val="32"/>
    </w:rPr>
  </w:style>
  <w:style w:type="paragraph" w:styleId="Heading2">
    <w:name w:val="Heading 2"/>
    <w:basedOn w:val="Normal"/>
    <w:next w:val="Normal"/>
    <w:qFormat/>
    <w:pPr>
      <w:spacing w:after="140" w:before="280"/>
      <w:outlineLvl w:val="1"/>
    </w:pPr>
    <w:rPr>
      <w:rFonts w:ascii="Calibri" w:cs="Calibri" w:eastAsia="Calibri" w:hAnsi="Calibri"/>
      <w:b/>
      <w:bCs/>
      <w:color w:val="2E86C1"/>
      <w:sz w:val="26"/>
      <w:szCs w:val="26"/>
    </w:rPr>
  </w:style>
  <w:style w:type="paragraph" w:styleId="Heading3">
    <w:name w:val="Heading 3"/>
    <w:basedOn w:val="Normal"/>
    <w:next w:val="Normal"/>
    <w:qFormat/>
    <w:pPr>
      <w:spacing w:after="120" w:before="220"/>
      <w:outlineLvl w:val="2"/>
    </w:pPr>
    <w:rPr>
      <w:rFonts w:ascii="Calibri" w:cs="Calibri" w:eastAsia="Calibri" w:hAnsi="Calibri"/>
      <w:b/>
      <w:bCs/>
      <w:color w:val="1B4F7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ITEA Framework v3.0 — Methodology</dc:title>
  <dc:creator>Alberto García-Lluis Valencia</dc:creator>
  <dc:description>Major methodological revision of the ITEA Framework</dc:description>
  <cp:lastModifiedBy>Un-named</cp:lastModifiedBy>
  <cp:revision>1</cp:revision>
  <dcterms:created xsi:type="dcterms:W3CDTF">2026-04-30T08:00:00.214Z</dcterms:created>
  <dcterms:modified xsi:type="dcterms:W3CDTF">2026-04-30T08:00:00.215Z</dcterms:modified>
</cp:coreProperties>
</file>

<file path=docProps/custom.xml><?xml version="1.0" encoding="utf-8"?>
<Properties xmlns="http://schemas.openxmlformats.org/officeDocument/2006/custom-properties" xmlns:vt="http://schemas.openxmlformats.org/officeDocument/2006/docPropsVTypes"/>
</file>