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ART_REVISAR — Decisão Humana</w:t>
      </w:r>
    </w:p>
    <w:p>
      <w:pPr>
        <w:pStyle w:val="Heading1"/>
      </w:pPr>
      <w:r>
        <w:t>1. Gatilho</w:t>
      </w:r>
    </w:p>
    <w:p>
      <w:r>
        <w:t>Executado quando o HITL responder REVISAR.</w:t>
      </w:r>
    </w:p>
    <w:p>
      <w:pPr>
        <w:pStyle w:val="Heading1"/>
      </w:pPr>
      <w:r>
        <w:t>2. Ação</w:t>
      </w:r>
    </w:p>
    <w:p>
      <w:r>
        <w:t>Suspender a atualização e apresentar ao humano os pontos que exigem decisão.</w:t>
      </w:r>
    </w:p>
    <w:p>
      <w:pPr>
        <w:pStyle w:val="Heading1"/>
      </w:pPr>
      <w:r>
        <w:t>3. Escopo</w:t>
      </w:r>
    </w:p>
    <w:p>
      <w:r>
        <w:t>Explicitar questão, evidências, conflito ou ambiguidade e impactos, sem extrapolar o material disponível.</w:t>
      </w:r>
    </w:p>
    <w:p>
      <w:pPr>
        <w:pStyle w:val="Heading1"/>
      </w:pPr>
      <w:r>
        <w:t>4. Regra</w:t>
      </w:r>
    </w:p>
    <w:p>
      <w:r>
        <w:t>Não resolver unilateralmente a questão. A decisão humana determina a ação subsequente.</w:t>
      </w:r>
    </w:p>
    <w:p>
      <w:pPr>
        <w:pStyle w:val="Heading1"/>
      </w:pPr>
      <w:r>
        <w:t>5. Continuidade</w:t>
      </w:r>
    </w:p>
    <w:p>
      <w:r>
        <w:t>Após a decisão humana, aplicar as instruções do contexto correspondente.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