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GLOSSÁRIO MESTRE DA JORNADA</w:t>
        <w:br/>
        <w:t>ARTIGO CNEG: AIM</w:t>
      </w:r>
    </w:p>
    <w:p>
      <w:pPr>
        <w:jc w:val="center"/>
      </w:pPr>
      <w:r>
        <w:rPr>
          <w:b/>
        </w:rPr>
        <w:t>v1.0 — Baseline inicial de terminologia</w:t>
      </w:r>
    </w:p>
    <w:p>
      <w:r>
        <w:t>Status: Working Governance Artifact. Deve ser mantido durante toda a jornada e revisado quando um termo relevante surgir, mudar de significado ou receber definição normativa.</w:t>
      </w:r>
    </w:p>
    <w:p>
      <w:r>
        <w:t>Objetivo: fornecer referência única para MARGO, PMO.ai, OGT, OGT+, SJO/SJF, artefatos de investigação e GO/NO-GO, evitando semantic drift.</w:t>
      </w:r>
    </w:p>
    <w:p>
      <w:pPr>
        <w:pStyle w:val="Heading1"/>
      </w:pPr>
      <w:r>
        <w:t>1. Verificação de artefatos anteriores</w:t>
      </w:r>
    </w:p>
    <w:p>
      <w:r>
        <w:t>Foi localizado um glossário anterior na documentação de governança do OGT. O OGT Blueprint também define P0.1 — Terminology Consolidation, com um glossary candidate específico do OGT. Esse material permanece válido como baseline de domínio, mas não cobre toda a jornada. Portanto, este Glossário Mestre o incorpora como precedente e amplia seu escopo transversal.</w:t>
      </w:r>
    </w:p>
    <w:p>
      <w:pPr>
        <w:pStyle w:val="Heading1"/>
      </w:pPr>
      <w:r>
        <w:t>2. Regras de governança</w:t>
      </w:r>
    </w:p>
    <w:p>
      <w:pPr>
        <w:pStyle w:val="ListBullet"/>
      </w:pPr>
      <w:r>
        <w:t>Não alterar silenciosamente o significado de um termo.</w:t>
      </w:r>
    </w:p>
    <w:p>
      <w:pPr>
        <w:pStyle w:val="ListBullet"/>
      </w:pPr>
      <w:r>
        <w:t>Preservar terminologia histórica quando necessária à proveniência.</w:t>
      </w:r>
    </w:p>
    <w:p>
      <w:pPr>
        <w:pStyle w:val="ListBullet"/>
      </w:pPr>
      <w:r>
        <w:t>Marcar explicitamente a terminologia atual.</w:t>
      </w:r>
    </w:p>
    <w:p>
      <w:pPr>
        <w:pStyle w:val="ListBullet"/>
      </w:pPr>
      <w:r>
        <w:t>Termos não resolvidos permanecem OPEN.</w:t>
      </w:r>
    </w:p>
    <w:p>
      <w:pPr>
        <w:pStyle w:val="ListBullet"/>
      </w:pPr>
      <w:r>
        <w:t>Definições derivadas de fontes devem respeitar o que as fontes suportam.</w:t>
      </w:r>
    </w:p>
    <w:p>
      <w:pPr>
        <w:pStyle w:val="ListBullet"/>
      </w:pPr>
      <w:r>
        <w:t>Mudanças de terminologia normativa exigem decisão humana explícita.</w:t>
      </w:r>
    </w:p>
    <w:p>
      <w:pPr>
        <w:pStyle w:val="ListBullet"/>
      </w:pPr>
      <w:r>
        <w:t>Novos termos relevantes devem ser adicionados com proveniência e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Termo</w:t>
            </w:r>
          </w:p>
        </w:tc>
        <w:tc>
          <w:tcPr>
            <w:tcW w:type="dxa" w:w="2074"/>
          </w:tcPr>
          <w:p>
            <w:r>
              <w:t>Definição / significado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  <w:tc>
          <w:tcPr>
            <w:tcW w:type="dxa" w:w="2074"/>
          </w:tcPr>
          <w:p>
            <w:r>
              <w:t>Proveniência / cautela</w:t>
            </w:r>
          </w:p>
        </w:tc>
      </w:tr>
      <w:tr>
        <w:tc>
          <w:tcPr>
            <w:tcW w:type="dxa" w:w="2074"/>
            <w:vAlign w:val="top"/>
          </w:tcPr>
          <w:p>
            <w:r>
              <w:t>T01</w:t>
            </w:r>
          </w:p>
        </w:tc>
        <w:tc>
          <w:tcPr>
            <w:tcW w:type="dxa" w:w="2074"/>
            <w:vAlign w:val="top"/>
          </w:tcPr>
          <w:p>
            <w:r>
              <w:t>MARGO</w:t>
            </w:r>
          </w:p>
        </w:tc>
        <w:tc>
          <w:tcPr>
            <w:tcW w:type="dxa" w:w="2074"/>
            <w:vAlign w:val="top"/>
          </w:tcPr>
          <w:p>
            <w:r>
              <w:t>Migration &amp; Resource Governance Operator.</w:t>
            </w:r>
          </w:p>
        </w:tc>
        <w:tc>
          <w:tcPr>
            <w:tcW w:type="dxa" w:w="2074"/>
            <w:vAlign w:val="top"/>
          </w:tcPr>
          <w:p>
            <w:r>
              <w:t>CURRENT/RECOVERED</w:t>
            </w:r>
          </w:p>
        </w:tc>
        <w:tc>
          <w:tcPr>
            <w:tcW w:type="dxa" w:w="2074"/>
            <w:vAlign w:val="top"/>
          </w:tcPr>
          <w:p>
            <w:r>
              <w:t>MARGO recovery; origem exata do nome não estabelecida.</w:t>
            </w:r>
          </w:p>
        </w:tc>
      </w:tr>
      <w:tr>
        <w:tc>
          <w:tcPr>
            <w:tcW w:type="dxa" w:w="2074"/>
            <w:vAlign w:val="top"/>
          </w:tcPr>
          <w:p>
            <w:r>
              <w:t>T02</w:t>
            </w:r>
          </w:p>
        </w:tc>
        <w:tc>
          <w:tcPr>
            <w:tcW w:type="dxa" w:w="2074"/>
            <w:vAlign w:val="top"/>
          </w:tcPr>
          <w:p>
            <w:r>
              <w:t>PMO.ai</w:t>
            </w:r>
          </w:p>
        </w:tc>
        <w:tc>
          <w:tcPr>
            <w:tcW w:type="dxa" w:w="2074"/>
            <w:vAlign w:val="top"/>
          </w:tcPr>
          <w:p>
            <w:r>
              <w:t>Programa de agentificação de um fluxo operacional de um escritório de projetos.</w:t>
            </w:r>
          </w:p>
        </w:tc>
        <w:tc>
          <w:tcPr>
            <w:tcW w:type="dxa" w:w="2074"/>
            <w:vAlign w:val="top"/>
          </w:tcPr>
          <w:p>
            <w:r>
              <w:t>CURRENT/RECOVERED</w:t>
            </w:r>
          </w:p>
        </w:tc>
        <w:tc>
          <w:tcPr>
            <w:tcW w:type="dxa" w:w="2074"/>
            <w:vAlign w:val="top"/>
          </w:tcPr>
          <w:p>
            <w:r>
              <w:t>PMO / Atividade 8; separar PoC de evolução.</w:t>
            </w:r>
          </w:p>
        </w:tc>
      </w:tr>
      <w:tr>
        <w:tc>
          <w:tcPr>
            <w:tcW w:type="dxa" w:w="2074"/>
            <w:vAlign w:val="top"/>
          </w:tcPr>
          <w:p>
            <w:r>
              <w:t>T03</w:t>
            </w:r>
          </w:p>
        </w:tc>
        <w:tc>
          <w:tcPr>
            <w:tcW w:type="dxa" w:w="2074"/>
            <w:vAlign w:val="top"/>
          </w:tcPr>
          <w:p>
            <w:r>
              <w:t>OGT</w:t>
            </w:r>
          </w:p>
        </w:tc>
        <w:tc>
          <w:tcPr>
            <w:tcW w:type="dxa" w:w="2074"/>
            <w:vAlign w:val="top"/>
          </w:tcPr>
          <w:p>
            <w:r>
              <w:t>Orchestration for Governance Treatment.</w:t>
            </w:r>
          </w:p>
        </w:tc>
        <w:tc>
          <w:tcPr>
            <w:tcW w:type="dxa" w:w="2074"/>
            <w:vAlign w:val="top"/>
          </w:tcPr>
          <w:p>
            <w:r>
              <w:t>CURRENT NORMATIVE</w:t>
            </w:r>
          </w:p>
        </w:tc>
        <w:tc>
          <w:tcPr>
            <w:tcW w:type="dxa" w:w="2074"/>
            <w:vAlign w:val="top"/>
          </w:tcPr>
          <w:p>
            <w:r>
              <w:t>Testing é capacidade do Core, não expansão atual.</w:t>
            </w:r>
          </w:p>
        </w:tc>
      </w:tr>
      <w:tr>
        <w:tc>
          <w:tcPr>
            <w:tcW w:type="dxa" w:w="2074"/>
            <w:vAlign w:val="top"/>
          </w:tcPr>
          <w:p>
            <w:r>
              <w:t>T04</w:t>
            </w:r>
          </w:p>
        </w:tc>
        <w:tc>
          <w:tcPr>
            <w:tcW w:type="dxa" w:w="2074"/>
            <w:vAlign w:val="top"/>
          </w:tcPr>
          <w:p>
            <w:r>
              <w:t>OGT Core</w:t>
            </w:r>
          </w:p>
        </w:tc>
        <w:tc>
          <w:tcPr>
            <w:tcW w:type="dxa" w:w="2074"/>
            <w:vAlign w:val="top"/>
          </w:tcPr>
          <w:p>
            <w:r>
              <w:t>Núcleo genérico e independentemente governado de avaliação de governança.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Lógica específica de processo/domínio fora do Core.</w:t>
            </w:r>
          </w:p>
        </w:tc>
      </w:tr>
      <w:tr>
        <w:tc>
          <w:tcPr>
            <w:tcW w:type="dxa" w:w="2074"/>
            <w:vAlign w:val="top"/>
          </w:tcPr>
          <w:p>
            <w:r>
              <w:t>T05</w:t>
            </w:r>
          </w:p>
        </w:tc>
        <w:tc>
          <w:tcPr>
            <w:tcW w:type="dxa" w:w="2074"/>
            <w:vAlign w:val="top"/>
          </w:tcPr>
          <w:p>
            <w:r>
              <w:t>OGT+</w:t>
            </w:r>
          </w:p>
        </w:tc>
        <w:tc>
          <w:tcPr>
            <w:tcW w:type="dxa" w:w="2074"/>
            <w:vAlign w:val="top"/>
          </w:tcPr>
          <w:p>
            <w:r>
              <w:t>Composição contextual de OGT Core + Orchestrate + capacidades especializadas governadas.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Não é substituto monolítico do Core.</w:t>
            </w:r>
          </w:p>
        </w:tc>
      </w:tr>
      <w:tr>
        <w:tc>
          <w:tcPr>
            <w:tcW w:type="dxa" w:w="2074"/>
            <w:vAlign w:val="top"/>
          </w:tcPr>
          <w:p>
            <w:r>
              <w:t>T06</w:t>
            </w:r>
          </w:p>
        </w:tc>
        <w:tc>
          <w:tcPr>
            <w:tcW w:type="dxa" w:w="2074"/>
            <w:vAlign w:val="top"/>
          </w:tcPr>
          <w:p>
            <w:r>
              <w:t>EER</w:t>
            </w:r>
          </w:p>
        </w:tc>
        <w:tc>
          <w:tcPr>
            <w:tcW w:type="dxa" w:w="2074"/>
            <w:vAlign w:val="top"/>
          </w:tcPr>
          <w:p>
            <w:r>
              <w:t>Boundary de evidência entre execução governada e avaliação OGT; nova execução gera novo EER.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EER original não é reescrito.</w:t>
            </w:r>
          </w:p>
        </w:tc>
      </w:tr>
      <w:tr>
        <w:tc>
          <w:tcPr>
            <w:tcW w:type="dxa" w:w="2074"/>
            <w:vAlign w:val="top"/>
          </w:tcPr>
          <w:p>
            <w:r>
              <w:t>T07</w:t>
            </w:r>
          </w:p>
        </w:tc>
        <w:tc>
          <w:tcPr>
            <w:tcW w:type="dxa" w:w="2074"/>
            <w:vAlign w:val="top"/>
          </w:tcPr>
          <w:p>
            <w:r>
              <w:t>HITL</w:t>
            </w:r>
          </w:p>
        </w:tc>
        <w:tc>
          <w:tcPr>
            <w:tcW w:type="dxa" w:w="2074"/>
            <w:vAlign w:val="top"/>
          </w:tcPr>
          <w:p>
            <w:r>
              <w:t>Human-in-the-loop; ponto de intervenção/decisão humana governada.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Escopo e autoridade variam.</w:t>
            </w:r>
          </w:p>
        </w:tc>
      </w:tr>
      <w:tr>
        <w:tc>
          <w:tcPr>
            <w:tcW w:type="dxa" w:w="2074"/>
            <w:vAlign w:val="top"/>
          </w:tcPr>
          <w:p>
            <w:r>
              <w:t>T08</w:t>
            </w:r>
          </w:p>
        </w:tc>
        <w:tc>
          <w:tcPr>
            <w:tcW w:type="dxa" w:w="2074"/>
            <w:vAlign w:val="top"/>
          </w:tcPr>
          <w:p>
            <w:r>
              <w:t>HITL-0</w:t>
            </w:r>
          </w:p>
        </w:tc>
        <w:tc>
          <w:tcPr>
            <w:tcW w:type="dxa" w:w="2074"/>
            <w:vAlign w:val="top"/>
          </w:tcPr>
          <w:p>
            <w:r>
              <w:t>Gate de autorização do desenvolvimento da fase corrente do MARGO.</w:t>
            </w:r>
          </w:p>
        </w:tc>
        <w:tc>
          <w:tcPr>
            <w:tcW w:type="dxa" w:w="2074"/>
            <w:vAlign w:val="top"/>
          </w:tcPr>
          <w:p>
            <w:r>
              <w:t>HISTORICAL/CURRENT MARGO</w:t>
            </w:r>
          </w:p>
        </w:tc>
        <w:tc>
          <w:tcPr>
            <w:tcW w:type="dxa" w:w="2074"/>
            <w:vAlign w:val="top"/>
          </w:tcPr>
          <w:p>
            <w:r>
              <w:t>Distinto dos HITLs operacionais.</w:t>
            </w:r>
          </w:p>
        </w:tc>
      </w:tr>
      <w:tr>
        <w:tc>
          <w:tcPr>
            <w:tcW w:type="dxa" w:w="2074"/>
            <w:vAlign w:val="top"/>
          </w:tcPr>
          <w:p>
            <w:r>
              <w:t>T09</w:t>
            </w:r>
          </w:p>
        </w:tc>
        <w:tc>
          <w:tcPr>
            <w:tcW w:type="dxa" w:w="2074"/>
            <w:vAlign w:val="top"/>
          </w:tcPr>
          <w:p>
            <w:r>
              <w:t>Human Governance Review</w:t>
            </w:r>
          </w:p>
        </w:tc>
        <w:tc>
          <w:tcPr>
            <w:tcW w:type="dxa" w:w="2074"/>
            <w:vAlign w:val="top"/>
          </w:tcPr>
          <w:p>
            <w:r>
              <w:t>Gate de decisão humana no ciclo OGT.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OGT avalia/recomenda; humano decide.</w:t>
            </w:r>
          </w:p>
        </w:tc>
      </w:tr>
      <w:tr>
        <w:tc>
          <w:tcPr>
            <w:tcW w:type="dxa" w:w="2074"/>
            <w:vAlign w:val="top"/>
          </w:tcPr>
          <w:p>
            <w:r>
              <w:t>T10</w:t>
            </w:r>
          </w:p>
        </w:tc>
        <w:tc>
          <w:tcPr>
            <w:tcW w:type="dxa" w:w="2074"/>
            <w:vAlign w:val="top"/>
          </w:tcPr>
          <w:p>
            <w:r>
              <w:t>Controlled Autonomy</w:t>
            </w:r>
          </w:p>
        </w:tc>
        <w:tc>
          <w:tcPr>
            <w:tcW w:type="dxa" w:w="2074"/>
            <w:vAlign w:val="top"/>
          </w:tcPr>
          <w:p>
            <w:r>
              <w:t>Autonomia limitada por autoridade explícita, gates e autorizações não inferíveis.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Relevância transversal ainda sob investigação.</w:t>
            </w:r>
          </w:p>
        </w:tc>
      </w:tr>
      <w:tr>
        <w:tc>
          <w:tcPr>
            <w:tcW w:type="dxa" w:w="2074"/>
            <w:vAlign w:val="top"/>
          </w:tcPr>
          <w:p>
            <w:r>
              <w:t>T11</w:t>
            </w:r>
          </w:p>
        </w:tc>
        <w:tc>
          <w:tcPr>
            <w:tcW w:type="dxa" w:w="2074"/>
            <w:vAlign w:val="top"/>
          </w:tcPr>
          <w:p>
            <w:r>
              <w:t>Evidence</w:t>
            </w:r>
          </w:p>
        </w:tc>
        <w:tc>
          <w:tcPr>
            <w:tcW w:type="dxa" w:w="2074"/>
            <w:vAlign w:val="top"/>
          </w:tcPr>
          <w:p>
            <w:r>
              <w:t>Informação explicitamente suportada por fonte/artefato acessível.</w:t>
            </w:r>
          </w:p>
        </w:tc>
        <w:tc>
          <w:tcPr>
            <w:tcW w:type="dxa" w:w="2074"/>
            <w:vAlign w:val="top"/>
          </w:tcPr>
          <w:p>
            <w:r>
              <w:t>CURRENT METHODOLOGICAL</w:t>
            </w:r>
          </w:p>
        </w:tc>
        <w:tc>
          <w:tcPr>
            <w:tcW w:type="dxa" w:w="2074"/>
            <w:vAlign w:val="top"/>
          </w:tcPr>
          <w:p>
            <w:r>
              <w:t>Não equivale a inferência.</w:t>
            </w:r>
          </w:p>
        </w:tc>
      </w:tr>
      <w:tr>
        <w:tc>
          <w:tcPr>
            <w:tcW w:type="dxa" w:w="2074"/>
            <w:vAlign w:val="top"/>
          </w:tcPr>
          <w:p>
            <w:r>
              <w:t>T12</w:t>
            </w:r>
          </w:p>
        </w:tc>
        <w:tc>
          <w:tcPr>
            <w:tcW w:type="dxa" w:w="2074"/>
            <w:vAlign w:val="top"/>
          </w:tcPr>
          <w:p>
            <w:r>
              <w:t>Reconstruction</w:t>
            </w:r>
          </w:p>
        </w:tc>
        <w:tc>
          <w:tcPr>
            <w:tcW w:type="dxa" w:w="2074"/>
            <w:vAlign w:val="top"/>
          </w:tcPr>
          <w:p>
            <w:r>
              <w:t>Sequência/relação reconstruída de registros sem afirmar intenção histórica literal.</w:t>
            </w:r>
          </w:p>
        </w:tc>
        <w:tc>
          <w:tcPr>
            <w:tcW w:type="dxa" w:w="2074"/>
            <w:vAlign w:val="top"/>
          </w:tcPr>
          <w:p>
            <w:r>
              <w:t>CURRENT METHODOLOGICAL</w:t>
            </w:r>
          </w:p>
        </w:tc>
        <w:tc>
          <w:tcPr>
            <w:tcW w:type="dxa" w:w="2074"/>
            <w:vAlign w:val="top"/>
          </w:tcPr>
          <w:p>
            <w:r>
              <w:t>Distinta de evidência.</w:t>
            </w:r>
          </w:p>
        </w:tc>
      </w:tr>
      <w:tr>
        <w:tc>
          <w:tcPr>
            <w:tcW w:type="dxa" w:w="2074"/>
            <w:vAlign w:val="top"/>
          </w:tcPr>
          <w:p>
            <w:r>
              <w:t>T13</w:t>
            </w:r>
          </w:p>
        </w:tc>
        <w:tc>
          <w:tcPr>
            <w:tcW w:type="dxa" w:w="2074"/>
            <w:vAlign w:val="top"/>
          </w:tcPr>
          <w:p>
            <w:r>
              <w:t>Hypothesis</w:t>
            </w:r>
          </w:p>
        </w:tc>
        <w:tc>
          <w:tcPr>
            <w:tcW w:type="dxa" w:w="2074"/>
            <w:vAlign w:val="top"/>
          </w:tcPr>
          <w:p>
            <w:r>
              <w:t>Interpretação ou possível explicação/contribuição que requer teste.</w:t>
            </w:r>
          </w:p>
        </w:tc>
        <w:tc>
          <w:tcPr>
            <w:tcW w:type="dxa" w:w="2074"/>
            <w:vAlign w:val="top"/>
          </w:tcPr>
          <w:p>
            <w:r>
              <w:t>CURRENT METHODOLOGICAL</w:t>
            </w:r>
          </w:p>
        </w:tc>
        <w:tc>
          <w:tcPr>
            <w:tcW w:type="dxa" w:w="2074"/>
            <w:vAlign w:val="top"/>
          </w:tcPr>
          <w:p>
            <w:r>
              <w:t>Não é conclusão.</w:t>
            </w:r>
          </w:p>
        </w:tc>
      </w:tr>
      <w:tr>
        <w:tc>
          <w:tcPr>
            <w:tcW w:type="dxa" w:w="2074"/>
            <w:vAlign w:val="top"/>
          </w:tcPr>
          <w:p>
            <w:r>
              <w:t>T14</w:t>
            </w:r>
          </w:p>
        </w:tc>
        <w:tc>
          <w:tcPr>
            <w:tcW w:type="dxa" w:w="2074"/>
            <w:vAlign w:val="top"/>
          </w:tcPr>
          <w:p>
            <w:r>
              <w:t>Unknown</w:t>
            </w:r>
          </w:p>
        </w:tc>
        <w:tc>
          <w:tcPr>
            <w:tcW w:type="dxa" w:w="2074"/>
            <w:vAlign w:val="top"/>
          </w:tcPr>
          <w:p>
            <w:r>
              <w:t>Ponto não suficientemente estabelecido pela evidência disponível.</w:t>
            </w:r>
          </w:p>
        </w:tc>
        <w:tc>
          <w:tcPr>
            <w:tcW w:type="dxa" w:w="2074"/>
            <w:vAlign w:val="top"/>
          </w:tcPr>
          <w:p>
            <w:r>
              <w:t>CURRENT METHODOLOGICAL</w:t>
            </w:r>
          </w:p>
        </w:tc>
        <w:tc>
          <w:tcPr>
            <w:tcW w:type="dxa" w:w="2074"/>
            <w:vAlign w:val="top"/>
          </w:tcPr>
          <w:p>
            <w:r>
              <w:t>Não preencher por plausibilidade.</w:t>
            </w:r>
          </w:p>
        </w:tc>
      </w:tr>
      <w:tr>
        <w:tc>
          <w:tcPr>
            <w:tcW w:type="dxa" w:w="2074"/>
            <w:vAlign w:val="top"/>
          </w:tcPr>
          <w:p>
            <w:r>
              <w:t>T15</w:t>
            </w:r>
          </w:p>
        </w:tc>
        <w:tc>
          <w:tcPr>
            <w:tcW w:type="dxa" w:w="2074"/>
            <w:vAlign w:val="top"/>
          </w:tcPr>
          <w:p>
            <w:r>
              <w:t>Specialist Evaluation Capability</w:t>
            </w:r>
          </w:p>
        </w:tc>
        <w:tc>
          <w:tcPr>
            <w:tcW w:type="dxa" w:w="2074"/>
            <w:vAlign w:val="top"/>
          </w:tcPr>
          <w:p>
            <w:r>
              <w:t>Capacidade especializada para avaliar questões de governança contextual.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Modelo de qualificação pode evoluir.</w:t>
            </w:r>
          </w:p>
        </w:tc>
      </w:tr>
      <w:tr>
        <w:tc>
          <w:tcPr>
            <w:tcW w:type="dxa" w:w="2074"/>
            <w:vAlign w:val="top"/>
          </w:tcPr>
          <w:p>
            <w:r>
              <w:t>T16</w:t>
            </w:r>
          </w:p>
        </w:tc>
        <w:tc>
          <w:tcPr>
            <w:tcW w:type="dxa" w:w="2074"/>
            <w:vAlign w:val="top"/>
          </w:tcPr>
          <w:p>
            <w:r>
              <w:t>Extension</w:t>
            </w:r>
          </w:p>
        </w:tc>
        <w:tc>
          <w:tcPr>
            <w:tcW w:type="dxa" w:w="2074"/>
            <w:vAlign w:val="top"/>
          </w:tcPr>
          <w:p>
            <w:r>
              <w:t>Fronteira governada de integração de capacidade especializada ao OGT+.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Contrato/qualificação podem permanecer abertos.</w:t>
            </w:r>
          </w:p>
        </w:tc>
      </w:tr>
      <w:tr>
        <w:tc>
          <w:tcPr>
            <w:tcW w:type="dxa" w:w="2074"/>
            <w:vAlign w:val="top"/>
          </w:tcPr>
          <w:p>
            <w:r>
              <w:t>T17</w:t>
            </w:r>
          </w:p>
        </w:tc>
        <w:tc>
          <w:tcPr>
            <w:tcW w:type="dxa" w:w="2074"/>
            <w:vAlign w:val="top"/>
          </w:tcPr>
          <w:p>
            <w:r>
              <w:t>Orchestrate</w:t>
            </w:r>
          </w:p>
        </w:tc>
        <w:tc>
          <w:tcPr>
            <w:tcW w:type="dxa" w:w="2074"/>
            <w:vAlign w:val="top"/>
          </w:tcPr>
          <w:p>
            <w:r>
              <w:t>Identificar, selecionar, compor, coordenar e governar capacidades especializadas.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Não é sinônimo de executar uma capacidade.</w:t>
            </w:r>
          </w:p>
        </w:tc>
      </w:tr>
      <w:tr>
        <w:tc>
          <w:tcPr>
            <w:tcW w:type="dxa" w:w="2074"/>
            <w:vAlign w:val="top"/>
          </w:tcPr>
          <w:p>
            <w:r>
              <w:t>T18</w:t>
            </w:r>
          </w:p>
        </w:tc>
        <w:tc>
          <w:tcPr>
            <w:tcW w:type="dxa" w:w="2074"/>
            <w:vAlign w:val="top"/>
          </w:tcPr>
          <w:p>
            <w:r>
              <w:t>Process KPI</w:t>
            </w:r>
          </w:p>
        </w:tc>
        <w:tc>
          <w:tcPr>
            <w:tcW w:type="dxa" w:w="2074"/>
            <w:vAlign w:val="top"/>
          </w:tcPr>
          <w:p>
            <w:r>
              <w:t>Métrica pertencente ao processo/fluxo aplicável, externa ao OGT Core.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Distinta de OGT KPI.</w:t>
            </w:r>
          </w:p>
        </w:tc>
      </w:tr>
      <w:tr>
        <w:tc>
          <w:tcPr>
            <w:tcW w:type="dxa" w:w="2074"/>
            <w:vAlign w:val="top"/>
          </w:tcPr>
          <w:p>
            <w:r>
              <w:t>T19</w:t>
            </w:r>
          </w:p>
        </w:tc>
        <w:tc>
          <w:tcPr>
            <w:tcW w:type="dxa" w:w="2074"/>
            <w:vAlign w:val="top"/>
          </w:tcPr>
          <w:p>
            <w:r>
              <w:t>OGT KPI</w:t>
            </w:r>
          </w:p>
        </w:tc>
        <w:tc>
          <w:tcPr>
            <w:tcW w:type="dxa" w:w="2074"/>
            <w:vAlign w:val="top"/>
          </w:tcPr>
          <w:p>
            <w:r>
              <w:t>Métrica da capacidade/comportamento de avaliação de governança.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Não é KPI do processo.</w:t>
            </w:r>
          </w:p>
        </w:tc>
      </w:tr>
      <w:tr>
        <w:tc>
          <w:tcPr>
            <w:tcW w:type="dxa" w:w="2074"/>
            <w:vAlign w:val="top"/>
          </w:tcPr>
          <w:p>
            <w:r>
              <w:t>T20</w:t>
            </w:r>
          </w:p>
        </w:tc>
        <w:tc>
          <w:tcPr>
            <w:tcW w:type="dxa" w:w="2074"/>
            <w:vAlign w:val="top"/>
          </w:tcPr>
          <w:p>
            <w:r>
              <w:t>SJO</w:t>
            </w:r>
          </w:p>
        </w:tc>
        <w:tc>
          <w:tcPr>
            <w:tcW w:type="dxa" w:w="2074"/>
            <w:vAlign w:val="top"/>
          </w:tcPr>
          <w:p>
            <w:r>
              <w:t>Solution Journey Orchestrator; função/persona que exerce a orquestração de uma Solution Journey.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Validação ainda integra a investigação.</w:t>
            </w:r>
          </w:p>
        </w:tc>
      </w:tr>
      <w:tr>
        <w:tc>
          <w:tcPr>
            <w:tcW w:type="dxa" w:w="2074"/>
            <w:vAlign w:val="top"/>
          </w:tcPr>
          <w:p>
            <w:r>
              <w:t>T21</w:t>
            </w:r>
          </w:p>
        </w:tc>
        <w:tc>
          <w:tcPr>
            <w:tcW w:type="dxa" w:w="2074"/>
            <w:vAlign w:val="top"/>
          </w:tcPr>
          <w:p>
            <w:r>
              <w:t>SJF</w:t>
            </w:r>
          </w:p>
        </w:tc>
        <w:tc>
          <w:tcPr>
            <w:tcW w:type="dxa" w:w="2074"/>
            <w:vAlign w:val="top"/>
          </w:tcPr>
          <w:p>
            <w:r>
              <w:t>Solution Journey Framework.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Framework ainda em investigação.</w:t>
            </w:r>
          </w:p>
        </w:tc>
      </w:tr>
      <w:tr>
        <w:tc>
          <w:tcPr>
            <w:tcW w:type="dxa" w:w="2074"/>
            <w:vAlign w:val="top"/>
          </w:tcPr>
          <w:p>
            <w:r>
              <w:t>T22</w:t>
            </w:r>
          </w:p>
        </w:tc>
        <w:tc>
          <w:tcPr>
            <w:tcW w:type="dxa" w:w="2074"/>
            <w:vAlign w:val="top"/>
          </w:tcPr>
          <w:p>
            <w:r>
              <w:t>Solution Journey</w:t>
            </w:r>
          </w:p>
        </w:tc>
        <w:tc>
          <w:tcPr>
            <w:tcW w:type="dxa" w:w="2074"/>
            <w:vAlign w:val="top"/>
          </w:tcPr>
          <w:p>
            <w:r>
              <w:t>Jornada centrada no problema, envolvendo entendimento, composição de capacidades/inteligência, decisões e evolução da solução.</w:t>
            </w:r>
          </w:p>
        </w:tc>
        <w:tc>
          <w:tcPr>
            <w:tcW w:type="dxa" w:w="2074"/>
            <w:vAlign w:val="top"/>
          </w:tcPr>
          <w:p>
            <w:r>
              <w:t>CURRENT WORKING</w:t>
            </w:r>
          </w:p>
        </w:tc>
        <w:tc>
          <w:tcPr>
            <w:tcW w:type="dxa" w:w="2074"/>
            <w:vAlign w:val="top"/>
          </w:tcPr>
          <w:p>
            <w:r>
              <w:t>Definição pode evoluir.</w:t>
            </w:r>
          </w:p>
        </w:tc>
      </w:tr>
      <w:tr>
        <w:tc>
          <w:tcPr>
            <w:tcW w:type="dxa" w:w="2074"/>
            <w:vAlign w:val="top"/>
          </w:tcPr>
          <w:p>
            <w:r>
              <w:t>T23</w:t>
            </w:r>
          </w:p>
        </w:tc>
        <w:tc>
          <w:tcPr>
            <w:tcW w:type="dxa" w:w="2074"/>
            <w:vAlign w:val="top"/>
          </w:tcPr>
          <w:p>
            <w:r>
              <w:t>GO/NO-GO</w:t>
            </w:r>
          </w:p>
        </w:tc>
        <w:tc>
          <w:tcPr>
            <w:tcW w:type="dxa" w:w="2074"/>
            <w:vAlign w:val="top"/>
          </w:tcPr>
          <w:p>
            <w:r>
              <w:t>Gate que decide se a evidência consolidada justifica avançar para construção/revisão/submissão do artigo.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Baseado no conjunto da investigação.</w:t>
            </w:r>
          </w:p>
        </w:tc>
      </w:tr>
      <w:tr>
        <w:tc>
          <w:tcPr>
            <w:tcW w:type="dxa" w:w="2074"/>
            <w:vAlign w:val="top"/>
          </w:tcPr>
          <w:p>
            <w:r>
              <w:t>T24</w:t>
            </w:r>
          </w:p>
        </w:tc>
        <w:tc>
          <w:tcPr>
            <w:tcW w:type="dxa" w:w="2074"/>
            <w:vAlign w:val="top"/>
          </w:tcPr>
          <w:p>
            <w:r>
              <w:t>Contribution</w:t>
            </w:r>
          </w:p>
        </w:tc>
        <w:tc>
          <w:tcPr>
            <w:tcW w:type="dxa" w:w="2074"/>
            <w:vAlign w:val="top"/>
          </w:tcPr>
          <w:p>
            <w:r>
              <w:t>Candidata contribuição publicável, diferenciada do conhecimento existente e defensável por evidência e literatura.</w:t>
            </w:r>
          </w:p>
        </w:tc>
        <w:tc>
          <w:tcPr>
            <w:tcW w:type="dxa" w:w="2074"/>
            <w:vAlign w:val="top"/>
          </w:tcPr>
          <w:p>
            <w:r>
              <w:t>WORKING</w:t>
            </w:r>
          </w:p>
        </w:tc>
        <w:tc>
          <w:tcPr>
            <w:tcW w:type="dxa" w:w="2074"/>
            <w:vAlign w:val="top"/>
          </w:tcPr>
          <w:p>
            <w:r>
              <w:t>Não declarar antes do challenge.</w:t>
            </w:r>
          </w:p>
        </w:tc>
      </w:tr>
      <w:tr>
        <w:tc>
          <w:tcPr>
            <w:tcW w:type="dxa" w:w="2074"/>
            <w:vAlign w:val="top"/>
          </w:tcPr>
          <w:p>
            <w:r>
              <w:t>T25</w:t>
            </w:r>
          </w:p>
        </w:tc>
        <w:tc>
          <w:tcPr>
            <w:tcW w:type="dxa" w:w="2074"/>
            <w:vAlign w:val="top"/>
          </w:tcPr>
          <w:p>
            <w:r>
              <w:t>Capacitation Journey</w:t>
            </w:r>
          </w:p>
        </w:tc>
        <w:tc>
          <w:tcPr>
            <w:tcW w:type="dxa" w:w="2074"/>
            <w:vAlign w:val="top"/>
          </w:tcPr>
          <w:p>
            <w:r>
              <w:t>Jornada prática derivada dos GAPs encontrados, independentemente do GO/NO-GO.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Não é produto de consolação do NO-GO.</w:t>
            </w:r>
          </w:p>
        </w:tc>
      </w:tr>
      <w:tr>
        <w:tc>
          <w:tcPr>
            <w:tcW w:type="dxa" w:w="2074"/>
            <w:vAlign w:val="top"/>
          </w:tcPr>
          <w:p>
            <w:r>
              <w:t>T26</w:t>
            </w:r>
          </w:p>
        </w:tc>
        <w:tc>
          <w:tcPr>
            <w:tcW w:type="dxa" w:w="2074"/>
            <w:vAlign w:val="top"/>
          </w:tcPr>
          <w:p>
            <w:r>
              <w:t>Empirical Reference Case</w:t>
            </w:r>
          </w:p>
        </w:tc>
        <w:tc>
          <w:tcPr>
            <w:tcW w:type="dxa" w:w="2074"/>
            <w:vAlign w:val="top"/>
          </w:tcPr>
          <w:p>
            <w:r>
              <w:t>Caso/experimento concreto usado para desenvolver/testar generalização conceitual.</w:t>
            </w:r>
          </w:p>
        </w:tc>
        <w:tc>
          <w:tcPr>
            <w:tcW w:type="dxa" w:w="2074"/>
            <w:vAlign w:val="top"/>
          </w:tcPr>
          <w:p>
            <w:r>
              <w:t>CURRENT</w:t>
            </w:r>
          </w:p>
        </w:tc>
        <w:tc>
          <w:tcPr>
            <w:tcW w:type="dxa" w:w="2074"/>
            <w:vAlign w:val="top"/>
          </w:tcPr>
          <w:p>
            <w:r>
              <w:t>MARGO é documentado como primeiro caso empírico do OGT.</w:t>
            </w:r>
          </w:p>
        </w:tc>
      </w:tr>
    </w:tbl>
    <w:p>
      <w:pPr>
        <w:pStyle w:val="Heading1"/>
      </w:pPr>
      <w:r>
        <w:t>3. Status controlado</w:t>
      </w:r>
    </w:p>
    <w:p>
      <w:pPr>
        <w:pStyle w:val="ListBullet"/>
      </w:pPr>
      <w:r>
        <w:t>CURRENT NORMATIVE — definição atualmente adotada.</w:t>
      </w:r>
    </w:p>
    <w:p>
      <w:pPr>
        <w:pStyle w:val="ListBullet"/>
      </w:pPr>
      <w:r>
        <w:t>CURRENT WORKING — uso atual, ainda sujeito à investigação.</w:t>
      </w:r>
    </w:p>
    <w:p>
      <w:pPr>
        <w:pStyle w:val="ListBullet"/>
      </w:pPr>
      <w:r>
        <w:t>HISTORICAL — preservado para rastreabilidade.</w:t>
      </w:r>
    </w:p>
    <w:p>
      <w:pPr>
        <w:pStyle w:val="ListBullet"/>
      </w:pPr>
      <w:r>
        <w:t>OPEN — significado/boundary ainda em investigação.</w:t>
      </w:r>
    </w:p>
    <w:p>
      <w:pPr>
        <w:pStyle w:val="ListBullet"/>
      </w:pPr>
      <w:r>
        <w:t>DISCONTINUED — não vigente, preservado para proveniência.</w:t>
      </w:r>
    </w:p>
    <w:p>
      <w:pPr>
        <w:pStyle w:val="Heading1"/>
      </w:pPr>
      <w:r>
        <w:t>4. Manutenção durante a jornada</w:t>
      </w:r>
    </w:p>
    <w:p>
      <w:pPr>
        <w:pStyle w:val="ListBullet"/>
      </w:pPr>
      <w:r>
        <w:t>Revisar antes de cada grande consolidação.</w:t>
      </w:r>
    </w:p>
    <w:p>
      <w:pPr>
        <w:pStyle w:val="ListBullet"/>
      </w:pPr>
      <w:r>
        <w:t>Adicionar termos novos quando necessários para compreender artefatos ou decisões.</w:t>
      </w:r>
    </w:p>
    <w:p>
      <w:pPr>
        <w:pStyle w:val="ListBullet"/>
      </w:pPr>
      <w:r>
        <w:t>Registrar a primeira fonte conhecida que sustenta o termo.</w:t>
      </w:r>
    </w:p>
    <w:p>
      <w:pPr>
        <w:pStyle w:val="ListBullet"/>
      </w:pPr>
      <w:r>
        <w:t>Não apagar significado histórico; registrar evolução como nova versão/status.</w:t>
      </w:r>
    </w:p>
    <w:p>
      <w:pPr>
        <w:pStyle w:val="ListBullet"/>
      </w:pPr>
      <w:r>
        <w:t>Associar mudanças normativas ao artefato/decisão correspondente.</w:t>
      </w:r>
    </w:p>
    <w:p>
      <w:pPr>
        <w:pStyle w:val="ListBullet"/>
      </w:pPr>
      <w:r>
        <w:t>Usar este Glossário como referência terminológica nos próximos artefatos.</w:t>
      </w:r>
    </w:p>
    <w:p>
      <w:pPr>
        <w:pStyle w:val="Heading1"/>
      </w:pPr>
      <w:r>
        <w:t>5. Relação com o OGT P0.1</w:t>
      </w:r>
    </w:p>
    <w:p>
      <w:r>
        <w:t>O P0.1 do OGT permanece como baseline específica de terminologia do OGT. Este Glossário Mestre amplia o escopo para toda a jornada e não substitui silenciosamente a terminologia OGT validada.</w:t>
      </w:r>
    </w:p>
    <w:p>
      <w:pPr>
        <w:pStyle w:val="Heading1"/>
      </w:pPr>
      <w:r>
        <w:t>6. Princípio</w:t>
      </w:r>
    </w:p>
    <w:p>
      <w:pPr>
        <w:jc w:val="center"/>
      </w:pPr>
      <w:r>
        <w:rPr>
          <w:b/>
        </w:rPr>
        <w:t>Terminologia é parte da rastreabilidade da pesquisa: quando um conceito muda de significado, a mudança deve ser visível.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