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  <w:jc w:val="center"/>
      </w:pPr>
      <w:r>
        <w:rPr>
          <w:b/>
          <w:color w:val="0052CC"/>
          <w:sz w:val="52"/>
        </w:rPr>
        <w:t>Molslinjen IT Helpdesk Chatbot</w:t>
      </w:r>
    </w:p>
    <w:p>
      <w:pPr>
        <w:jc w:val="center"/>
      </w:pPr>
      <w:r>
        <w:rPr>
          <w:color w:val="5F6368"/>
          <w:sz w:val="30"/>
        </w:rPr>
        <w:t>Project Requirements &amp; Credentials Checklist</w:t>
      </w:r>
    </w:p>
    <w:p>
      <w:pPr>
        <w:jc w:val="center"/>
      </w:pPr>
      <w:r>
        <w:rPr>
          <w:color w:val="B4B4B4"/>
          <w:sz w:val="20"/>
        </w:rPr>
        <w:t>Version 1.0  -  March 2026</w:t>
      </w:r>
    </w:p>
    <w:p/>
    <w:p>
      <w:pPr>
        <w:pBdr>
          <w:bottom w:val="single" w:sz="12" w:space="1" w:color="0052CC"/>
        </w:pBdr>
      </w:pPr>
    </w:p>
    <w:p/>
    <w:p>
      <w:r>
        <w:rPr>
          <w:color w:val="5F6368"/>
          <w:sz w:val="22"/>
        </w:rPr>
        <w:t>This document lists all external credentials, API keys, service configurations, and infrastructure decisions required to fully deploy the Molslinjen IT Helpdesk AI Chatbot. Items marked with a checkbox are outstanding and must be obtained before the corresponding feature can go live.</w:t>
      </w:r>
    </w:p>
    <w:p>
      <w:pPr>
        <w:spacing w:before="400" w:after="80"/>
        <w:pBdr>
          <w:bottom w:val="single" w:sz="6" w:space="1" w:color="0052CC"/>
        </w:pBdr>
      </w:pPr>
      <w:r>
        <w:rPr>
          <w:b/>
          <w:color w:val="0052CC"/>
          <w:sz w:val="34"/>
        </w:rPr>
        <w:t>1. Azure OpenAI</w:t>
      </w:r>
    </w:p>
    <w:p>
      <w:pPr>
        <w:spacing w:before="40" w:after="160"/>
      </w:pPr>
      <w:r>
        <w:rPr>
          <w:i/>
          <w:color w:val="5F6368"/>
          <w:sz w:val="20"/>
        </w:rPr>
        <w:t>Provided by: Your Azure architect via the Azure Portal</w:t>
      </w:r>
    </w:p>
    <w:p>
      <w:pPr>
        <w:spacing w:before="240" w:after="80"/>
      </w:pPr>
      <w:r>
        <w:rPr>
          <w:b/>
          <w:color w:val="001E50"/>
          <w:sz w:val="24"/>
        </w:rPr>
        <w:t>1.1  Credentials required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052CC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Environment Variable</w:t>
            </w:r>
          </w:p>
        </w:tc>
        <w:tc>
          <w:tcPr>
            <w:tcW w:type="dxa" w:w="3135"/>
            <w:shd w:val="clear" w:color="auto" w:fill="0052CC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135"/>
            <w:shd w:val="clear" w:color="auto" w:fill="0052CC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Where to Find It</w:t>
            </w:r>
          </w:p>
        </w:tc>
      </w:tr>
      <w:tr>
        <w:tc>
          <w:tcPr>
            <w:tcW w:type="dxa" w:w="3135"/>
            <w:shd w:val="clear" w:color="auto" w:fill="F8F9FA"/>
          </w:tcPr>
          <w:p>
            <w:pPr>
              <w:spacing w:before="60" w:after="60"/>
            </w:pPr>
            <w:r>
              <w:rPr>
                <w:b/>
                <w:color w:val="0052CC"/>
                <w:sz w:val="19"/>
              </w:rPr>
              <w:t>AZURE_OPENAI_ENDPOINT</w:t>
            </w:r>
          </w:p>
        </w:tc>
        <w:tc>
          <w:tcPr>
            <w:tcW w:type="dxa" w:w="3135"/>
            <w:shd w:val="clear" w:color="auto" w:fill="F8F9FA"/>
          </w:tcPr>
          <w:p>
            <w:pPr>
              <w:spacing w:before="60" w:after="60"/>
            </w:pPr>
            <w:r>
              <w:rPr>
                <w:sz w:val="19"/>
              </w:rPr>
              <w:t>Full HTTPS URL of the Azure OpenAI resource</w:t>
            </w:r>
          </w:p>
        </w:tc>
        <w:tc>
          <w:tcPr>
            <w:tcW w:type="dxa" w:w="3135"/>
            <w:shd w:val="clear" w:color="auto" w:fill="F8F9FA"/>
          </w:tcPr>
          <w:p>
            <w:pPr>
              <w:spacing w:before="60" w:after="60"/>
            </w:pPr>
            <w:r>
              <w:rPr>
                <w:sz w:val="19"/>
              </w:rPr>
              <w:t>Azure Portal &gt; OpenAI resource &gt; Keys and Endpoint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60" w:after="60"/>
            </w:pPr>
            <w:r>
              <w:rPr>
                <w:b/>
                <w:color w:val="0052CC"/>
                <w:sz w:val="19"/>
              </w:rPr>
              <w:t>AZURE_OPENAI_API_KEY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Key 1 or Key 2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Same page as endpoint</w:t>
            </w:r>
          </w:p>
        </w:tc>
      </w:tr>
      <w:tr>
        <w:tc>
          <w:tcPr>
            <w:tcW w:type="dxa" w:w="3135"/>
            <w:shd w:val="clear" w:color="auto" w:fill="F8F9FA"/>
          </w:tcPr>
          <w:p>
            <w:pPr>
              <w:spacing w:before="60" w:after="60"/>
            </w:pPr>
            <w:r>
              <w:rPr>
                <w:b/>
                <w:color w:val="0052CC"/>
                <w:sz w:val="19"/>
              </w:rPr>
              <w:t>AZURE_OPENAI_API_VERSION</w:t>
            </w:r>
          </w:p>
        </w:tc>
        <w:tc>
          <w:tcPr>
            <w:tcW w:type="dxa" w:w="3135"/>
            <w:shd w:val="clear" w:color="auto" w:fill="F8F9FA"/>
          </w:tcPr>
          <w:p>
            <w:pPr>
              <w:spacing w:before="60" w:after="60"/>
            </w:pPr>
            <w:r>
              <w:rPr>
                <w:sz w:val="19"/>
              </w:rPr>
              <w:t>REST API version (currently: 2024-02-01)</w:t>
            </w:r>
          </w:p>
        </w:tc>
        <w:tc>
          <w:tcPr>
            <w:tcW w:type="dxa" w:w="3135"/>
            <w:shd w:val="clear" w:color="auto" w:fill="F8F9FA"/>
          </w:tcPr>
          <w:p>
            <w:pPr>
              <w:spacing w:before="60" w:after="60"/>
            </w:pPr>
            <w:r>
              <w:rPr>
                <w:sz w:val="19"/>
              </w:rPr>
              <w:t>Fixed value - leave as-is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60" w:after="60"/>
            </w:pPr>
            <w:r>
              <w:rPr>
                <w:b/>
                <w:color w:val="0052CC"/>
                <w:sz w:val="19"/>
              </w:rPr>
              <w:t>AZURE_OPENAI_CHAT_DEPLOYMENT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Deployment name for the chat model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Azure AI Studio &gt; Deployments</w:t>
            </w:r>
          </w:p>
        </w:tc>
      </w:tr>
      <w:tr>
        <w:tc>
          <w:tcPr>
            <w:tcW w:type="dxa" w:w="3135"/>
            <w:shd w:val="clear" w:color="auto" w:fill="F8F9FA"/>
          </w:tcPr>
          <w:p>
            <w:pPr>
              <w:spacing w:before="60" w:after="60"/>
            </w:pPr>
            <w:r>
              <w:rPr>
                <w:b/>
                <w:color w:val="0052CC"/>
                <w:sz w:val="19"/>
              </w:rPr>
              <w:t>AZURE_OPENAI_EMBEDDING_DEPLOYMENT</w:t>
            </w:r>
          </w:p>
        </w:tc>
        <w:tc>
          <w:tcPr>
            <w:tcW w:type="dxa" w:w="3135"/>
            <w:shd w:val="clear" w:color="auto" w:fill="F8F9FA"/>
          </w:tcPr>
          <w:p>
            <w:pPr>
              <w:spacing w:before="60" w:after="60"/>
            </w:pPr>
            <w:r>
              <w:rPr>
                <w:sz w:val="19"/>
              </w:rPr>
              <w:t>Deployment name for the embedding model</w:t>
            </w:r>
          </w:p>
        </w:tc>
        <w:tc>
          <w:tcPr>
            <w:tcW w:type="dxa" w:w="3135"/>
            <w:shd w:val="clear" w:color="auto" w:fill="F8F9FA"/>
          </w:tcPr>
          <w:p>
            <w:pPr>
              <w:spacing w:before="60" w:after="60"/>
            </w:pPr>
            <w:r>
              <w:rPr>
                <w:sz w:val="19"/>
              </w:rPr>
              <w:t>Azure AI Studio &gt; Deployments</w:t>
            </w:r>
          </w:p>
        </w:tc>
      </w:tr>
    </w:tbl>
    <w:p/>
    <w:p>
      <w:pPr>
        <w:spacing w:before="240" w:after="80"/>
      </w:pPr>
      <w:r>
        <w:rPr>
          <w:b/>
          <w:color w:val="001E50"/>
          <w:sz w:val="24"/>
        </w:rPr>
        <w:t>1.2  Models to deploy in Azure AI Studio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052CC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3135"/>
            <w:shd w:val="clear" w:color="auto" w:fill="0052CC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3135"/>
            <w:shd w:val="clear" w:color="auto" w:fill="0052CC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Recommended Deployment Name</w:t>
            </w:r>
          </w:p>
        </w:tc>
      </w:tr>
      <w:tr>
        <w:tc>
          <w:tcPr>
            <w:tcW w:type="dxa" w:w="3135"/>
            <w:shd w:val="clear" w:color="auto" w:fill="F8F9FA"/>
          </w:tcPr>
          <w:p>
            <w:pPr>
              <w:spacing w:before="60" w:after="60"/>
            </w:pPr>
            <w:r>
              <w:rPr>
                <w:b/>
                <w:color w:val="0052CC"/>
                <w:sz w:val="19"/>
              </w:rPr>
              <w:t>gpt-4o-mini</w:t>
            </w:r>
          </w:p>
        </w:tc>
        <w:tc>
          <w:tcPr>
            <w:tcW w:type="dxa" w:w="3135"/>
            <w:shd w:val="clear" w:color="auto" w:fill="F8F9FA"/>
          </w:tcPr>
          <w:p>
            <w:pPr>
              <w:spacing w:before="60" w:after="60"/>
            </w:pPr>
            <w:r>
              <w:rPr>
                <w:sz w:val="19"/>
              </w:rPr>
              <w:t>Generates chat answers</w:t>
            </w:r>
          </w:p>
        </w:tc>
        <w:tc>
          <w:tcPr>
            <w:tcW w:type="dxa" w:w="3135"/>
            <w:shd w:val="clear" w:color="auto" w:fill="F8F9FA"/>
          </w:tcPr>
          <w:p>
            <w:pPr>
              <w:spacing w:before="60" w:after="60"/>
            </w:pPr>
            <w:r>
              <w:rPr>
                <w:sz w:val="19"/>
              </w:rPr>
              <w:t>gpt-4o-mini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60" w:after="60"/>
            </w:pPr>
            <w:r>
              <w:rPr>
                <w:b/>
                <w:color w:val="0052CC"/>
                <w:sz w:val="19"/>
              </w:rPr>
              <w:t>text-embedding-3-small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Document and query embeddings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text-embedding-3-small</w:t>
            </w:r>
          </w:p>
        </w:tc>
      </w:tr>
    </w:tbl>
    <w:p/>
    <w:p>
      <w:pPr>
        <w:spacing w:before="80" w:after="160"/>
        <w:ind w:left="227"/>
      </w:pPr>
      <w:r>
        <w:rPr>
          <w:i/>
          <w:color w:val="E68C00"/>
          <w:sz w:val="19"/>
        </w:rPr>
        <w:t>Note: Both models must be deployed in an EU region (West Europe or North Europe) to satisfy GDPR data residency requirements.</w:t>
      </w:r>
    </w:p>
    <w:p>
      <w:pPr>
        <w:spacing w:before="400" w:after="80"/>
        <w:pBdr>
          <w:bottom w:val="single" w:sz="6" w:space="1" w:color="0052CC"/>
        </w:pBdr>
      </w:pPr>
      <w:r>
        <w:rPr>
          <w:b/>
          <w:color w:val="0052CC"/>
          <w:sz w:val="34"/>
        </w:rPr>
        <w:t>2. Azure Active Directory - Microsoft SSO</w:t>
      </w:r>
    </w:p>
    <w:p>
      <w:pPr>
        <w:spacing w:before="40" w:after="160"/>
      </w:pPr>
      <w:r>
        <w:rPr>
          <w:i/>
          <w:color w:val="5F6368"/>
          <w:sz w:val="20"/>
        </w:rPr>
        <w:t>Provided by: Your Azure architect / IT Administrator</w:t>
      </w:r>
    </w:p>
    <w:p>
      <w:pPr>
        <w:spacing w:before="240" w:after="80"/>
      </w:pPr>
      <w:r>
        <w:rPr>
          <w:b/>
          <w:color w:val="001E50"/>
          <w:sz w:val="24"/>
        </w:rPr>
        <w:t>2.1  Credentials required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052CC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Variable / Setting</w:t>
            </w:r>
          </w:p>
        </w:tc>
        <w:tc>
          <w:tcPr>
            <w:tcW w:type="dxa" w:w="3135"/>
            <w:shd w:val="clear" w:color="auto" w:fill="0052CC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135"/>
            <w:shd w:val="clear" w:color="auto" w:fill="0052CC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Where to Find It</w:t>
            </w:r>
          </w:p>
        </w:tc>
      </w:tr>
      <w:tr>
        <w:tc>
          <w:tcPr>
            <w:tcW w:type="dxa" w:w="3135"/>
            <w:shd w:val="clear" w:color="auto" w:fill="F8F9FA"/>
          </w:tcPr>
          <w:p>
            <w:pPr>
              <w:spacing w:before="60" w:after="60"/>
            </w:pPr>
            <w:r>
              <w:rPr>
                <w:b/>
                <w:color w:val="0052CC"/>
                <w:sz w:val="19"/>
              </w:rPr>
              <w:t>AZURE_AD_TENANT_ID</w:t>
            </w:r>
          </w:p>
        </w:tc>
        <w:tc>
          <w:tcPr>
            <w:tcW w:type="dxa" w:w="3135"/>
            <w:shd w:val="clear" w:color="auto" w:fill="F8F9FA"/>
          </w:tcPr>
          <w:p>
            <w:pPr>
              <w:spacing w:before="60" w:after="60"/>
            </w:pPr>
            <w:r>
              <w:rPr>
                <w:sz w:val="19"/>
              </w:rPr>
              <w:t>Unique ID of your Azure AD tenant</w:t>
            </w:r>
          </w:p>
        </w:tc>
        <w:tc>
          <w:tcPr>
            <w:tcW w:type="dxa" w:w="3135"/>
            <w:shd w:val="clear" w:color="auto" w:fill="F8F9FA"/>
          </w:tcPr>
          <w:p>
            <w:pPr>
              <w:spacing w:before="60" w:after="60"/>
            </w:pPr>
            <w:r>
              <w:rPr>
                <w:sz w:val="19"/>
              </w:rPr>
              <w:t>Azure Portal &gt; Azure Active Directory &gt; Overview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60" w:after="60"/>
            </w:pPr>
            <w:r>
              <w:rPr>
                <w:b/>
                <w:color w:val="0052CC"/>
                <w:sz w:val="19"/>
              </w:rPr>
              <w:t>AZURE_AD_CLIENT_ID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Application (client) ID of the App Registration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Azure AD &gt; App Registrations &gt; your app &gt; Overview</w:t>
            </w:r>
          </w:p>
        </w:tc>
      </w:tr>
      <w:tr>
        <w:tc>
          <w:tcPr>
            <w:tcW w:type="dxa" w:w="3135"/>
            <w:shd w:val="clear" w:color="auto" w:fill="F8F9FA"/>
          </w:tcPr>
          <w:p>
            <w:pPr>
              <w:spacing w:before="60" w:after="60"/>
            </w:pPr>
            <w:r>
              <w:rPr>
                <w:b/>
                <w:color w:val="0052CC"/>
                <w:sz w:val="19"/>
              </w:rPr>
              <w:t>AZURE_AD_CLIENT_SECRET</w:t>
            </w:r>
          </w:p>
        </w:tc>
        <w:tc>
          <w:tcPr>
            <w:tcW w:type="dxa" w:w="3135"/>
            <w:shd w:val="clear" w:color="auto" w:fill="F8F9FA"/>
          </w:tcPr>
          <w:p>
            <w:pPr>
              <w:spacing w:before="60" w:after="60"/>
            </w:pPr>
            <w:r>
              <w:rPr>
                <w:sz w:val="19"/>
              </w:rPr>
              <w:t>Client secret value (not the secret ID)</w:t>
            </w:r>
          </w:p>
        </w:tc>
        <w:tc>
          <w:tcPr>
            <w:tcW w:type="dxa" w:w="3135"/>
            <w:shd w:val="clear" w:color="auto" w:fill="F8F9FA"/>
          </w:tcPr>
          <w:p>
            <w:pPr>
              <w:spacing w:before="60" w:after="60"/>
            </w:pPr>
            <w:r>
              <w:rPr>
                <w:sz w:val="19"/>
              </w:rPr>
              <w:t>Azure AD &gt; App Registrations &gt; Certificates &amp; Secrets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60" w:after="60"/>
            </w:pPr>
            <w:r>
              <w:rPr>
                <w:b/>
                <w:color w:val="0052CC"/>
                <w:sz w:val="19"/>
              </w:rPr>
              <w:t>NEXT_PUBLIC_AZURE_AD_CLIENT_ID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Same Client ID exposed to the Next.js frontend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Same as AZURE_AD_CLIENT_ID</w:t>
            </w:r>
          </w:p>
        </w:tc>
      </w:tr>
      <w:tr>
        <w:tc>
          <w:tcPr>
            <w:tcW w:type="dxa" w:w="3135"/>
            <w:shd w:val="clear" w:color="auto" w:fill="F8F9FA"/>
          </w:tcPr>
          <w:p>
            <w:pPr>
              <w:spacing w:before="60" w:after="60"/>
            </w:pPr>
            <w:r>
              <w:rPr>
                <w:b/>
                <w:color w:val="0052CC"/>
                <w:sz w:val="19"/>
              </w:rPr>
              <w:t>NEXT_PUBLIC_AZURE_AD_TENANT_ID</w:t>
            </w:r>
          </w:p>
        </w:tc>
        <w:tc>
          <w:tcPr>
            <w:tcW w:type="dxa" w:w="3135"/>
            <w:shd w:val="clear" w:color="auto" w:fill="F8F9FA"/>
          </w:tcPr>
          <w:p>
            <w:pPr>
              <w:spacing w:before="60" w:after="60"/>
            </w:pPr>
            <w:r>
              <w:rPr>
                <w:sz w:val="19"/>
              </w:rPr>
              <w:t>Same Tenant ID exposed to the Next.js frontend</w:t>
            </w:r>
          </w:p>
        </w:tc>
        <w:tc>
          <w:tcPr>
            <w:tcW w:type="dxa" w:w="3135"/>
            <w:shd w:val="clear" w:color="auto" w:fill="F8F9FA"/>
          </w:tcPr>
          <w:p>
            <w:pPr>
              <w:spacing w:before="60" w:after="60"/>
            </w:pPr>
            <w:r>
              <w:rPr>
                <w:sz w:val="19"/>
              </w:rPr>
              <w:t>Same as AZURE_AD_TENANT_ID</w:t>
            </w:r>
          </w:p>
        </w:tc>
      </w:tr>
    </w:tbl>
    <w:p/>
    <w:p>
      <w:pPr>
        <w:spacing w:before="240" w:after="80"/>
      </w:pPr>
      <w:r>
        <w:rPr>
          <w:b/>
          <w:color w:val="001E50"/>
          <w:sz w:val="24"/>
        </w:rPr>
        <w:t>2.2  App Registration setup checklist</w:t>
      </w:r>
    </w:p>
    <w:p>
      <w:pPr>
        <w:spacing w:after="60"/>
        <w:ind w:left="283"/>
      </w:pPr>
      <w:r>
        <w:rPr>
          <w:sz w:val="21"/>
        </w:rPr>
        <w:t>☐  Create a new App Registration in Azure AD</w:t>
      </w:r>
    </w:p>
    <w:p>
      <w:pPr>
        <w:spacing w:after="60"/>
        <w:ind w:left="283"/>
      </w:pPr>
      <w:r>
        <w:rPr>
          <w:sz w:val="21"/>
        </w:rPr>
        <w:t>☐  Set Redirect URIs:</w:t>
      </w:r>
    </w:p>
    <w:p>
      <w:pPr>
        <w:spacing w:after="60"/>
        <w:ind w:left="624"/>
      </w:pPr>
      <w:r>
        <w:rPr>
          <w:sz w:val="21"/>
        </w:rPr>
        <w:t>☐  Development:  http://localhost:3000</w:t>
      </w:r>
    </w:p>
    <w:p>
      <w:pPr>
        <w:spacing w:after="60"/>
        <w:ind w:left="624"/>
      </w:pPr>
      <w:r>
        <w:rPr>
          <w:sz w:val="21"/>
        </w:rPr>
        <w:t>☐  Production:   https://&lt;frontend-app&gt;.azurewebsites.net</w:t>
      </w:r>
    </w:p>
    <w:p>
      <w:pPr>
        <w:spacing w:after="60"/>
        <w:ind w:left="283"/>
      </w:pPr>
      <w:r>
        <w:rPr>
          <w:sz w:val="21"/>
        </w:rPr>
        <w:t>☐  Enable ID tokens and Access tokens under Authentication</w:t>
      </w:r>
    </w:p>
    <w:p>
      <w:pPr>
        <w:spacing w:after="60"/>
        <w:ind w:left="283"/>
      </w:pPr>
      <w:r>
        <w:rPr>
          <w:sz w:val="21"/>
        </w:rPr>
        <w:t>☐  Add token claim: preferred_username (for display name)</w:t>
      </w:r>
    </w:p>
    <w:p>
      <w:pPr>
        <w:spacing w:after="60"/>
        <w:ind w:left="283"/>
      </w:pPr>
      <w:r>
        <w:rPr>
          <w:sz w:val="21"/>
        </w:rPr>
        <w:t>☐  Add token claim: roles (to distinguish Employee vs Admin)</w:t>
      </w:r>
    </w:p>
    <w:p>
      <w:pPr>
        <w:spacing w:after="60"/>
        <w:ind w:left="283"/>
      </w:pPr>
      <w:r>
        <w:rPr>
          <w:sz w:val="21"/>
        </w:rPr>
        <w:t>☐  Create App Roles: Employee and ITAdmin</w:t>
      </w:r>
    </w:p>
    <w:p>
      <w:pPr>
        <w:spacing w:after="60"/>
        <w:ind w:left="283"/>
      </w:pPr>
      <w:r>
        <w:rPr>
          <w:sz w:val="21"/>
        </w:rPr>
        <w:t>☐  Assign users/groups to the appropriate roles in Enterprise Applications</w:t>
      </w:r>
    </w:p>
    <w:p/>
    <w:p>
      <w:pPr>
        <w:spacing w:before="400" w:after="80"/>
        <w:pBdr>
          <w:bottom w:val="single" w:sz="6" w:space="1" w:color="0052CC"/>
        </w:pBdr>
      </w:pPr>
      <w:r>
        <w:rPr>
          <w:b/>
          <w:color w:val="0052CC"/>
          <w:sz w:val="34"/>
        </w:rPr>
        <w:t>3. FreshService Integration</w:t>
      </w:r>
    </w:p>
    <w:p>
      <w:pPr>
        <w:spacing w:before="40" w:after="160"/>
      </w:pPr>
      <w:r>
        <w:rPr>
          <w:i/>
          <w:color w:val="5F6368"/>
          <w:sz w:val="20"/>
        </w:rPr>
        <w:t>Provided by: FreshService administrator / IT team</w:t>
      </w:r>
    </w:p>
    <w:p>
      <w:pPr>
        <w:spacing w:before="240" w:after="80"/>
      </w:pPr>
      <w:r>
        <w:rPr>
          <w:b/>
          <w:color w:val="001E50"/>
          <w:sz w:val="24"/>
        </w:rPr>
        <w:t>3.1  Credentials required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052CC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3135"/>
            <w:shd w:val="clear" w:color="auto" w:fill="0052CC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135"/>
            <w:shd w:val="clear" w:color="auto" w:fill="0052CC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Where to Find It</w:t>
            </w:r>
          </w:p>
        </w:tc>
      </w:tr>
      <w:tr>
        <w:tc>
          <w:tcPr>
            <w:tcW w:type="dxa" w:w="3135"/>
            <w:shd w:val="clear" w:color="auto" w:fill="F8F9FA"/>
          </w:tcPr>
          <w:p>
            <w:pPr>
              <w:spacing w:before="60" w:after="60"/>
            </w:pPr>
            <w:r>
              <w:rPr>
                <w:b/>
                <w:color w:val="0052CC"/>
                <w:sz w:val="19"/>
              </w:rPr>
              <w:t>FRESHSERVICE_API_KEY</w:t>
            </w:r>
          </w:p>
        </w:tc>
        <w:tc>
          <w:tcPr>
            <w:tcW w:type="dxa" w:w="3135"/>
            <w:shd w:val="clear" w:color="auto" w:fill="F8F9FA"/>
          </w:tcPr>
          <w:p>
            <w:pPr>
              <w:spacing w:before="60" w:after="60"/>
            </w:pPr>
            <w:r>
              <w:rPr>
                <w:sz w:val="19"/>
              </w:rPr>
              <w:t>Personal API key for the FreshService REST API</w:t>
            </w:r>
          </w:p>
        </w:tc>
        <w:tc>
          <w:tcPr>
            <w:tcW w:type="dxa" w:w="3135"/>
            <w:shd w:val="clear" w:color="auto" w:fill="F8F9FA"/>
          </w:tcPr>
          <w:p>
            <w:pPr>
              <w:spacing w:before="60" w:after="60"/>
            </w:pPr>
            <w:r>
              <w:rPr>
                <w:sz w:val="19"/>
              </w:rPr>
              <w:t>FreshService &gt; Profile icon &gt; Profile Settings &gt; API Key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60" w:after="60"/>
            </w:pPr>
            <w:r>
              <w:rPr>
                <w:b/>
                <w:color w:val="0052CC"/>
                <w:sz w:val="19"/>
              </w:rPr>
              <w:t>FRESHSERVICE_DOMAIN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Your FreshService subdomain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Your FreshService URL, e.g. company.freshservice.com</w:t>
            </w:r>
          </w:p>
        </w:tc>
      </w:tr>
    </w:tbl>
    <w:p/>
    <w:p>
      <w:pPr>
        <w:spacing w:before="240" w:after="80"/>
      </w:pPr>
      <w:r>
        <w:rPr>
          <w:b/>
          <w:color w:val="001E50"/>
          <w:sz w:val="24"/>
        </w:rPr>
        <w:t>3.2  Confirm with IT team before integration</w:t>
      </w:r>
    </w:p>
    <w:p>
      <w:pPr>
        <w:spacing w:after="60"/>
        <w:ind w:left="283"/>
      </w:pPr>
      <w:r>
        <w:rPr>
          <w:sz w:val="21"/>
        </w:rPr>
        <w:t>☐  Ticket type / category for chatbot-created tickets</w:t>
      </w:r>
    </w:p>
    <w:p>
      <w:pPr>
        <w:spacing w:after="60"/>
        <w:ind w:left="283"/>
      </w:pPr>
      <w:r>
        <w:rPr>
          <w:sz w:val="21"/>
        </w:rPr>
        <w:t>☐  Default agent group tickets should be assigned to</w:t>
      </w:r>
    </w:p>
    <w:p>
      <w:pPr>
        <w:spacing w:after="60"/>
        <w:ind w:left="283"/>
      </w:pPr>
      <w:r>
        <w:rPr>
          <w:sz w:val="21"/>
        </w:rPr>
        <w:t>☐  Default priority level (Low / Medium / High)</w:t>
      </w:r>
    </w:p>
    <w:p>
      <w:pPr>
        <w:spacing w:after="60"/>
        <w:ind w:left="283"/>
      </w:pPr>
      <w:r>
        <w:rPr>
          <w:sz w:val="21"/>
        </w:rPr>
        <w:t>☐  Custom ticket source label (e.g. "AI Chatbot")</w:t>
      </w:r>
    </w:p>
    <w:p>
      <w:pPr>
        <w:spacing w:after="60"/>
        <w:ind w:left="283"/>
      </w:pPr>
      <w:r>
        <w:rPr>
          <w:sz w:val="21"/>
        </w:rPr>
        <w:t>☐  FreshService fields to map: summary, description, requester email</w:t>
      </w:r>
    </w:p>
    <w:p>
      <w:pPr>
        <w:spacing w:after="60"/>
        <w:ind w:left="283"/>
      </w:pPr>
      <w:r>
        <w:rPr>
          <w:sz w:val="21"/>
        </w:rPr>
        <w:t>☐  Whether webhook callbacks are needed for ticket status updates in the chat UI</w:t>
      </w:r>
    </w:p>
    <w:p/>
    <w:p>
      <w:pPr>
        <w:spacing w:before="400" w:after="80"/>
        <w:pBdr>
          <w:bottom w:val="single" w:sz="6" w:space="1" w:color="0052CC"/>
        </w:pBdr>
      </w:pPr>
      <w:r>
        <w:rPr>
          <w:b/>
          <w:color w:val="0052CC"/>
          <w:sz w:val="34"/>
        </w:rPr>
        <w:t>4. SharePoint Document Ingestion</w:t>
      </w:r>
    </w:p>
    <w:p>
      <w:pPr>
        <w:spacing w:before="40" w:after="160"/>
      </w:pPr>
      <w:r>
        <w:rPr>
          <w:i/>
          <w:color w:val="5F6368"/>
          <w:sz w:val="20"/>
        </w:rPr>
        <w:t>Provided by: SharePoint / IT administrator</w:t>
      </w:r>
    </w:p>
    <w:p>
      <w:pPr>
        <w:spacing w:before="240" w:after="80"/>
      </w:pPr>
      <w:r>
        <w:rPr>
          <w:b/>
          <w:color w:val="001E50"/>
          <w:sz w:val="24"/>
        </w:rPr>
        <w:t>4.1  Configuration required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052CC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Setting</w:t>
            </w:r>
          </w:p>
        </w:tc>
        <w:tc>
          <w:tcPr>
            <w:tcW w:type="dxa" w:w="3135"/>
            <w:shd w:val="clear" w:color="auto" w:fill="0052CC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135"/>
            <w:shd w:val="clear" w:color="auto" w:fill="0052CC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Where to Find It</w:t>
            </w:r>
          </w:p>
        </w:tc>
      </w:tr>
      <w:tr>
        <w:tc>
          <w:tcPr>
            <w:tcW w:type="dxa" w:w="3135"/>
            <w:shd w:val="clear" w:color="auto" w:fill="F8F9FA"/>
          </w:tcPr>
          <w:p>
            <w:pPr>
              <w:spacing w:before="60" w:after="60"/>
            </w:pPr>
            <w:r>
              <w:rPr>
                <w:b/>
                <w:color w:val="0052CC"/>
                <w:sz w:val="19"/>
              </w:rPr>
              <w:t>SharePoint Site URL</w:t>
            </w:r>
          </w:p>
        </w:tc>
        <w:tc>
          <w:tcPr>
            <w:tcW w:type="dxa" w:w="3135"/>
            <w:shd w:val="clear" w:color="auto" w:fill="F8F9FA"/>
          </w:tcPr>
          <w:p>
            <w:pPr>
              <w:spacing w:before="60" w:after="60"/>
            </w:pPr>
            <w:r>
              <w:rPr>
                <w:sz w:val="19"/>
              </w:rPr>
              <w:t>Full URL of the SharePoint site containing IT documents</w:t>
            </w:r>
          </w:p>
        </w:tc>
        <w:tc>
          <w:tcPr>
            <w:tcW w:type="dxa" w:w="3135"/>
            <w:shd w:val="clear" w:color="auto" w:fill="F8F9FA"/>
          </w:tcPr>
          <w:p>
            <w:pPr>
              <w:spacing w:before="60" w:after="60"/>
            </w:pPr>
            <w:r>
              <w:rPr>
                <w:sz w:val="19"/>
              </w:rPr>
              <w:t>SharePoint admin or IT team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60" w:after="60"/>
            </w:pPr>
            <w:r>
              <w:rPr>
                <w:b/>
                <w:color w:val="0052CC"/>
                <w:sz w:val="19"/>
              </w:rPr>
              <w:t>Document Library Path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Path to the folder / library where IT docs are stored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SharePoint admin</w:t>
            </w:r>
          </w:p>
        </w:tc>
      </w:tr>
      <w:tr>
        <w:tc>
          <w:tcPr>
            <w:tcW w:type="dxa" w:w="3135"/>
            <w:shd w:val="clear" w:color="auto" w:fill="F8F9FA"/>
          </w:tcPr>
          <w:p>
            <w:pPr>
              <w:spacing w:before="60" w:after="60"/>
            </w:pPr>
            <w:r>
              <w:rPr>
                <w:b/>
                <w:color w:val="0052CC"/>
                <w:sz w:val="19"/>
              </w:rPr>
              <w:t>Microsoft Graph Permissions</w:t>
            </w:r>
          </w:p>
        </w:tc>
        <w:tc>
          <w:tcPr>
            <w:tcW w:type="dxa" w:w="3135"/>
            <w:shd w:val="clear" w:color="auto" w:fill="F8F9FA"/>
          </w:tcPr>
          <w:p>
            <w:pPr>
              <w:spacing w:before="60" w:after="60"/>
            </w:pPr>
            <w:r>
              <w:rPr>
                <w:sz w:val="19"/>
              </w:rPr>
              <w:t>Sites.Read.All or Files.Read.All granted to App Registration</w:t>
            </w:r>
          </w:p>
        </w:tc>
        <w:tc>
          <w:tcPr>
            <w:tcW w:type="dxa" w:w="3135"/>
            <w:shd w:val="clear" w:color="auto" w:fill="F8F9FA"/>
          </w:tcPr>
          <w:p>
            <w:pPr>
              <w:spacing w:before="60" w:after="60"/>
            </w:pPr>
            <w:r>
              <w:rPr>
                <w:sz w:val="19"/>
              </w:rPr>
              <w:t>Azure AD &gt; App Registrations &gt; API Permissions</w:t>
            </w:r>
          </w:p>
        </w:tc>
      </w:tr>
    </w:tbl>
    <w:p/>
    <w:p>
      <w:pPr>
        <w:spacing w:before="80" w:after="160"/>
        <w:ind w:left="227"/>
      </w:pPr>
      <w:r>
        <w:rPr>
          <w:i/>
          <w:color w:val="E68C00"/>
          <w:sz w:val="19"/>
        </w:rPr>
        <w:t>Note: The same App Registration used for SSO can be granted Graph API permissions to read SharePoint, avoiding the need for a separate registration.</w:t>
      </w:r>
    </w:p>
    <w:p>
      <w:pPr>
        <w:spacing w:before="240" w:after="80"/>
      </w:pPr>
      <w:r>
        <w:rPr>
          <w:b/>
          <w:color w:val="001E50"/>
          <w:sz w:val="24"/>
        </w:rPr>
        <w:t>4.2  SharePoint checklist</w:t>
      </w:r>
    </w:p>
    <w:p>
      <w:pPr>
        <w:spacing w:after="60"/>
        <w:ind w:left="283"/>
      </w:pPr>
      <w:r>
        <w:rPr>
          <w:sz w:val="21"/>
        </w:rPr>
        <w:t>☐  SharePoint site URL confirmed with IT team</w:t>
      </w:r>
    </w:p>
    <w:p>
      <w:pPr>
        <w:spacing w:after="60"/>
        <w:ind w:left="283"/>
      </w:pPr>
      <w:r>
        <w:rPr>
          <w:sz w:val="21"/>
        </w:rPr>
        <w:t>☐  Document library path confirmed</w:t>
      </w:r>
    </w:p>
    <w:p>
      <w:pPr>
        <w:spacing w:after="60"/>
        <w:ind w:left="283"/>
      </w:pPr>
      <w:r>
        <w:rPr>
          <w:sz w:val="21"/>
        </w:rPr>
        <w:t>☐  Graph API permissions (Sites.Read.All) approved by Azure admin</w:t>
      </w:r>
    </w:p>
    <w:p>
      <w:pPr>
        <w:spacing w:after="60"/>
        <w:ind w:left="283"/>
      </w:pPr>
      <w:r>
        <w:rPr>
          <w:sz w:val="21"/>
        </w:rPr>
        <w:t>☐  Document formats agreed (Markdown, Word, PDF, etc.)</w:t>
      </w:r>
    </w:p>
    <w:p>
      <w:pPr>
        <w:spacing w:after="60"/>
        <w:ind w:left="283"/>
      </w:pPr>
      <w:r>
        <w:rPr>
          <w:sz w:val="21"/>
        </w:rPr>
        <w:t>☐  Re-indexing schedule agreed (e.g. nightly, on-demand, on file change)</w:t>
      </w:r>
    </w:p>
    <w:p/>
    <w:p>
      <w:pPr>
        <w:spacing w:before="400" w:after="80"/>
        <w:pBdr>
          <w:bottom w:val="single" w:sz="6" w:space="1" w:color="0052CC"/>
        </w:pBdr>
      </w:pPr>
      <w:r>
        <w:rPr>
          <w:b/>
          <w:color w:val="0052CC"/>
          <w:sz w:val="34"/>
        </w:rPr>
        <w:t>5. Azure Infrastructure</w:t>
      </w:r>
    </w:p>
    <w:p>
      <w:pPr>
        <w:spacing w:before="40" w:after="160"/>
      </w:pPr>
      <w:r>
        <w:rPr>
          <w:i/>
          <w:color w:val="5F6368"/>
          <w:sz w:val="20"/>
        </w:rPr>
        <w:t>Provisioned by: Your Azure architect</w:t>
      </w:r>
    </w:p>
    <w:p>
      <w:pPr>
        <w:spacing w:before="240" w:after="80"/>
      </w:pPr>
      <w:r>
        <w:rPr>
          <w:b/>
          <w:color w:val="001E50"/>
          <w:sz w:val="24"/>
        </w:rPr>
        <w:t>5.1  Required Azure resources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052CC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Resource</w:t>
            </w:r>
          </w:p>
        </w:tc>
        <w:tc>
          <w:tcPr>
            <w:tcW w:type="dxa" w:w="2351"/>
            <w:shd w:val="clear" w:color="auto" w:fill="0052CC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351"/>
            <w:shd w:val="clear" w:color="auto" w:fill="0052CC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351"/>
            <w:shd w:val="clear" w:color="auto" w:fill="0052CC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GDPR Note</w:t>
            </w:r>
          </w:p>
        </w:tc>
      </w:tr>
      <w:tr>
        <w:tc>
          <w:tcPr>
            <w:tcW w:type="dxa" w:w="2351"/>
            <w:shd w:val="clear" w:color="auto" w:fill="F8F9FA"/>
          </w:tcPr>
          <w:p>
            <w:pPr>
              <w:spacing w:before="60" w:after="60"/>
            </w:pPr>
            <w:r>
              <w:rPr>
                <w:b/>
                <w:color w:val="0052CC"/>
                <w:sz w:val="19"/>
              </w:rPr>
              <w:t>Backend App Service</w:t>
            </w:r>
          </w:p>
        </w:tc>
        <w:tc>
          <w:tcPr>
            <w:tcW w:type="dxa" w:w="2351"/>
            <w:shd w:val="clear" w:color="auto" w:fill="F8F9FA"/>
          </w:tcPr>
          <w:p>
            <w:pPr>
              <w:spacing w:before="60" w:after="60"/>
            </w:pPr>
            <w:r>
              <w:rPr>
                <w:sz w:val="19"/>
              </w:rPr>
              <w:t>App Service - Linux, Python 3.12</w:t>
            </w:r>
          </w:p>
        </w:tc>
        <w:tc>
          <w:tcPr>
            <w:tcW w:type="dxa" w:w="2351"/>
            <w:shd w:val="clear" w:color="auto" w:fill="F8F9FA"/>
          </w:tcPr>
          <w:p>
            <w:pPr>
              <w:spacing w:before="60" w:after="60"/>
            </w:pPr>
            <w:r>
              <w:rPr>
                <w:sz w:val="19"/>
              </w:rPr>
              <w:t>Hosts the FastAPI backend</w:t>
            </w:r>
          </w:p>
        </w:tc>
        <w:tc>
          <w:tcPr>
            <w:tcW w:type="dxa" w:w="2351"/>
            <w:shd w:val="clear" w:color="auto" w:fill="F8F9FA"/>
          </w:tcPr>
          <w:p>
            <w:pPr>
              <w:spacing w:before="60" w:after="60"/>
            </w:pPr>
            <w:r>
              <w:rPr>
                <w:sz w:val="19"/>
              </w:rPr>
              <w:t>Must be in EU region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60" w:after="60"/>
            </w:pPr>
            <w:r>
              <w:rPr>
                <w:b/>
                <w:color w:val="0052CC"/>
                <w:sz w:val="19"/>
              </w:rPr>
              <w:t>Frontend App Service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App Service - Node 20  OR  Static Web App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Hosts the Next.js frontend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Must be in EU region</w:t>
            </w:r>
          </w:p>
        </w:tc>
      </w:tr>
      <w:tr>
        <w:tc>
          <w:tcPr>
            <w:tcW w:type="dxa" w:w="2351"/>
            <w:shd w:val="clear" w:color="auto" w:fill="F8F9FA"/>
          </w:tcPr>
          <w:p>
            <w:pPr>
              <w:spacing w:before="60" w:after="60"/>
            </w:pPr>
            <w:r>
              <w:rPr>
                <w:b/>
                <w:color w:val="0052CC"/>
                <w:sz w:val="19"/>
              </w:rPr>
              <w:t>Azure OpenAI Resource</w:t>
            </w:r>
          </w:p>
        </w:tc>
        <w:tc>
          <w:tcPr>
            <w:tcW w:type="dxa" w:w="2351"/>
            <w:shd w:val="clear" w:color="auto" w:fill="F8F9FA"/>
          </w:tcPr>
          <w:p>
            <w:pPr>
              <w:spacing w:before="60" w:after="60"/>
            </w:pPr>
            <w:r>
              <w:rPr>
                <w:sz w:val="19"/>
              </w:rPr>
              <w:t>Azure Cognitive Services</w:t>
            </w:r>
          </w:p>
        </w:tc>
        <w:tc>
          <w:tcPr>
            <w:tcW w:type="dxa" w:w="2351"/>
            <w:shd w:val="clear" w:color="auto" w:fill="F8F9FA"/>
          </w:tcPr>
          <w:p>
            <w:pPr>
              <w:spacing w:before="60" w:after="60"/>
            </w:pPr>
            <w:r>
              <w:rPr>
                <w:sz w:val="19"/>
              </w:rPr>
              <w:t>LLM and Embeddings</w:t>
            </w:r>
          </w:p>
        </w:tc>
        <w:tc>
          <w:tcPr>
            <w:tcW w:type="dxa" w:w="2351"/>
            <w:shd w:val="clear" w:color="auto" w:fill="F8F9FA"/>
          </w:tcPr>
          <w:p>
            <w:pPr>
              <w:spacing w:before="60" w:after="60"/>
            </w:pPr>
            <w:r>
              <w:rPr>
                <w:sz w:val="19"/>
              </w:rPr>
              <w:t>Must be in EU region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60" w:after="60"/>
            </w:pPr>
            <w:r>
              <w:rPr>
                <w:b/>
                <w:color w:val="0052CC"/>
                <w:sz w:val="19"/>
              </w:rPr>
              <w:t>Azure PostgreSQL (future)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Flexible Server - PostgreSQL 16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Replaces in-memory store for persistence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Encryption at rest by default</w:t>
            </w:r>
          </w:p>
        </w:tc>
      </w:tr>
      <w:tr>
        <w:tc>
          <w:tcPr>
            <w:tcW w:type="dxa" w:w="2351"/>
            <w:shd w:val="clear" w:color="auto" w:fill="F8F9FA"/>
          </w:tcPr>
          <w:p>
            <w:pPr>
              <w:spacing w:before="60" w:after="60"/>
            </w:pPr>
            <w:r>
              <w:rPr>
                <w:b/>
                <w:color w:val="0052CC"/>
                <w:sz w:val="19"/>
              </w:rPr>
              <w:t>Azure Key Vault (recommended)</w:t>
            </w:r>
          </w:p>
        </w:tc>
        <w:tc>
          <w:tcPr>
            <w:tcW w:type="dxa" w:w="2351"/>
            <w:shd w:val="clear" w:color="auto" w:fill="F8F9FA"/>
          </w:tcPr>
          <w:p>
            <w:pPr>
              <w:spacing w:before="60" w:after="60"/>
            </w:pPr>
            <w:r>
              <w:rPr>
                <w:sz w:val="19"/>
              </w:rPr>
              <w:t>Key Vault</w:t>
            </w:r>
          </w:p>
        </w:tc>
        <w:tc>
          <w:tcPr>
            <w:tcW w:type="dxa" w:w="2351"/>
            <w:shd w:val="clear" w:color="auto" w:fill="F8F9FA"/>
          </w:tcPr>
          <w:p>
            <w:pPr>
              <w:spacing w:before="60" w:after="60"/>
            </w:pPr>
            <w:r>
              <w:rPr>
                <w:sz w:val="19"/>
              </w:rPr>
              <w:t>Secure storage for all secrets / API keys</w:t>
            </w:r>
          </w:p>
        </w:tc>
        <w:tc>
          <w:tcPr>
            <w:tcW w:type="dxa" w:w="2351"/>
            <w:shd w:val="clear" w:color="auto" w:fill="F8F9FA"/>
          </w:tcPr>
          <w:p>
            <w:pPr>
              <w:spacing w:before="60" w:after="60"/>
            </w:pPr>
            <w:r>
              <w:rPr>
                <w:sz w:val="19"/>
              </w:rPr>
              <w:t>Full audit log for all access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60" w:after="60"/>
            </w:pPr>
            <w:r>
              <w:rPr>
                <w:b/>
                <w:color w:val="0052CC"/>
                <w:sz w:val="19"/>
              </w:rPr>
              <w:t>Azure AI Search (optional)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Azure AI Search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Vector DB for SharePoint document index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Stays within Azure boundary</w:t>
            </w:r>
          </w:p>
        </w:tc>
      </w:tr>
    </w:tbl>
    <w:p/>
    <w:p>
      <w:pPr>
        <w:spacing w:before="240" w:after="80"/>
      </w:pPr>
      <w:r>
        <w:rPr>
          <w:b/>
          <w:color w:val="001E50"/>
          <w:sz w:val="24"/>
        </w:rPr>
        <w:t>5.2  Infrastructure decisions checklist</w:t>
      </w:r>
    </w:p>
    <w:p>
      <w:pPr>
        <w:spacing w:after="60"/>
        <w:ind w:left="283"/>
      </w:pPr>
      <w:r>
        <w:rPr>
          <w:sz w:val="21"/>
        </w:rPr>
        <w:t>☐  Azure region selected: West Europe or North Europe (GDPR)</w:t>
      </w:r>
    </w:p>
    <w:p>
      <w:pPr>
        <w:spacing w:after="60"/>
        <w:ind w:left="283"/>
      </w:pPr>
      <w:r>
        <w:rPr>
          <w:sz w:val="21"/>
        </w:rPr>
        <w:t>☐  Backend App Service plan tier decided (B1 minimum for production)</w:t>
      </w:r>
    </w:p>
    <w:p>
      <w:pPr>
        <w:spacing w:after="60"/>
        <w:ind w:left="283"/>
      </w:pPr>
      <w:r>
        <w:rPr>
          <w:sz w:val="21"/>
        </w:rPr>
        <w:t>☐  Frontend hosting method decided (App Service or Static Web App)</w:t>
      </w:r>
    </w:p>
    <w:p>
      <w:pPr>
        <w:spacing w:after="60"/>
        <w:ind w:left="283"/>
      </w:pPr>
      <w:r>
        <w:rPr>
          <w:sz w:val="21"/>
        </w:rPr>
        <w:t>☐  Custom domain names agreed (optional)</w:t>
      </w:r>
    </w:p>
    <w:p>
      <w:pPr>
        <w:spacing w:after="60"/>
        <w:ind w:left="283"/>
      </w:pPr>
      <w:r>
        <w:rPr>
          <w:sz w:val="21"/>
        </w:rPr>
        <w:t>☐  SSL certificates configured (auto-managed by App Service)</w:t>
      </w:r>
    </w:p>
    <w:p>
      <w:pPr>
        <w:spacing w:after="60"/>
        <w:ind w:left="283"/>
      </w:pPr>
      <w:r>
        <w:rPr>
          <w:sz w:val="21"/>
        </w:rPr>
        <w:t>☐  Azure Key Vault created and linked to App Services via Managed Identity</w:t>
      </w:r>
    </w:p>
    <w:p>
      <w:pPr>
        <w:spacing w:after="60"/>
        <w:ind w:left="283"/>
      </w:pPr>
      <w:r>
        <w:rPr>
          <w:sz w:val="21"/>
        </w:rPr>
        <w:t>☐  CORS whitelist updated in backend main.py with production frontend URL</w:t>
      </w:r>
    </w:p>
    <w:p>
      <w:pPr>
        <w:spacing w:after="60"/>
        <w:ind w:left="283"/>
      </w:pPr>
      <w:r>
        <w:rPr>
          <w:sz w:val="21"/>
        </w:rPr>
        <w:t>☐  CI/CD pipeline set up (GitHub Actions or Azure DevOps)</w:t>
      </w:r>
    </w:p>
    <w:p/>
    <w:p>
      <w:pPr>
        <w:spacing w:before="400" w:after="80"/>
        <w:pBdr>
          <w:bottom w:val="single" w:sz="6" w:space="1" w:color="0052CC"/>
        </w:pBdr>
      </w:pPr>
      <w:r>
        <w:rPr>
          <w:b/>
          <w:color w:val="0052CC"/>
          <w:sz w:val="34"/>
        </w:rPr>
        <w:t>6. GDPR Compliance Requirements</w:t>
      </w:r>
    </w:p>
    <w:p>
      <w:pPr>
        <w:spacing w:before="40" w:after="160"/>
      </w:pPr>
      <w:r>
        <w:rPr>
          <w:i/>
          <w:color w:val="5F6368"/>
          <w:sz w:val="20"/>
        </w:rPr>
        <w:t>To be confirmed with your Data Protection Officer (DPO)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D32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3135"/>
            <w:shd w:val="clear" w:color="auto" w:fill="2E7D32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135"/>
            <w:shd w:val="clear" w:color="auto" w:fill="2E7D32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135"/>
            <w:shd w:val="clear" w:color="auto" w:fill="F8F9FA"/>
          </w:tcPr>
          <w:p>
            <w:pPr>
              <w:spacing w:before="60" w:after="60"/>
            </w:pPr>
            <w:r>
              <w:rPr>
                <w:b/>
                <w:color w:val="0052CC"/>
                <w:sz w:val="19"/>
              </w:rPr>
              <w:t>All resources hosted in EU region</w:t>
            </w:r>
          </w:p>
        </w:tc>
        <w:tc>
          <w:tcPr>
            <w:tcW w:type="dxa" w:w="3135"/>
            <w:shd w:val="clear" w:color="auto" w:fill="F8F9FA"/>
          </w:tcPr>
          <w:p>
            <w:pPr>
              <w:spacing w:before="60" w:after="60"/>
            </w:pPr>
            <w:r>
              <w:rPr>
                <w:sz w:val="19"/>
              </w:rPr>
              <w:t>Pending</w:t>
            </w:r>
          </w:p>
        </w:tc>
        <w:tc>
          <w:tcPr>
            <w:tcW w:type="dxa" w:w="3135"/>
            <w:shd w:val="clear" w:color="auto" w:fill="F8F9FA"/>
          </w:tcPr>
          <w:p>
            <w:pPr>
              <w:spacing w:before="60" w:after="60"/>
            </w:pPr>
            <w:r>
              <w:rPr>
                <w:sz w:val="19"/>
              </w:rPr>
              <w:t>West Europe or North Europe only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60" w:after="60"/>
            </w:pPr>
            <w:r>
              <w:rPr>
                <w:b/>
                <w:color w:val="0052CC"/>
                <w:sz w:val="19"/>
              </w:rPr>
              <w:t>Data Processing Agreement with Microsoft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Pending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Covered under the standard Azure DPA</w:t>
            </w:r>
          </w:p>
        </w:tc>
      </w:tr>
      <w:tr>
        <w:tc>
          <w:tcPr>
            <w:tcW w:type="dxa" w:w="3135"/>
            <w:shd w:val="clear" w:color="auto" w:fill="F8F9FA"/>
          </w:tcPr>
          <w:p>
            <w:pPr>
              <w:spacing w:before="60" w:after="60"/>
            </w:pPr>
            <w:r>
              <w:rPr>
                <w:b/>
                <w:color w:val="0052CC"/>
                <w:sz w:val="19"/>
              </w:rPr>
              <w:t>Data Processing Agreement with FreshService</w:t>
            </w:r>
          </w:p>
        </w:tc>
        <w:tc>
          <w:tcPr>
            <w:tcW w:type="dxa" w:w="3135"/>
            <w:shd w:val="clear" w:color="auto" w:fill="F8F9FA"/>
          </w:tcPr>
          <w:p>
            <w:pPr>
              <w:spacing w:before="60" w:after="60"/>
            </w:pPr>
            <w:r>
              <w:rPr>
                <w:sz w:val="19"/>
              </w:rPr>
              <w:t>Pending</w:t>
            </w:r>
          </w:p>
        </w:tc>
        <w:tc>
          <w:tcPr>
            <w:tcW w:type="dxa" w:w="3135"/>
            <w:shd w:val="clear" w:color="auto" w:fill="F8F9FA"/>
          </w:tcPr>
          <w:p>
            <w:pPr>
              <w:spacing w:before="60" w:after="60"/>
            </w:pPr>
            <w:r>
              <w:rPr>
                <w:sz w:val="19"/>
              </w:rPr>
              <w:t>Check FreshService DPA availability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60" w:after="60"/>
            </w:pPr>
            <w:r>
              <w:rPr>
                <w:b/>
                <w:color w:val="0052CC"/>
                <w:sz w:val="19"/>
              </w:rPr>
              <w:t>Encryption in transit (HTTPS only)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Pending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Enforced by Azure App Service</w:t>
            </w:r>
          </w:p>
        </w:tc>
      </w:tr>
      <w:tr>
        <w:tc>
          <w:tcPr>
            <w:tcW w:type="dxa" w:w="3135"/>
            <w:shd w:val="clear" w:color="auto" w:fill="F8F9FA"/>
          </w:tcPr>
          <w:p>
            <w:pPr>
              <w:spacing w:before="60" w:after="60"/>
            </w:pPr>
            <w:r>
              <w:rPr>
                <w:b/>
                <w:color w:val="0052CC"/>
                <w:sz w:val="19"/>
              </w:rPr>
              <w:t>Encryption at rest</w:t>
            </w:r>
          </w:p>
        </w:tc>
        <w:tc>
          <w:tcPr>
            <w:tcW w:type="dxa" w:w="3135"/>
            <w:shd w:val="clear" w:color="auto" w:fill="F8F9FA"/>
          </w:tcPr>
          <w:p>
            <w:pPr>
              <w:spacing w:before="60" w:after="60"/>
            </w:pPr>
            <w:r>
              <w:rPr>
                <w:sz w:val="19"/>
              </w:rPr>
              <w:t>Pending</w:t>
            </w:r>
          </w:p>
        </w:tc>
        <w:tc>
          <w:tcPr>
            <w:tcW w:type="dxa" w:w="3135"/>
            <w:shd w:val="clear" w:color="auto" w:fill="F8F9FA"/>
          </w:tcPr>
          <w:p>
            <w:pPr>
              <w:spacing w:before="60" w:after="60"/>
            </w:pPr>
            <w:r>
              <w:rPr>
                <w:sz w:val="19"/>
              </w:rPr>
              <w:t>Azure default - no extra config needed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60" w:after="60"/>
            </w:pPr>
            <w:r>
              <w:rPr>
                <w:b/>
                <w:color w:val="0052CC"/>
                <w:sz w:val="19"/>
              </w:rPr>
              <w:t>Audit logging (who accessed what and when)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Pending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Azure Monitor + Application Insights</w:t>
            </w:r>
          </w:p>
        </w:tc>
      </w:tr>
      <w:tr>
        <w:tc>
          <w:tcPr>
            <w:tcW w:type="dxa" w:w="3135"/>
            <w:shd w:val="clear" w:color="auto" w:fill="F8F9FA"/>
          </w:tcPr>
          <w:p>
            <w:pPr>
              <w:spacing w:before="60" w:after="60"/>
            </w:pPr>
            <w:r>
              <w:rPr>
                <w:b/>
                <w:color w:val="0052CC"/>
                <w:sz w:val="19"/>
              </w:rPr>
              <w:t>Right to erasure - user data deletion workflow</w:t>
            </w:r>
          </w:p>
        </w:tc>
        <w:tc>
          <w:tcPr>
            <w:tcW w:type="dxa" w:w="3135"/>
            <w:shd w:val="clear" w:color="auto" w:fill="F8F9FA"/>
          </w:tcPr>
          <w:p>
            <w:pPr>
              <w:spacing w:before="60" w:after="60"/>
            </w:pPr>
            <w:r>
              <w:rPr>
                <w:sz w:val="19"/>
              </w:rPr>
              <w:t>Pending</w:t>
            </w:r>
          </w:p>
        </w:tc>
        <w:tc>
          <w:tcPr>
            <w:tcW w:type="dxa" w:w="3135"/>
            <w:shd w:val="clear" w:color="auto" w:fill="F8F9FA"/>
          </w:tcPr>
          <w:p>
            <w:pPr>
              <w:spacing w:before="60" w:after="60"/>
            </w:pPr>
            <w:r>
              <w:rPr>
                <w:sz w:val="19"/>
              </w:rPr>
              <w:t>Requires database implementation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60" w:after="60"/>
            </w:pPr>
            <w:r>
              <w:rPr>
                <w:b/>
                <w:color w:val="0052CC"/>
                <w:sz w:val="19"/>
              </w:rPr>
              <w:t>Data minimisation - only store necessary fields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Pending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Review store.py fields before DB migration</w:t>
            </w:r>
          </w:p>
        </w:tc>
      </w:tr>
      <w:tr>
        <w:tc>
          <w:tcPr>
            <w:tcW w:type="dxa" w:w="3135"/>
            <w:shd w:val="clear" w:color="auto" w:fill="F8F9FA"/>
          </w:tcPr>
          <w:p>
            <w:pPr>
              <w:spacing w:before="60" w:after="60"/>
            </w:pPr>
            <w:r>
              <w:rPr>
                <w:b/>
                <w:color w:val="0052CC"/>
                <w:sz w:val="19"/>
              </w:rPr>
              <w:t>Privacy notice updated to include AI chatbot</w:t>
            </w:r>
          </w:p>
        </w:tc>
        <w:tc>
          <w:tcPr>
            <w:tcW w:type="dxa" w:w="3135"/>
            <w:shd w:val="clear" w:color="auto" w:fill="F8F9FA"/>
          </w:tcPr>
          <w:p>
            <w:pPr>
              <w:spacing w:before="60" w:after="60"/>
            </w:pPr>
            <w:r>
              <w:rPr>
                <w:sz w:val="19"/>
              </w:rPr>
              <w:t>Pending</w:t>
            </w:r>
          </w:p>
        </w:tc>
        <w:tc>
          <w:tcPr>
            <w:tcW w:type="dxa" w:w="3135"/>
            <w:shd w:val="clear" w:color="auto" w:fill="F8F9FA"/>
          </w:tcPr>
          <w:p>
            <w:pPr>
              <w:spacing w:before="60" w:after="60"/>
            </w:pPr>
            <w:r>
              <w:rPr>
                <w:sz w:val="19"/>
              </w:rPr>
              <w:t>Legal review required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60" w:after="60"/>
            </w:pPr>
            <w:r>
              <w:rPr>
                <w:b/>
                <w:color w:val="0052CC"/>
                <w:sz w:val="19"/>
              </w:rPr>
              <w:t>DPO sign-off on the overall system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Pending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Required before go-live</w:t>
            </w:r>
          </w:p>
        </w:tc>
      </w:tr>
    </w:tbl>
    <w:p/>
    <w:p>
      <w:pPr>
        <w:spacing w:before="400" w:after="80"/>
        <w:pBdr>
          <w:bottom w:val="single" w:sz="6" w:space="1" w:color="0052CC"/>
        </w:pBdr>
      </w:pPr>
      <w:r>
        <w:rPr>
          <w:b/>
          <w:color w:val="0052CC"/>
          <w:sz w:val="34"/>
        </w:rPr>
        <w:t>7. Master Go-Live Checklist</w:t>
      </w:r>
    </w:p>
    <w:p>
      <w:pPr>
        <w:spacing w:before="240" w:after="80"/>
      </w:pPr>
      <w:r>
        <w:rPr>
          <w:b/>
          <w:color w:val="001E50"/>
          <w:sz w:val="24"/>
        </w:rPr>
        <w:t>Azure OpenAI</w:t>
      </w:r>
    </w:p>
    <w:p>
      <w:pPr>
        <w:spacing w:after="60"/>
        <w:ind w:left="283"/>
      </w:pPr>
      <w:r>
        <w:rPr>
          <w:sz w:val="21"/>
        </w:rPr>
        <w:t>☐  OpenAI resource created in EU region</w:t>
      </w:r>
    </w:p>
    <w:p>
      <w:pPr>
        <w:spacing w:after="60"/>
        <w:ind w:left="283"/>
      </w:pPr>
      <w:r>
        <w:rPr>
          <w:sz w:val="21"/>
        </w:rPr>
        <w:t>☐  gpt-4o-mini deployment created and tested</w:t>
      </w:r>
    </w:p>
    <w:p>
      <w:pPr>
        <w:spacing w:after="60"/>
        <w:ind w:left="283"/>
      </w:pPr>
      <w:r>
        <w:rPr>
          <w:sz w:val="21"/>
        </w:rPr>
        <w:t>☐  text-embedding-3-small deployment created and tested</w:t>
      </w:r>
    </w:p>
    <w:p>
      <w:pPr>
        <w:spacing w:after="60"/>
        <w:ind w:left="283"/>
      </w:pPr>
      <w:r>
        <w:rPr>
          <w:sz w:val="21"/>
        </w:rPr>
        <w:t>☐  Endpoint and API key stored in Key Vault / backend .env</w:t>
      </w:r>
    </w:p>
    <w:p>
      <w:pPr>
        <w:spacing w:before="240" w:after="80"/>
      </w:pPr>
      <w:r>
        <w:rPr>
          <w:b/>
          <w:color w:val="001E50"/>
          <w:sz w:val="24"/>
        </w:rPr>
        <w:t>Microsoft SSO</w:t>
      </w:r>
    </w:p>
    <w:p>
      <w:pPr>
        <w:spacing w:after="60"/>
        <w:ind w:left="283"/>
      </w:pPr>
      <w:r>
        <w:rPr>
          <w:sz w:val="21"/>
        </w:rPr>
        <w:t>☐  App Registration created with correct Redirect URIs</w:t>
      </w:r>
    </w:p>
    <w:p>
      <w:pPr>
        <w:spacing w:after="60"/>
        <w:ind w:left="283"/>
      </w:pPr>
      <w:r>
        <w:rPr>
          <w:sz w:val="21"/>
        </w:rPr>
        <w:t>☐  App Roles (Employee / ITAdmin) created and users assigned</w:t>
      </w:r>
    </w:p>
    <w:p>
      <w:pPr>
        <w:spacing w:after="60"/>
        <w:ind w:left="283"/>
      </w:pPr>
      <w:r>
        <w:rPr>
          <w:sz w:val="21"/>
        </w:rPr>
        <w:t>☐  MSAL wired into frontend LoginScreen component</w:t>
      </w:r>
    </w:p>
    <w:p>
      <w:pPr>
        <w:spacing w:after="60"/>
        <w:ind w:left="283"/>
      </w:pPr>
      <w:r>
        <w:rPr>
          <w:sz w:val="21"/>
        </w:rPr>
        <w:t>☐  Backend token validation middleware implemented and tested</w:t>
      </w:r>
    </w:p>
    <w:p>
      <w:pPr>
        <w:spacing w:before="240" w:after="80"/>
      </w:pPr>
      <w:r>
        <w:rPr>
          <w:b/>
          <w:color w:val="001E50"/>
          <w:sz w:val="24"/>
        </w:rPr>
        <w:t>FreshService</w:t>
      </w:r>
    </w:p>
    <w:p>
      <w:pPr>
        <w:spacing w:after="60"/>
        <w:ind w:left="283"/>
      </w:pPr>
      <w:r>
        <w:rPr>
          <w:sz w:val="21"/>
        </w:rPr>
        <w:t>☐  API key obtained and stored securely</w:t>
      </w:r>
    </w:p>
    <w:p>
      <w:pPr>
        <w:spacing w:after="60"/>
        <w:ind w:left="283"/>
      </w:pPr>
      <w:r>
        <w:rPr>
          <w:sz w:val="21"/>
        </w:rPr>
        <w:t>☐  Ticket fields and categories agreed with IT team</w:t>
      </w:r>
    </w:p>
    <w:p>
      <w:pPr>
        <w:spacing w:after="60"/>
        <w:ind w:left="283"/>
      </w:pPr>
      <w:r>
        <w:rPr>
          <w:sz w:val="21"/>
        </w:rPr>
        <w:t>☐  FreshService integration wired into backend /tickets endpoint</w:t>
      </w:r>
    </w:p>
    <w:p>
      <w:pPr>
        <w:spacing w:after="60"/>
        <w:ind w:left="283"/>
      </w:pPr>
      <w:r>
        <w:rPr>
          <w:sz w:val="21"/>
        </w:rPr>
        <w:t>☐  End-to-end ticket creation tested</w:t>
      </w:r>
    </w:p>
    <w:p>
      <w:pPr>
        <w:spacing w:before="240" w:after="80"/>
      </w:pPr>
      <w:r>
        <w:rPr>
          <w:b/>
          <w:color w:val="001E50"/>
          <w:sz w:val="24"/>
        </w:rPr>
        <w:t>SharePoint</w:t>
      </w:r>
    </w:p>
    <w:p>
      <w:pPr>
        <w:spacing w:after="60"/>
        <w:ind w:left="283"/>
      </w:pPr>
      <w:r>
        <w:rPr>
          <w:sz w:val="21"/>
        </w:rPr>
        <w:t>☐  Graph API permissions approved</w:t>
      </w:r>
    </w:p>
    <w:p>
      <w:pPr>
        <w:spacing w:after="60"/>
        <w:ind w:left="283"/>
      </w:pPr>
      <w:r>
        <w:rPr>
          <w:sz w:val="21"/>
        </w:rPr>
        <w:t>☐  Document library path confirmed</w:t>
      </w:r>
    </w:p>
    <w:p>
      <w:pPr>
        <w:spacing w:after="60"/>
        <w:ind w:left="283"/>
      </w:pPr>
      <w:r>
        <w:rPr>
          <w:sz w:val="21"/>
        </w:rPr>
        <w:t>☐  Ingestion pipeline built, tested, and scheduled</w:t>
      </w:r>
    </w:p>
    <w:p>
      <w:pPr>
        <w:spacing w:after="60"/>
        <w:ind w:left="283"/>
      </w:pPr>
      <w:r>
        <w:rPr>
          <w:sz w:val="21"/>
        </w:rPr>
        <w:t>☐  Re-indexing on document change tested</w:t>
      </w:r>
    </w:p>
    <w:p>
      <w:pPr>
        <w:spacing w:before="240" w:after="80"/>
      </w:pPr>
      <w:r>
        <w:rPr>
          <w:b/>
          <w:color w:val="001E50"/>
          <w:sz w:val="24"/>
        </w:rPr>
        <w:t>Infrastructure</w:t>
      </w:r>
    </w:p>
    <w:p>
      <w:pPr>
        <w:spacing w:after="60"/>
        <w:ind w:left="283"/>
      </w:pPr>
      <w:r>
        <w:rPr>
          <w:sz w:val="21"/>
        </w:rPr>
        <w:t>☐  Backend App Service provisioned and deployed</w:t>
      </w:r>
    </w:p>
    <w:p>
      <w:pPr>
        <w:spacing w:after="60"/>
        <w:ind w:left="283"/>
      </w:pPr>
      <w:r>
        <w:rPr>
          <w:sz w:val="21"/>
        </w:rPr>
        <w:t>☐  Frontend App Service / Static Web App provisioned and deployed</w:t>
      </w:r>
    </w:p>
    <w:p>
      <w:pPr>
        <w:spacing w:after="60"/>
        <w:ind w:left="283"/>
      </w:pPr>
      <w:r>
        <w:rPr>
          <w:sz w:val="21"/>
        </w:rPr>
        <w:t>☐  All secrets moved to Azure Key Vault</w:t>
      </w:r>
    </w:p>
    <w:p>
      <w:pPr>
        <w:spacing w:after="60"/>
        <w:ind w:left="283"/>
      </w:pPr>
      <w:r>
        <w:rPr>
          <w:sz w:val="21"/>
        </w:rPr>
        <w:t>☐  CORS whitelist updated with production frontend URL</w:t>
      </w:r>
    </w:p>
    <w:p>
      <w:pPr>
        <w:spacing w:after="60"/>
        <w:ind w:left="283"/>
      </w:pPr>
      <w:r>
        <w:rPr>
          <w:sz w:val="21"/>
        </w:rPr>
        <w:t>☐  CI/CD pipeline configured and tested</w:t>
      </w:r>
    </w:p>
    <w:p>
      <w:pPr>
        <w:spacing w:before="240" w:after="80"/>
      </w:pPr>
      <w:r>
        <w:rPr>
          <w:b/>
          <w:color w:val="001E50"/>
          <w:sz w:val="24"/>
        </w:rPr>
        <w:t>GDPR</w:t>
      </w:r>
    </w:p>
    <w:p>
      <w:pPr>
        <w:spacing w:after="60"/>
        <w:ind w:left="283"/>
      </w:pPr>
      <w:r>
        <w:rPr>
          <w:sz w:val="21"/>
        </w:rPr>
        <w:t>☐  All resources confirmed in EU region</w:t>
      </w:r>
    </w:p>
    <w:p>
      <w:pPr>
        <w:spacing w:after="60"/>
        <w:ind w:left="283"/>
      </w:pPr>
      <w:r>
        <w:rPr>
          <w:sz w:val="21"/>
        </w:rPr>
        <w:t>☐  DPAs signed with Microsoft and FreshService</w:t>
      </w:r>
    </w:p>
    <w:p>
      <w:pPr>
        <w:spacing w:after="60"/>
        <w:ind w:left="283"/>
      </w:pPr>
      <w:r>
        <w:rPr>
          <w:sz w:val="21"/>
        </w:rPr>
        <w:t>☐  Privacy notice updated and published</w:t>
      </w:r>
    </w:p>
    <w:p>
      <w:pPr>
        <w:spacing w:after="60"/>
        <w:ind w:left="283"/>
      </w:pPr>
      <w:r>
        <w:rPr>
          <w:sz w:val="21"/>
        </w:rPr>
        <w:t>☐  DPO sign-off obtained before go-live</w:t>
      </w:r>
    </w:p>
    <w:p/>
    <w:p>
      <w:pPr>
        <w:jc w:val="center"/>
      </w:pPr>
      <w:r>
        <w:rPr>
          <w:color w:val="B4B4B4"/>
          <w:sz w:val="18"/>
        </w:rPr>
        <w:t>Generated: 02 March 2026  -  Molslinjen IT Helpdesk Chatbot Project  -  Confidential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