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60"/>
        <w:rPr/>
      </w:pPr>
      <w:bookmarkStart w:id="0" w:name="_Toc101946815"/>
      <w:bookmarkEnd w:id="0"/>
      <w:r>
        <w:rPr/>
        <w:t>Reference documentation</w:t>
      </w:r>
    </w:p>
    <w:tbl>
      <w:tblPr>
        <w:jc w:val="left"/>
        <w:tblInd w:w="-29" w:type="dxa"/>
        <w:tblBorders>
          <w:top w:val="single" w:sz="8" w:space="0" w:color="4F81BD"/>
          <w:left w:val="single" w:sz="8" w:space="0" w:color="4F81BD"/>
          <w:bottom w:val="nil"/>
          <w:insideH w:val="nil"/>
          <w:right w:val="nil"/>
          <w:insideV w:val="nil"/>
        </w:tblBorders>
        <w:tblCellMar>
          <w:top w:w="0" w:type="dxa"/>
          <w:left w:w="77" w:type="dxa"/>
          <w:bottom w:w="0" w:type="dxa"/>
          <w:right w:w="108" w:type="dxa"/>
        </w:tblCellMar>
      </w:tblPr>
      <w:tblGrid>
        <w:gridCol w:w="1731"/>
        <w:gridCol w:w="3637"/>
        <w:gridCol w:w="4172"/>
      </w:tblGrid>
      <w:tr>
        <w:trPr>
          <w:cantSplit w:val="false"/>
        </w:trPr>
        <w:tc>
          <w:tcPr>
            <w:tcW w:w="1731" w:type="dxa"/>
            <w:tcBorders>
              <w:top w:val="single" w:sz="8" w:space="0" w:color="4F81BD"/>
              <w:left w:val="single" w:sz="8" w:space="0" w:color="4F81BD"/>
              <w:bottom w:val="nil"/>
              <w:insideH w:val="nil"/>
              <w:right w:val="nil"/>
              <w:insideV w:val="nil"/>
            </w:tcBorders>
            <w:shd w:fill="4F81BD" w:val="clear"/>
            <w:tcMar>
              <w:left w:w="77" w:type="dxa"/>
            </w:tcMar>
          </w:tcPr>
          <w:p>
            <w:pPr>
              <w:pStyle w:val="Normal"/>
              <w:spacing w:before="0" w:after="0"/>
              <w:rPr>
                <w:b w:val="false"/>
                <w:bCs/>
                <w:color w:val="FFFFFF"/>
              </w:rPr>
            </w:pPr>
            <w:r>
              <w:rPr>
                <w:b w:val="false"/>
                <w:bCs/>
                <w:color w:val="FFFFFF"/>
              </w:rPr>
              <w:t>Reference</w:t>
            </w:r>
          </w:p>
        </w:tc>
        <w:tc>
          <w:tcPr>
            <w:tcW w:w="363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4F81BD" w:val="clear"/>
            <w:tcMar>
              <w:left w:w="77" w:type="dxa"/>
            </w:tcMar>
          </w:tcPr>
          <w:p>
            <w:pPr>
              <w:pStyle w:val="Normal"/>
              <w:spacing w:before="0" w:after="0"/>
              <w:rPr>
                <w:b w:val="false"/>
                <w:bCs/>
                <w:color w:val="FFFFFF"/>
              </w:rPr>
            </w:pPr>
            <w:r>
              <w:rPr>
                <w:b w:val="false"/>
                <w:bCs/>
                <w:color w:val="FFFFFF"/>
              </w:rPr>
              <w:t>Document</w:t>
            </w:r>
          </w:p>
        </w:tc>
        <w:tc>
          <w:tcPr>
            <w:tcW w:w="4172" w:type="dxa"/>
            <w:tcBorders>
              <w:top w:val="single" w:sz="8" w:space="0" w:color="4F81BD"/>
              <w:left w:val="nil"/>
              <w:bottom w:val="nil"/>
              <w:insideH w:val="nil"/>
              <w:right w:val="single" w:sz="8" w:space="0" w:color="4F81BD"/>
              <w:insideV w:val="single" w:sz="8" w:space="0" w:color="4F81BD"/>
            </w:tcBorders>
            <w:shd w:fill="4F81BD" w:val="clear"/>
            <w:tcMar>
              <w:left w:w="117" w:type="dxa"/>
            </w:tcMar>
          </w:tcPr>
          <w:p>
            <w:pPr>
              <w:pStyle w:val="Normal"/>
              <w:spacing w:before="0" w:after="0"/>
              <w:rPr>
                <w:b w:val="false"/>
                <w:bCs/>
                <w:color w:val="FFFFFF"/>
              </w:rPr>
            </w:pPr>
            <w:r>
              <w:rPr>
                <w:b w:val="false"/>
                <w:bCs/>
                <w:color w:val="FFFFFF"/>
              </w:rPr>
              <w:t>Description</w:t>
            </w:r>
          </w:p>
        </w:tc>
      </w:tr>
      <w:tr>
        <w:trPr>
          <w:cantSplit w:val="false"/>
        </w:trPr>
        <w:tc>
          <w:tcPr>
            <w:tcW w:w="173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b/>
                <w:bCs/>
              </w:rPr>
            </w:pPr>
            <w:r>
              <w:rPr>
                <w:b/>
                <w:bCs/>
              </w:rPr>
              <w:t>Jira</w:t>
            </w:r>
          </w:p>
        </w:tc>
        <w:tc>
          <w:tcPr>
            <w:tcW w:w="363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Style w:val="InternetLink"/>
              </w:rPr>
            </w:pPr>
            <w:r>
              <w:rPr>
                <w:rStyle w:val="InternetLink"/>
              </w:rPr>
              <w:t>https://helpdesk.clear2pay.com/helpdesk/browse/COBAXTRM-71</w:t>
            </w:r>
          </w:p>
        </w:tc>
        <w:tc>
          <w:tcPr>
            <w:tcW w:w="417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pPr>
            <w:r>
              <w:rPr/>
              <w:t>The interaction between the bank and C2P regarding the logic of the start/end of day trigger.</w:t>
            </w:r>
          </w:p>
        </w:tc>
      </w:tr>
      <w:tr>
        <w:trPr>
          <w:cantSplit w:val="false"/>
        </w:trPr>
        <w:tc>
          <w:tcPr>
            <w:tcW w:w="1731" w:type="dxa"/>
            <w:tcBorders>
              <w:top w:val="nil"/>
              <w:left w:val="single" w:sz="8" w:space="0" w:color="4F81BD"/>
              <w:bottom w:val="nil"/>
              <w:insideH w:val="nil"/>
              <w:right w:val="nil"/>
              <w:insideV w:val="nil"/>
            </w:tcBorders>
            <w:shd w:fill="FFFFFF" w:val="clear"/>
            <w:tcMar>
              <w:left w:w="77" w:type="dxa"/>
            </w:tcMar>
          </w:tcPr>
          <w:p>
            <w:pPr>
              <w:pStyle w:val="Normal"/>
              <w:rPr>
                <w:b/>
                <w:bCs/>
              </w:rPr>
            </w:pPr>
            <w:r>
              <w:rPr>
                <w:b/>
                <w:bCs/>
              </w:rPr>
              <w:t>Parsing service AD</w:t>
            </w:r>
          </w:p>
        </w:tc>
        <w:tc>
          <w:tcPr>
            <w:tcW w:w="363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pPr>
            <w:bookmarkStart w:id="1" w:name="__DdeLink__1468_1317245172"/>
            <w:bookmarkEnd w:id="1"/>
            <w:r>
              <w:rPr/>
              <w:t>COBAXT - AD - Parsing Service.docx</w:t>
            </w:r>
          </w:p>
        </w:tc>
        <w:tc>
          <w:tcPr>
            <w:tcW w:w="4172" w:type="dxa"/>
            <w:tcBorders>
              <w:top w:val="nil"/>
              <w:left w:val="nil"/>
              <w:bottom w:val="nil"/>
              <w:insideH w:val="nil"/>
              <w:right w:val="single" w:sz="8" w:space="0" w:color="4F81BD"/>
              <w:insideV w:val="single" w:sz="8" w:space="0" w:color="4F81BD"/>
            </w:tcBorders>
            <w:shd w:fill="FFFFFF" w:val="clear"/>
            <w:tcMar>
              <w:left w:w="117" w:type="dxa"/>
            </w:tcMar>
          </w:tcPr>
          <w:p>
            <w:pPr>
              <w:pStyle w:val="Normal"/>
              <w:rPr/>
            </w:pPr>
            <w:r>
              <w:rPr/>
              <w:t>Pain 001 mapping approach</w:t>
            </w:r>
          </w:p>
        </w:tc>
      </w:tr>
      <w:tr>
        <w:trPr>
          <w:cantSplit w:val="false"/>
        </w:trPr>
        <w:tc>
          <w:tcPr>
            <w:tcW w:w="173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b/>
                <w:bCs/>
              </w:rPr>
            </w:pPr>
            <w:r>
              <w:rPr>
                <w:b/>
                <w:bCs/>
              </w:rPr>
              <w:t>User case business reference</w:t>
            </w:r>
          </w:p>
        </w:tc>
        <w:tc>
          <w:tcPr>
            <w:tcW w:w="363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b w:val="false"/>
                <w:bCs w:val="false"/>
              </w:rPr>
            </w:pPr>
            <w:bookmarkStart w:id="2" w:name="__DdeLink__1470_1317245172"/>
            <w:bookmarkEnd w:id="2"/>
            <w:r>
              <w:rPr>
                <w:b w:val="false"/>
                <w:bCs w:val="false"/>
              </w:rPr>
              <w:t>COBA_PARSER_BS_UC001 - Interchange Parser Service.doc</w:t>
            </w:r>
          </w:p>
        </w:tc>
        <w:tc>
          <w:tcPr>
            <w:tcW w:w="417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pPr>
            <w:r>
              <w:rPr/>
              <w:t>The logic for the generation of business reference.</w:t>
            </w:r>
          </w:p>
        </w:tc>
      </w:tr>
      <w:tr>
        <w:trPr>
          <w:cantSplit w:val="false"/>
        </w:trPr>
        <w:tc>
          <w:tcPr>
            <w:tcW w:w="1731" w:type="dxa"/>
            <w:tcBorders>
              <w:top w:val="nil"/>
              <w:left w:val="single" w:sz="8" w:space="0" w:color="4F81BD"/>
              <w:bottom w:val="nil"/>
              <w:insideH w:val="nil"/>
              <w:right w:val="nil"/>
              <w:insideV w:val="nil"/>
            </w:tcBorders>
            <w:shd w:fill="FFFFFF" w:val="clear"/>
            <w:tcMar>
              <w:left w:w="77" w:type="dxa"/>
            </w:tcMar>
          </w:tcPr>
          <w:p>
            <w:pPr>
              <w:pStyle w:val="Normal"/>
              <w:rPr>
                <w:b/>
                <w:bCs/>
              </w:rPr>
            </w:pPr>
            <w:r>
              <w:rPr>
                <w:b/>
                <w:bCs/>
              </w:rPr>
            </w:r>
          </w:p>
        </w:tc>
        <w:tc>
          <w:tcPr>
            <w:tcW w:w="363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lang w:val="en-US"/>
              </w:rPr>
            </w:pPr>
            <w:r>
              <w:rPr>
                <w:lang w:val="en-US"/>
              </w:rPr>
            </w:r>
          </w:p>
        </w:tc>
        <w:tc>
          <w:tcPr>
            <w:tcW w:w="4172" w:type="dxa"/>
            <w:tcBorders>
              <w:top w:val="nil"/>
              <w:left w:val="nil"/>
              <w:bottom w:val="nil"/>
              <w:insideH w:val="nil"/>
              <w:right w:val="single" w:sz="8" w:space="0" w:color="4F81BD"/>
              <w:insideV w:val="single" w:sz="8" w:space="0" w:color="4F81BD"/>
            </w:tcBorders>
            <w:shd w:fill="FFFFFF" w:val="clear"/>
            <w:tcMar>
              <w:left w:w="117" w:type="dxa"/>
            </w:tcMar>
          </w:tcPr>
          <w:p>
            <w:pPr>
              <w:pStyle w:val="Normal"/>
              <w:rPr/>
            </w:pPr>
            <w:r>
              <w:rPr/>
            </w:r>
          </w:p>
        </w:tc>
      </w:tr>
      <w:tr>
        <w:trPr>
          <w:cantSplit w:val="false"/>
        </w:trPr>
        <w:tc>
          <w:tcPr>
            <w:tcW w:w="173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b/>
                <w:bCs/>
              </w:rPr>
            </w:pPr>
            <w:r>
              <w:rPr>
                <w:b/>
                <w:bCs/>
              </w:rPr>
            </w:r>
          </w:p>
        </w:tc>
        <w:tc>
          <w:tcPr>
            <w:tcW w:w="363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pPr>
            <w:r>
              <w:rPr/>
            </w:r>
          </w:p>
        </w:tc>
        <w:tc>
          <w:tcPr>
            <w:tcW w:w="417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pPr>
            <w:r>
              <w:rPr/>
            </w:r>
          </w:p>
        </w:tc>
      </w:tr>
    </w:tbl>
    <w:p>
      <w:pPr>
        <w:pStyle w:val="Caption1"/>
        <w:rPr/>
      </w:pPr>
      <w:r>
        <w:rPr/>
        <w:t xml:space="preserve">Table </w:t>
      </w:r>
      <w:r>
        <w:rPr/>
        <w:fldChar w:fldCharType="begin"/>
      </w:r>
      <w:r>
        <w:instrText> SEQ """"Table"""" \*Arabic </w:instrText>
      </w:r>
      <w:r>
        <w:fldChar w:fldCharType="separate"/>
      </w:r>
      <w:r>
        <w:t>1</w:t>
      </w:r>
      <w:r>
        <w:fldChar w:fldCharType="end"/>
      </w:r>
      <w:r>
        <w:rPr/>
        <w:t>: Reference documentation</w:t>
      </w:r>
    </w:p>
    <w:tbl>
      <w:tblPr>
        <w:jc w:val="left"/>
        <w:tblInd w:w="-29" w:type="dxa"/>
        <w:tblBorders>
          <w:top w:val="single" w:sz="8" w:space="0" w:color="4F81BD"/>
          <w:left w:val="single" w:sz="8" w:space="0" w:color="4F81BD"/>
          <w:bottom w:val="single" w:sz="8" w:space="0" w:color="4F81BD"/>
          <w:insideH w:val="single" w:sz="8" w:space="0" w:color="4F81BD"/>
          <w:right w:val="nil"/>
          <w:insideV w:val="nil"/>
        </w:tblBorders>
        <w:tblCellMar>
          <w:top w:w="0" w:type="dxa"/>
          <w:left w:w="77" w:type="dxa"/>
          <w:bottom w:w="0" w:type="dxa"/>
          <w:right w:w="108" w:type="dxa"/>
        </w:tblCellMar>
      </w:tblPr>
      <w:tblGrid>
        <w:gridCol w:w="991"/>
        <w:gridCol w:w="1463"/>
        <w:gridCol w:w="2179"/>
        <w:gridCol w:w="5119"/>
      </w:tblGrid>
      <w:tr>
        <w:trPr>
          <w:cantSplit w:val="false"/>
        </w:trPr>
        <w:tc>
          <w:tcPr>
            <w:tcW w:w="991" w:type="dxa"/>
            <w:tcBorders>
              <w:top w:val="single" w:sz="8" w:space="0" w:color="4F81BD"/>
              <w:left w:val="single" w:sz="8" w:space="0" w:color="4F81BD"/>
              <w:bottom w:val="single" w:sz="8" w:space="0" w:color="4F81BD"/>
              <w:insideH w:val="single" w:sz="8" w:space="0" w:color="4F81BD"/>
              <w:right w:val="nil"/>
              <w:insideV w:val="nil"/>
            </w:tcBorders>
            <w:shd w:fill="4F81BD" w:val="clear"/>
            <w:tcMar>
              <w:left w:w="77" w:type="dxa"/>
            </w:tcMar>
          </w:tcPr>
          <w:p>
            <w:pPr>
              <w:pStyle w:val="TableHead"/>
              <w:spacing w:before="0" w:after="0"/>
              <w:ind w:left="-3" w:right="0" w:firstLine="3"/>
              <w:rPr>
                <w:rFonts w:cs="Tahoma"/>
                <w:b/>
                <w:bCs/>
                <w:color w:val="FFFFFF"/>
                <w:szCs w:val="20"/>
              </w:rPr>
            </w:pPr>
            <w:r>
              <w:rPr>
                <w:rFonts w:cs="Tahoma"/>
                <w:b/>
                <w:bCs/>
                <w:color w:val="FFFFFF"/>
                <w:szCs w:val="20"/>
              </w:rPr>
              <w:t>Version</w:t>
            </w:r>
          </w:p>
        </w:tc>
        <w:tc>
          <w:tcPr>
            <w:tcW w:w="1463"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4F81BD" w:val="clear"/>
            <w:tcMar>
              <w:left w:w="77" w:type="dxa"/>
            </w:tcMar>
          </w:tcPr>
          <w:p>
            <w:pPr>
              <w:pStyle w:val="TableHead"/>
              <w:spacing w:before="0" w:after="0"/>
              <w:rPr>
                <w:rFonts w:cs="Tahoma"/>
                <w:b/>
                <w:bCs/>
                <w:color w:val="FFFFFF"/>
                <w:szCs w:val="20"/>
              </w:rPr>
            </w:pPr>
            <w:r>
              <w:rPr>
                <w:rFonts w:cs="Tahoma"/>
                <w:b/>
                <w:bCs/>
                <w:color w:val="FFFFFF"/>
                <w:szCs w:val="20"/>
              </w:rPr>
              <w:t>Date</w:t>
            </w:r>
          </w:p>
        </w:tc>
        <w:tc>
          <w:tcPr>
            <w:tcW w:w="2179" w:type="dxa"/>
            <w:tcBorders>
              <w:top w:val="single" w:sz="8" w:space="0" w:color="4F81BD"/>
              <w:left w:val="nil"/>
              <w:bottom w:val="single" w:sz="8" w:space="0" w:color="4F81BD"/>
              <w:insideH w:val="single" w:sz="8" w:space="0" w:color="4F81BD"/>
              <w:right w:val="nil"/>
              <w:insideV w:val="nil"/>
            </w:tcBorders>
            <w:shd w:fill="4F81BD" w:val="clear"/>
            <w:tcMar>
              <w:left w:w="117" w:type="dxa"/>
            </w:tcMar>
          </w:tcPr>
          <w:p>
            <w:pPr>
              <w:pStyle w:val="TableHead"/>
              <w:spacing w:before="0" w:after="0"/>
              <w:rPr>
                <w:rFonts w:cs="Tahoma"/>
                <w:b/>
                <w:bCs/>
                <w:color w:val="FFFFFF"/>
                <w:szCs w:val="20"/>
              </w:rPr>
            </w:pPr>
            <w:r>
              <w:rPr>
                <w:rFonts w:cs="Tahoma"/>
                <w:b/>
                <w:bCs/>
                <w:color w:val="FFFFFF"/>
                <w:szCs w:val="20"/>
              </w:rPr>
              <w:t>Author</w:t>
            </w:r>
          </w:p>
        </w:tc>
        <w:tc>
          <w:tcPr>
            <w:tcW w:w="5119" w:type="dxa"/>
            <w:tcBorders>
              <w:top w:val="single" w:sz="8" w:space="0" w:color="4F81BD"/>
              <w:left w:val="nil"/>
              <w:bottom w:val="single" w:sz="8" w:space="0" w:color="4F81BD"/>
              <w:insideH w:val="single" w:sz="8" w:space="0" w:color="4F81BD"/>
              <w:right w:val="single" w:sz="8" w:space="0" w:color="4F81BD"/>
              <w:insideV w:val="single" w:sz="8" w:space="0" w:color="4F81BD"/>
            </w:tcBorders>
            <w:shd w:fill="4F81BD" w:val="clear"/>
            <w:tcMar>
              <w:left w:w="117" w:type="dxa"/>
            </w:tcMar>
          </w:tcPr>
          <w:p>
            <w:pPr>
              <w:pStyle w:val="TableHead"/>
              <w:spacing w:before="0" w:after="0"/>
              <w:rPr>
                <w:rFonts w:cs="Tahoma"/>
                <w:b/>
                <w:bCs/>
                <w:color w:val="FFFFFF"/>
                <w:szCs w:val="20"/>
              </w:rPr>
            </w:pPr>
            <w:r>
              <w:rPr>
                <w:rFonts w:cs="Tahoma"/>
                <w:b/>
                <w:bCs/>
                <w:color w:val="FFFFFF"/>
                <w:szCs w:val="20"/>
              </w:rPr>
              <w:t>Description</w:t>
            </w:r>
          </w:p>
        </w:tc>
      </w:tr>
      <w:tr>
        <w:trPr>
          <w:cantSplit w:val="false"/>
        </w:trPr>
        <w:tc>
          <w:tcPr>
            <w:tcW w:w="991" w:type="dxa"/>
            <w:tcBorders>
              <w:top w:val="single" w:sz="8" w:space="0" w:color="4F81BD"/>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rPr>
                <w:rFonts w:cs="Tahoma"/>
                <w:b/>
                <w:bCs/>
                <w:szCs w:val="20"/>
              </w:rPr>
            </w:pPr>
            <w:r>
              <w:rPr>
                <w:rFonts w:cs="Tahoma"/>
                <w:b/>
                <w:bCs/>
                <w:szCs w:val="20"/>
              </w:rPr>
              <w:t>1.0</w:t>
            </w:r>
          </w:p>
        </w:tc>
        <w:tc>
          <w:tcPr>
            <w:tcW w:w="1463"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rFonts w:cs="Tahoma"/>
                <w:b/>
                <w:szCs w:val="20"/>
              </w:rPr>
            </w:pPr>
            <w:r>
              <w:rPr>
                <w:rFonts w:cs="Tahoma"/>
                <w:b/>
                <w:szCs w:val="20"/>
              </w:rPr>
              <w:t>29-01-2015</w:t>
            </w:r>
          </w:p>
        </w:tc>
        <w:tc>
          <w:tcPr>
            <w:tcW w:w="2179" w:type="dxa"/>
            <w:tcBorders>
              <w:top w:val="single" w:sz="8" w:space="0" w:color="4F81BD"/>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rPr>
                <w:rFonts w:cs="Tahoma"/>
                <w:b/>
                <w:szCs w:val="20"/>
              </w:rPr>
            </w:pPr>
            <w:r>
              <w:rPr>
                <w:rFonts w:cs="Tahoma"/>
                <w:b/>
                <w:szCs w:val="20"/>
              </w:rPr>
              <w:t>Michael Couck</w:t>
            </w:r>
          </w:p>
        </w:tc>
        <w:tc>
          <w:tcPr>
            <w:tcW w:w="5119"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rFonts w:cs="Tahoma"/>
                <w:b w:val="false"/>
                <w:bCs/>
                <w:szCs w:val="20"/>
              </w:rPr>
            </w:pPr>
            <w:r>
              <w:rPr>
                <w:rFonts w:cs="Tahoma"/>
                <w:b w:val="false"/>
                <w:bCs/>
                <w:szCs w:val="20"/>
              </w:rPr>
              <w:t>Initial draft</w:t>
            </w:r>
          </w:p>
        </w:tc>
      </w:tr>
      <w:tr>
        <w:trPr>
          <w:cantSplit w:val="false"/>
        </w:trPr>
        <w:tc>
          <w:tcPr>
            <w:tcW w:w="99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bCs/>
                <w:szCs w:val="20"/>
              </w:rPr>
            </w:pPr>
            <w:r>
              <w:rPr>
                <w:rFonts w:cs="Tahoma"/>
                <w:b/>
                <w:bCs/>
                <w:szCs w:val="20"/>
              </w:rPr>
            </w:r>
          </w:p>
        </w:tc>
        <w:tc>
          <w:tcPr>
            <w:tcW w:w="1463"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szCs w:val="20"/>
              </w:rPr>
            </w:pPr>
            <w:r>
              <w:rPr>
                <w:rFonts w:cs="Tahoma"/>
                <w:b/>
                <w:szCs w:val="20"/>
              </w:rPr>
            </w:r>
          </w:p>
        </w:tc>
        <w:tc>
          <w:tcPr>
            <w:tcW w:w="21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szCs w:val="20"/>
              </w:rPr>
            </w:pPr>
            <w:r>
              <w:rPr>
                <w:rFonts w:cs="Tahoma"/>
                <w:b/>
                <w:szCs w:val="20"/>
              </w:rPr>
            </w:r>
          </w:p>
        </w:tc>
        <w:tc>
          <w:tcPr>
            <w:tcW w:w="511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bCs/>
                <w:szCs w:val="20"/>
              </w:rPr>
            </w:pPr>
            <w:r>
              <w:rPr>
                <w:rFonts w:cs="Tahoma"/>
                <w:b/>
                <w:bCs/>
                <w:szCs w:val="20"/>
              </w:rPr>
            </w:r>
          </w:p>
        </w:tc>
      </w:tr>
      <w:tr>
        <w:trPr>
          <w:cantSplit w:val="false"/>
        </w:trPr>
        <w:tc>
          <w:tcPr>
            <w:tcW w:w="99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bCs/>
                <w:szCs w:val="20"/>
              </w:rPr>
            </w:pPr>
            <w:r>
              <w:rPr>
                <w:rFonts w:cs="Tahoma"/>
                <w:b/>
                <w:bCs/>
                <w:szCs w:val="20"/>
              </w:rPr>
            </w:r>
          </w:p>
        </w:tc>
        <w:tc>
          <w:tcPr>
            <w:tcW w:w="1463"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szCs w:val="20"/>
              </w:rPr>
            </w:pPr>
            <w:r>
              <w:rPr>
                <w:rFonts w:cs="Tahoma"/>
                <w:b/>
                <w:szCs w:val="20"/>
              </w:rPr>
            </w:r>
          </w:p>
        </w:tc>
        <w:tc>
          <w:tcPr>
            <w:tcW w:w="21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szCs w:val="20"/>
              </w:rPr>
            </w:pPr>
            <w:r>
              <w:rPr>
                <w:rFonts w:cs="Tahoma"/>
                <w:b/>
                <w:szCs w:val="20"/>
              </w:rPr>
            </w:r>
          </w:p>
        </w:tc>
        <w:tc>
          <w:tcPr>
            <w:tcW w:w="511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bCs/>
                <w:szCs w:val="20"/>
              </w:rPr>
            </w:pPr>
            <w:r>
              <w:rPr>
                <w:rFonts w:cs="Tahoma"/>
                <w:b/>
                <w:bCs/>
                <w:szCs w:val="20"/>
              </w:rPr>
            </w:r>
          </w:p>
        </w:tc>
      </w:tr>
      <w:tr>
        <w:trPr>
          <w:cantSplit w:val="false"/>
        </w:trPr>
        <w:tc>
          <w:tcPr>
            <w:tcW w:w="99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bCs/>
                <w:szCs w:val="20"/>
              </w:rPr>
            </w:pPr>
            <w:r>
              <w:rPr>
                <w:rFonts w:cs="Tahoma"/>
                <w:b/>
                <w:bCs/>
                <w:szCs w:val="20"/>
              </w:rPr>
            </w:r>
          </w:p>
        </w:tc>
        <w:tc>
          <w:tcPr>
            <w:tcW w:w="1463"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szCs w:val="20"/>
              </w:rPr>
            </w:pPr>
            <w:r>
              <w:rPr>
                <w:rFonts w:cs="Tahoma"/>
                <w:b/>
                <w:szCs w:val="20"/>
              </w:rPr>
            </w:r>
          </w:p>
        </w:tc>
        <w:tc>
          <w:tcPr>
            <w:tcW w:w="217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szCs w:val="20"/>
              </w:rPr>
            </w:pPr>
            <w:r>
              <w:rPr>
                <w:rFonts w:cs="Tahoma"/>
                <w:b/>
                <w:szCs w:val="20"/>
              </w:rPr>
            </w:r>
          </w:p>
        </w:tc>
        <w:tc>
          <w:tcPr>
            <w:tcW w:w="511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rPr>
                <w:rFonts w:cs="Tahoma"/>
                <w:b/>
                <w:bCs/>
                <w:szCs w:val="20"/>
              </w:rPr>
            </w:pPr>
            <w:r>
              <w:rPr>
                <w:rFonts w:cs="Tahoma"/>
                <w:b/>
                <w:bCs/>
                <w:szCs w:val="20"/>
              </w:rPr>
            </w:r>
          </w:p>
        </w:tc>
      </w:tr>
      <w:tr>
        <w:trPr>
          <w:cantSplit w:val="false"/>
        </w:trPr>
        <w:tc>
          <w:tcPr>
            <w:tcW w:w="991" w:type="dxa"/>
            <w:tcBorders>
              <w:top w:val="double" w:sz="6"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spacing w:before="0" w:after="0"/>
              <w:rPr>
                <w:rFonts w:cs="Tahoma"/>
                <w:b/>
                <w:bCs/>
                <w:szCs w:val="20"/>
              </w:rPr>
            </w:pPr>
            <w:r>
              <w:rPr>
                <w:rFonts w:cs="Tahoma"/>
                <w:b/>
                <w:bCs/>
                <w:szCs w:val="20"/>
              </w:rPr>
            </w:r>
          </w:p>
        </w:tc>
        <w:tc>
          <w:tcPr>
            <w:tcW w:w="1463" w:type="dxa"/>
            <w:tcBorders>
              <w:top w:val="double" w:sz="6"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spacing w:before="0" w:after="0"/>
              <w:rPr>
                <w:rFonts w:cs="Tahoma"/>
                <w:b/>
                <w:bCs/>
                <w:szCs w:val="20"/>
              </w:rPr>
            </w:pPr>
            <w:r>
              <w:rPr>
                <w:rFonts w:cs="Tahoma"/>
                <w:b/>
                <w:bCs/>
                <w:szCs w:val="20"/>
              </w:rPr>
            </w:r>
          </w:p>
        </w:tc>
        <w:tc>
          <w:tcPr>
            <w:tcW w:w="2179" w:type="dxa"/>
            <w:tcBorders>
              <w:top w:val="double" w:sz="6"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spacing w:before="0" w:after="0"/>
              <w:rPr>
                <w:rFonts w:cs="Tahoma"/>
                <w:b/>
                <w:bCs/>
                <w:szCs w:val="20"/>
              </w:rPr>
            </w:pPr>
            <w:r>
              <w:rPr>
                <w:rFonts w:cs="Tahoma"/>
                <w:b/>
                <w:bCs/>
                <w:szCs w:val="20"/>
              </w:rPr>
            </w:r>
          </w:p>
        </w:tc>
        <w:tc>
          <w:tcPr>
            <w:tcW w:w="5119" w:type="dxa"/>
            <w:tcBorders>
              <w:top w:val="double" w:sz="6"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77" w:type="dxa"/>
            </w:tcMar>
          </w:tcPr>
          <w:p>
            <w:pPr>
              <w:pStyle w:val="Normal"/>
              <w:spacing w:before="0" w:after="0"/>
              <w:rPr>
                <w:rFonts w:cs="Tahoma"/>
                <w:b/>
                <w:bCs/>
                <w:szCs w:val="20"/>
              </w:rPr>
            </w:pPr>
            <w:r>
              <w:rPr>
                <w:rFonts w:cs="Tahoma"/>
                <w:b/>
                <w:bCs/>
                <w:szCs w:val="20"/>
              </w:rPr>
            </w:r>
          </w:p>
        </w:tc>
      </w:tr>
    </w:tbl>
    <w:p>
      <w:pPr>
        <w:pStyle w:val="Caption1"/>
        <w:rPr/>
      </w:pPr>
      <w:r>
        <w:rPr/>
        <w:t xml:space="preserve">Table </w:t>
      </w:r>
      <w:r>
        <w:rPr/>
        <w:fldChar w:fldCharType="begin"/>
      </w:r>
      <w:r>
        <w:instrText> SEQ """"Table"""" \*Arabic </w:instrText>
      </w:r>
      <w:r>
        <w:fldChar w:fldCharType="separate"/>
      </w:r>
      <w:r>
        <w:t>1</w:t>
      </w:r>
      <w:r>
        <w:fldChar w:fldCharType="end"/>
      </w:r>
      <w:r>
        <w:rPr/>
        <w:t>: Revision History</w:t>
      </w:r>
    </w:p>
    <w:tbl>
      <w:tblPr>
        <w:jc w:val="left"/>
        <w:tblInd w:w="-29" w:type="dxa"/>
        <w:tblBorders>
          <w:top w:val="single" w:sz="8" w:space="0" w:color="4F81BD"/>
          <w:left w:val="single" w:sz="8" w:space="0" w:color="4F81BD"/>
          <w:bottom w:val="single" w:sz="8" w:space="0" w:color="4F81BD"/>
          <w:insideH w:val="single" w:sz="8" w:space="0" w:color="4F81BD"/>
          <w:right w:val="nil"/>
          <w:insideV w:val="nil"/>
        </w:tblBorders>
        <w:tblCellMar>
          <w:top w:w="0" w:type="dxa"/>
          <w:left w:w="77" w:type="dxa"/>
          <w:bottom w:w="0" w:type="dxa"/>
          <w:right w:w="108" w:type="dxa"/>
        </w:tblCellMar>
      </w:tblPr>
      <w:tblGrid>
        <w:gridCol w:w="955"/>
        <w:gridCol w:w="3685"/>
        <w:gridCol w:w="5139"/>
      </w:tblGrid>
      <w:tr>
        <w:trPr>
          <w:trHeight w:val="292" w:hRule="atLeast"/>
          <w:cantSplit w:val="false"/>
        </w:trPr>
        <w:tc>
          <w:tcPr>
            <w:tcW w:w="955" w:type="dxa"/>
            <w:tcBorders>
              <w:top w:val="single" w:sz="8" w:space="0" w:color="4F81BD"/>
              <w:left w:val="single" w:sz="8" w:space="0" w:color="4F81BD"/>
              <w:bottom w:val="single" w:sz="8" w:space="0" w:color="4F81BD"/>
              <w:insideH w:val="single" w:sz="8" w:space="0" w:color="4F81BD"/>
              <w:right w:val="nil"/>
              <w:insideV w:val="nil"/>
            </w:tcBorders>
            <w:shd w:fill="4F81BD" w:val="clear"/>
            <w:tcMar>
              <w:left w:w="77" w:type="dxa"/>
            </w:tcMar>
          </w:tcPr>
          <w:p>
            <w:pPr>
              <w:pStyle w:val="TableHead"/>
              <w:spacing w:before="0" w:after="0"/>
              <w:ind w:left="-3" w:right="0" w:firstLine="3"/>
              <w:rPr>
                <w:rFonts w:cs="Tahoma"/>
                <w:b/>
                <w:bCs/>
                <w:color w:val="FFFFFF"/>
                <w:szCs w:val="20"/>
              </w:rPr>
            </w:pPr>
            <w:r>
              <w:rPr>
                <w:rFonts w:cs="Tahoma"/>
                <w:b/>
                <w:bCs/>
                <w:color w:val="FFFFFF"/>
                <w:szCs w:val="20"/>
              </w:rPr>
              <w:t>Version</w:t>
            </w:r>
          </w:p>
        </w:tc>
        <w:tc>
          <w:tcPr>
            <w:tcW w:w="368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4F81BD" w:val="clear"/>
            <w:tcMar>
              <w:left w:w="77" w:type="dxa"/>
            </w:tcMar>
          </w:tcPr>
          <w:p>
            <w:pPr>
              <w:pStyle w:val="TableHead"/>
              <w:spacing w:before="0" w:after="0"/>
              <w:rPr>
                <w:rFonts w:cs="Tahoma"/>
                <w:b/>
                <w:bCs/>
                <w:color w:val="FFFFFF"/>
                <w:szCs w:val="20"/>
              </w:rPr>
            </w:pPr>
            <w:r>
              <w:rPr>
                <w:rFonts w:cs="Tahoma"/>
                <w:b/>
                <w:bCs/>
                <w:color w:val="FFFFFF"/>
                <w:szCs w:val="20"/>
              </w:rPr>
              <w:t>Date</w:t>
            </w:r>
          </w:p>
        </w:tc>
        <w:tc>
          <w:tcPr>
            <w:tcW w:w="5139" w:type="dxa"/>
            <w:tcBorders>
              <w:top w:val="single" w:sz="8" w:space="0" w:color="4F81BD"/>
              <w:left w:val="nil"/>
              <w:bottom w:val="single" w:sz="8" w:space="0" w:color="4F81BD"/>
              <w:insideH w:val="single" w:sz="8" w:space="0" w:color="4F81BD"/>
              <w:right w:val="single" w:sz="8" w:space="0" w:color="4F81BD"/>
              <w:insideV w:val="single" w:sz="8" w:space="0" w:color="4F81BD"/>
            </w:tcBorders>
            <w:shd w:fill="4F81BD" w:val="clear"/>
            <w:tcMar>
              <w:left w:w="117" w:type="dxa"/>
            </w:tcMar>
          </w:tcPr>
          <w:p>
            <w:pPr>
              <w:pStyle w:val="TableHead"/>
              <w:spacing w:before="0" w:after="0"/>
              <w:rPr>
                <w:rFonts w:cs="Tahoma"/>
                <w:b/>
                <w:bCs/>
                <w:color w:val="FFFFFF"/>
                <w:szCs w:val="20"/>
              </w:rPr>
            </w:pPr>
            <w:r>
              <w:rPr>
                <w:rFonts w:cs="Tahoma"/>
                <w:b/>
                <w:bCs/>
                <w:color w:val="FFFFFF"/>
                <w:szCs w:val="20"/>
              </w:rPr>
              <w:t>Reviewer</w:t>
            </w:r>
          </w:p>
        </w:tc>
      </w:tr>
      <w:tr>
        <w:trPr>
          <w:trHeight w:val="248" w:hRule="atLeast"/>
          <w:cantSplit w:val="false"/>
        </w:trPr>
        <w:tc>
          <w:tcPr>
            <w:tcW w:w="955" w:type="dxa"/>
            <w:tcBorders>
              <w:top w:val="single" w:sz="8" w:space="0" w:color="4F81BD"/>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rPr>
                <w:rFonts w:cs="Tahoma"/>
                <w:b/>
                <w:bCs/>
                <w:szCs w:val="20"/>
              </w:rPr>
            </w:pPr>
            <w:r>
              <w:rPr>
                <w:rFonts w:cs="Tahoma"/>
                <w:b/>
                <w:bCs/>
                <w:szCs w:val="20"/>
              </w:rPr>
            </w:r>
          </w:p>
        </w:tc>
        <w:tc>
          <w:tcPr>
            <w:tcW w:w="3685"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rFonts w:cs="Tahoma"/>
                <w:szCs w:val="20"/>
              </w:rPr>
            </w:pPr>
            <w:r>
              <w:rPr>
                <w:rFonts w:cs="Tahoma"/>
                <w:szCs w:val="20"/>
              </w:rPr>
            </w:r>
          </w:p>
        </w:tc>
        <w:tc>
          <w:tcPr>
            <w:tcW w:w="5139" w:type="dxa"/>
            <w:tcBorders>
              <w:top w:val="single" w:sz="8" w:space="0" w:color="4F81BD"/>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rPr>
                <w:rFonts w:cs="Tahoma"/>
                <w:b/>
                <w:bCs/>
                <w:szCs w:val="20"/>
              </w:rPr>
            </w:pPr>
            <w:r>
              <w:rPr>
                <w:rFonts w:cs="Tahoma"/>
                <w:b/>
                <w:bCs/>
                <w:szCs w:val="20"/>
              </w:rPr>
            </w:r>
          </w:p>
        </w:tc>
      </w:tr>
      <w:tr>
        <w:trPr>
          <w:trHeight w:val="248" w:hRule="atLeast"/>
          <w:cantSplit w:val="false"/>
        </w:trPr>
        <w:tc>
          <w:tcPr>
            <w:tcW w:w="955" w:type="dxa"/>
            <w:tcBorders>
              <w:top w:val="single" w:sz="8" w:space="0" w:color="4F81BD"/>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spacing w:before="0" w:after="0"/>
              <w:rPr>
                <w:rFonts w:cs="Tahoma"/>
                <w:b/>
                <w:bCs/>
                <w:szCs w:val="20"/>
              </w:rPr>
            </w:pPr>
            <w:r>
              <w:rPr>
                <w:rFonts w:cs="Tahoma"/>
                <w:b/>
                <w:bCs/>
                <w:szCs w:val="20"/>
              </w:rPr>
            </w:r>
          </w:p>
        </w:tc>
        <w:tc>
          <w:tcPr>
            <w:tcW w:w="3685"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spacing w:before="0" w:after="0"/>
              <w:rPr>
                <w:rFonts w:cs="Tahoma"/>
                <w:b/>
                <w:bCs/>
                <w:szCs w:val="20"/>
              </w:rPr>
            </w:pPr>
            <w:r>
              <w:rPr>
                <w:rFonts w:cs="Tahoma"/>
                <w:b/>
                <w:bCs/>
                <w:szCs w:val="20"/>
              </w:rPr>
            </w:r>
          </w:p>
        </w:tc>
        <w:tc>
          <w:tcPr>
            <w:tcW w:w="5139" w:type="dxa"/>
            <w:tcBorders>
              <w:top w:val="single" w:sz="8" w:space="0" w:color="4F81BD"/>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spacing w:before="0" w:after="0"/>
              <w:rPr>
                <w:rFonts w:cs="Tahoma"/>
                <w:b/>
                <w:bCs/>
                <w:szCs w:val="20"/>
              </w:rPr>
            </w:pPr>
            <w:r>
              <w:rPr>
                <w:rFonts w:cs="Tahoma"/>
                <w:b/>
                <w:bCs/>
                <w:szCs w:val="20"/>
              </w:rPr>
            </w:r>
          </w:p>
        </w:tc>
      </w:tr>
    </w:tbl>
    <w:p>
      <w:pPr>
        <w:pStyle w:val="Caption1"/>
        <w:rPr/>
      </w:pPr>
      <w:r>
        <w:rPr/>
        <w:t xml:space="preserve">Table </w:t>
      </w:r>
      <w:r>
        <w:rPr/>
        <w:fldChar w:fldCharType="begin"/>
      </w:r>
      <w:r>
        <w:instrText> SEQ """"Table"""" \*Arabic </w:instrText>
      </w:r>
      <w:r>
        <w:fldChar w:fldCharType="separate"/>
      </w:r>
      <w:r>
        <w:t>1</w:t>
      </w:r>
      <w:r>
        <w:fldChar w:fldCharType="end"/>
      </w:r>
      <w:r>
        <w:rPr/>
        <w:t>: Review History</w:t>
      </w:r>
    </w:p>
    <w:tbl>
      <w:tblPr>
        <w:jc w:val="left"/>
        <w:tblInd w:w="-29" w:type="dxa"/>
        <w:tblBorders>
          <w:top w:val="single" w:sz="8" w:space="0" w:color="4F81BD"/>
          <w:left w:val="single" w:sz="8" w:space="0" w:color="4F81BD"/>
          <w:bottom w:val="single" w:sz="8" w:space="0" w:color="4F81BD"/>
          <w:insideH w:val="single" w:sz="8" w:space="0" w:color="4F81BD"/>
          <w:right w:val="nil"/>
          <w:insideV w:val="nil"/>
        </w:tblBorders>
        <w:tblCellMar>
          <w:top w:w="0" w:type="dxa"/>
          <w:left w:w="77" w:type="dxa"/>
          <w:bottom w:w="0" w:type="dxa"/>
          <w:right w:w="108" w:type="dxa"/>
        </w:tblCellMar>
      </w:tblPr>
      <w:tblGrid>
        <w:gridCol w:w="647"/>
        <w:gridCol w:w="1258"/>
        <w:gridCol w:w="982"/>
        <w:gridCol w:w="3024"/>
        <w:gridCol w:w="2975"/>
        <w:gridCol w:w="868"/>
      </w:tblGrid>
      <w:tr>
        <w:trPr>
          <w:cantSplit w:val="false"/>
        </w:trPr>
        <w:tc>
          <w:tcPr>
            <w:tcW w:w="647" w:type="dxa"/>
            <w:tcBorders>
              <w:top w:val="single" w:sz="8" w:space="0" w:color="4F81BD"/>
              <w:left w:val="single" w:sz="8" w:space="0" w:color="4F81BD"/>
              <w:bottom w:val="single" w:sz="8" w:space="0" w:color="4F81BD"/>
              <w:insideH w:val="single" w:sz="8" w:space="0" w:color="4F81BD"/>
              <w:right w:val="nil"/>
              <w:insideV w:val="nil"/>
            </w:tcBorders>
            <w:shd w:fill="4F81BD" w:val="clear"/>
            <w:tcMar>
              <w:left w:w="77" w:type="dxa"/>
            </w:tcMar>
          </w:tcPr>
          <w:p>
            <w:pPr>
              <w:pStyle w:val="Normal"/>
              <w:spacing w:before="0" w:after="0"/>
              <w:rPr>
                <w:b w:val="false"/>
                <w:bCs/>
                <w:color w:val="FFFFFF"/>
              </w:rPr>
            </w:pPr>
            <w:r>
              <w:rPr>
                <w:b w:val="false"/>
                <w:bCs/>
                <w:color w:val="FFFFFF"/>
              </w:rPr>
              <w:t>ID</w:t>
            </w:r>
          </w:p>
        </w:tc>
        <w:tc>
          <w:tcPr>
            <w:tcW w:w="1258" w:type="dxa"/>
            <w:tcBorders>
              <w:top w:val="single" w:sz="8" w:space="0" w:color="4F81BD"/>
              <w:left w:val="nil"/>
              <w:bottom w:val="single" w:sz="8" w:space="0" w:color="4F81BD"/>
              <w:insideH w:val="single" w:sz="8" w:space="0" w:color="4F81BD"/>
              <w:right w:val="nil"/>
              <w:insideV w:val="nil"/>
            </w:tcBorders>
            <w:shd w:fill="4F81BD" w:val="clear"/>
            <w:tcMar>
              <w:left w:w="117" w:type="dxa"/>
            </w:tcMar>
          </w:tcPr>
          <w:p>
            <w:pPr>
              <w:pStyle w:val="Normal"/>
              <w:spacing w:before="0" w:after="0"/>
              <w:rPr>
                <w:b w:val="false"/>
                <w:bCs/>
                <w:color w:val="FFFFFF"/>
              </w:rPr>
            </w:pPr>
            <w:r>
              <w:rPr>
                <w:b w:val="false"/>
                <w:bCs/>
                <w:color w:val="FFFFFF"/>
              </w:rPr>
              <w:t xml:space="preserve">Date </w:t>
            </w:r>
          </w:p>
        </w:tc>
        <w:tc>
          <w:tcPr>
            <w:tcW w:w="982" w:type="dxa"/>
            <w:tcBorders>
              <w:top w:val="single" w:sz="8" w:space="0" w:color="4F81BD"/>
              <w:left w:val="nil"/>
              <w:bottom w:val="single" w:sz="8" w:space="0" w:color="4F81BD"/>
              <w:insideH w:val="single" w:sz="8" w:space="0" w:color="4F81BD"/>
              <w:right w:val="nil"/>
              <w:insideV w:val="nil"/>
            </w:tcBorders>
            <w:shd w:fill="4F81BD" w:val="clear"/>
            <w:tcMar>
              <w:left w:w="117" w:type="dxa"/>
            </w:tcMar>
          </w:tcPr>
          <w:p>
            <w:pPr>
              <w:pStyle w:val="Normal"/>
              <w:spacing w:before="0" w:after="0"/>
              <w:rPr>
                <w:b w:val="false"/>
                <w:bCs/>
                <w:color w:val="FFFFFF"/>
              </w:rPr>
            </w:pPr>
            <w:r>
              <w:rPr>
                <w:b w:val="false"/>
                <w:bCs/>
                <w:color w:val="FFFFFF"/>
              </w:rPr>
              <w:t>Reporter</w:t>
            </w:r>
          </w:p>
        </w:tc>
        <w:tc>
          <w:tcPr>
            <w:tcW w:w="3024" w:type="dxa"/>
            <w:tcBorders>
              <w:top w:val="single" w:sz="8" w:space="0" w:color="4F81BD"/>
              <w:left w:val="nil"/>
              <w:bottom w:val="single" w:sz="8" w:space="0" w:color="4F81BD"/>
              <w:insideH w:val="single" w:sz="8" w:space="0" w:color="4F81BD"/>
              <w:right w:val="nil"/>
              <w:insideV w:val="nil"/>
            </w:tcBorders>
            <w:shd w:fill="4F81BD" w:val="clear"/>
            <w:tcMar>
              <w:left w:w="117" w:type="dxa"/>
            </w:tcMar>
          </w:tcPr>
          <w:p>
            <w:pPr>
              <w:pStyle w:val="Normal"/>
              <w:spacing w:before="0" w:after="0"/>
              <w:rPr>
                <w:b w:val="false"/>
                <w:bCs/>
                <w:color w:val="FFFFFF"/>
              </w:rPr>
            </w:pPr>
            <w:r>
              <w:rPr>
                <w:b w:val="false"/>
                <w:bCs/>
                <w:color w:val="FFFFFF"/>
              </w:rPr>
              <w:t>Description</w:t>
            </w:r>
          </w:p>
        </w:tc>
        <w:tc>
          <w:tcPr>
            <w:tcW w:w="2975" w:type="dxa"/>
            <w:tcBorders>
              <w:top w:val="single" w:sz="8" w:space="0" w:color="4F81BD"/>
              <w:left w:val="nil"/>
              <w:bottom w:val="single" w:sz="8" w:space="0" w:color="4F81BD"/>
              <w:insideH w:val="single" w:sz="8" w:space="0" w:color="4F81BD"/>
              <w:right w:val="nil"/>
              <w:insideV w:val="nil"/>
            </w:tcBorders>
            <w:shd w:fill="4F81BD" w:val="clear"/>
            <w:tcMar>
              <w:left w:w="117" w:type="dxa"/>
            </w:tcMar>
          </w:tcPr>
          <w:p>
            <w:pPr>
              <w:pStyle w:val="Normal"/>
              <w:spacing w:before="0" w:after="0"/>
              <w:rPr>
                <w:b/>
                <w:bCs/>
                <w:color w:val="FFFFFF"/>
              </w:rPr>
            </w:pPr>
            <w:r>
              <w:rPr>
                <w:b/>
                <w:bCs/>
                <w:color w:val="FFFFFF"/>
              </w:rPr>
              <w:t>Resolution</w:t>
            </w:r>
          </w:p>
        </w:tc>
        <w:tc>
          <w:tcPr>
            <w:tcW w:w="868" w:type="dxa"/>
            <w:tcBorders>
              <w:top w:val="single" w:sz="8" w:space="0" w:color="4F81BD"/>
              <w:left w:val="nil"/>
              <w:bottom w:val="single" w:sz="8" w:space="0" w:color="4F81BD"/>
              <w:insideH w:val="single" w:sz="8" w:space="0" w:color="4F81BD"/>
              <w:right w:val="single" w:sz="8" w:space="0" w:color="4F81BD"/>
              <w:insideV w:val="single" w:sz="8" w:space="0" w:color="4F81BD"/>
            </w:tcBorders>
            <w:shd w:fill="4F81BD" w:val="clear"/>
            <w:tcMar>
              <w:left w:w="117" w:type="dxa"/>
            </w:tcMar>
          </w:tcPr>
          <w:p>
            <w:pPr>
              <w:pStyle w:val="Normal"/>
              <w:spacing w:before="0" w:after="0"/>
              <w:rPr>
                <w:b/>
                <w:bCs/>
                <w:color w:val="FFFFFF"/>
              </w:rPr>
            </w:pPr>
            <w:r>
              <w:rPr>
                <w:b/>
                <w:bCs/>
                <w:color w:val="FFFFFF"/>
              </w:rPr>
              <w:t>Status</w:t>
            </w:r>
          </w:p>
        </w:tc>
      </w:tr>
      <w:tr>
        <w:trPr>
          <w:cantSplit w:val="false"/>
        </w:trPr>
        <w:tc>
          <w:tcPr>
            <w:tcW w:w="647" w:type="dxa"/>
            <w:tcBorders>
              <w:top w:val="single" w:sz="8" w:space="0" w:color="4F81BD"/>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rPr>
                <w:b/>
                <w:bCs/>
              </w:rPr>
            </w:pPr>
            <w:r>
              <w:rPr>
                <w:b/>
                <w:bCs/>
              </w:rPr>
              <w:t>OP1</w:t>
            </w:r>
          </w:p>
        </w:tc>
        <w:tc>
          <w:tcPr>
            <w:tcW w:w="1258" w:type="dxa"/>
            <w:tcBorders>
              <w:top w:val="single" w:sz="8" w:space="0" w:color="4F81BD"/>
              <w:left w:val="single" w:sz="6" w:space="0" w:color="4F81BD"/>
              <w:bottom w:val="single" w:sz="8" w:space="0" w:color="4F81BD"/>
              <w:insideH w:val="single" w:sz="8" w:space="0" w:color="4F81BD"/>
              <w:right w:val="single" w:sz="6" w:space="0" w:color="4F81BD"/>
              <w:insideV w:val="single" w:sz="6" w:space="0" w:color="4F81BD"/>
            </w:tcBorders>
            <w:shd w:fill="FFFFFF" w:val="clear"/>
            <w:tcMar>
              <w:left w:w="85" w:type="dxa"/>
            </w:tcMar>
          </w:tcPr>
          <w:p>
            <w:pPr>
              <w:pStyle w:val="Normal"/>
              <w:rPr/>
            </w:pPr>
            <w:r>
              <w:rPr/>
            </w:r>
          </w:p>
        </w:tc>
        <w:tc>
          <w:tcPr>
            <w:tcW w:w="982" w:type="dxa"/>
            <w:tcBorders>
              <w:top w:val="single" w:sz="8" w:space="0" w:color="4F81BD"/>
              <w:left w:val="single" w:sz="6" w:space="0" w:color="4F81BD"/>
              <w:bottom w:val="single" w:sz="8" w:space="0" w:color="4F81BD"/>
              <w:insideH w:val="single" w:sz="8" w:space="0" w:color="4F81BD"/>
              <w:right w:val="single" w:sz="6" w:space="0" w:color="4F81BD"/>
              <w:insideV w:val="single" w:sz="6" w:space="0" w:color="4F81BD"/>
            </w:tcBorders>
            <w:shd w:fill="FFFFFF" w:val="clear"/>
            <w:tcMar>
              <w:left w:w="85" w:type="dxa"/>
            </w:tcMar>
          </w:tcPr>
          <w:p>
            <w:pPr>
              <w:pStyle w:val="Normal"/>
              <w:rPr/>
            </w:pPr>
            <w:r>
              <w:rPr/>
            </w:r>
          </w:p>
        </w:tc>
        <w:tc>
          <w:tcPr>
            <w:tcW w:w="3024"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pPr>
            <w:r>
              <w:rPr/>
            </w:r>
          </w:p>
        </w:tc>
        <w:tc>
          <w:tcPr>
            <w:tcW w:w="2975"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pPr>
            <w:r>
              <w:rPr/>
            </w:r>
          </w:p>
        </w:tc>
        <w:tc>
          <w:tcPr>
            <w:tcW w:w="868"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pPr>
            <w:r>
              <w:rPr/>
              <w:t>OPEN</w:t>
            </w:r>
          </w:p>
        </w:tc>
      </w:tr>
      <w:tr>
        <w:trPr>
          <w:cantSplit w:val="false"/>
        </w:trPr>
        <w:tc>
          <w:tcPr>
            <w:tcW w:w="647" w:type="dxa"/>
            <w:tcBorders>
              <w:top w:val="nil"/>
              <w:left w:val="single" w:sz="8" w:space="0" w:color="4F81BD"/>
              <w:bottom w:val="nil"/>
              <w:insideH w:val="nil"/>
              <w:right w:val="single" w:sz="6" w:space="0" w:color="4F81BD"/>
              <w:insideV w:val="single" w:sz="6" w:space="0" w:color="4F81BD"/>
            </w:tcBorders>
            <w:shd w:fill="FFFFFF" w:val="clear"/>
            <w:tcMar>
              <w:left w:w="77" w:type="dxa"/>
            </w:tcMar>
          </w:tcPr>
          <w:p>
            <w:pPr>
              <w:pStyle w:val="Normal"/>
              <w:rPr>
                <w:b/>
                <w:bCs/>
              </w:rPr>
            </w:pPr>
            <w:r>
              <w:rPr>
                <w:b/>
                <w:bCs/>
              </w:rPr>
            </w:r>
          </w:p>
        </w:tc>
        <w:tc>
          <w:tcPr>
            <w:tcW w:w="1258" w:type="dxa"/>
            <w:tcBorders>
              <w:top w:val="nil"/>
              <w:left w:val="single" w:sz="6" w:space="0" w:color="4F81BD"/>
              <w:bottom w:val="nil"/>
              <w:insideH w:val="nil"/>
              <w:right w:val="single" w:sz="6" w:space="0" w:color="4F81BD"/>
              <w:insideV w:val="single" w:sz="6" w:space="0" w:color="4F81BD"/>
            </w:tcBorders>
            <w:shd w:fill="FFFFFF" w:val="clear"/>
            <w:tcMar>
              <w:left w:w="85" w:type="dxa"/>
            </w:tcMar>
          </w:tcPr>
          <w:p>
            <w:pPr>
              <w:pStyle w:val="Normal"/>
              <w:rPr/>
            </w:pPr>
            <w:r>
              <w:rPr/>
            </w:r>
          </w:p>
        </w:tc>
        <w:tc>
          <w:tcPr>
            <w:tcW w:w="982" w:type="dxa"/>
            <w:tcBorders>
              <w:top w:val="nil"/>
              <w:left w:val="single" w:sz="6" w:space="0" w:color="4F81BD"/>
              <w:bottom w:val="nil"/>
              <w:insideH w:val="nil"/>
              <w:right w:val="single" w:sz="6" w:space="0" w:color="4F81BD"/>
              <w:insideV w:val="single" w:sz="6" w:space="0" w:color="4F81BD"/>
            </w:tcBorders>
            <w:shd w:fill="FFFFFF" w:val="clear"/>
            <w:tcMar>
              <w:left w:w="85" w:type="dxa"/>
            </w:tcMar>
          </w:tcPr>
          <w:p>
            <w:pPr>
              <w:pStyle w:val="Normal"/>
              <w:rPr/>
            </w:pPr>
            <w:r>
              <w:rPr/>
            </w:r>
          </w:p>
        </w:tc>
        <w:tc>
          <w:tcPr>
            <w:tcW w:w="3024" w:type="dxa"/>
            <w:tcBorders>
              <w:top w:val="nil"/>
              <w:left w:val="single" w:sz="6" w:space="0" w:color="4F81BD"/>
              <w:bottom w:val="nil"/>
              <w:insideH w:val="nil"/>
              <w:right w:val="nil"/>
              <w:insideV w:val="nil"/>
            </w:tcBorders>
            <w:shd w:fill="FFFFFF" w:val="clear"/>
            <w:tcMar>
              <w:left w:w="85" w:type="dxa"/>
            </w:tcMar>
          </w:tcPr>
          <w:p>
            <w:pPr>
              <w:pStyle w:val="Normal"/>
              <w:rPr/>
            </w:pPr>
            <w:r>
              <w:rPr/>
            </w:r>
          </w:p>
        </w:tc>
        <w:tc>
          <w:tcPr>
            <w:tcW w:w="2975" w:type="dxa"/>
            <w:tcBorders>
              <w:top w:val="nil"/>
              <w:left w:val="single" w:sz="6" w:space="0" w:color="4F81BD"/>
              <w:bottom w:val="nil"/>
              <w:insideH w:val="nil"/>
              <w:right w:val="nil"/>
              <w:insideV w:val="nil"/>
            </w:tcBorders>
            <w:shd w:fill="FFFFFF" w:val="clear"/>
            <w:tcMar>
              <w:left w:w="85" w:type="dxa"/>
            </w:tcMar>
          </w:tcPr>
          <w:p>
            <w:pPr>
              <w:pStyle w:val="Normal"/>
              <w:rPr/>
            </w:pPr>
            <w:r>
              <w:rPr/>
            </w:r>
          </w:p>
        </w:tc>
        <w:tc>
          <w:tcPr>
            <w:tcW w:w="868" w:type="dxa"/>
            <w:tcBorders>
              <w:top w:val="nil"/>
              <w:left w:val="single" w:sz="6" w:space="0" w:color="4F81BD"/>
              <w:bottom w:val="nil"/>
              <w:insideH w:val="nil"/>
              <w:right w:val="single" w:sz="8" w:space="0" w:color="4F81BD"/>
              <w:insideV w:val="single" w:sz="8" w:space="0" w:color="4F81BD"/>
            </w:tcBorders>
            <w:shd w:fill="FFFFFF" w:val="clear"/>
            <w:tcMar>
              <w:left w:w="85" w:type="dxa"/>
            </w:tcMar>
          </w:tcPr>
          <w:p>
            <w:pPr>
              <w:pStyle w:val="Normal"/>
              <w:rPr/>
            </w:pPr>
            <w:r>
              <w:rPr/>
            </w:r>
          </w:p>
        </w:tc>
      </w:tr>
      <w:tr>
        <w:trPr>
          <w:cantSplit w:val="false"/>
        </w:trPr>
        <w:tc>
          <w:tcPr>
            <w:tcW w:w="647" w:type="dxa"/>
            <w:tcBorders>
              <w:top w:val="single" w:sz="8" w:space="0" w:color="4F81BD"/>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rPr>
                <w:b/>
                <w:bCs/>
              </w:rPr>
            </w:pPr>
            <w:r>
              <w:rPr>
                <w:b/>
                <w:bCs/>
              </w:rPr>
            </w:r>
          </w:p>
        </w:tc>
        <w:tc>
          <w:tcPr>
            <w:tcW w:w="1258" w:type="dxa"/>
            <w:tcBorders>
              <w:top w:val="single" w:sz="8" w:space="0" w:color="4F81BD"/>
              <w:left w:val="single" w:sz="6" w:space="0" w:color="4F81BD"/>
              <w:bottom w:val="single" w:sz="8" w:space="0" w:color="4F81BD"/>
              <w:insideH w:val="single" w:sz="8" w:space="0" w:color="4F81BD"/>
              <w:right w:val="single" w:sz="6" w:space="0" w:color="4F81BD"/>
              <w:insideV w:val="single" w:sz="6" w:space="0" w:color="4F81BD"/>
            </w:tcBorders>
            <w:shd w:fill="FFFFFF" w:val="clear"/>
            <w:tcMar>
              <w:left w:w="85" w:type="dxa"/>
            </w:tcMar>
          </w:tcPr>
          <w:p>
            <w:pPr>
              <w:pStyle w:val="Normal"/>
              <w:rPr/>
            </w:pPr>
            <w:r>
              <w:rPr/>
            </w:r>
          </w:p>
        </w:tc>
        <w:tc>
          <w:tcPr>
            <w:tcW w:w="982" w:type="dxa"/>
            <w:tcBorders>
              <w:top w:val="single" w:sz="8" w:space="0" w:color="4F81BD"/>
              <w:left w:val="single" w:sz="6" w:space="0" w:color="4F81BD"/>
              <w:bottom w:val="single" w:sz="8" w:space="0" w:color="4F81BD"/>
              <w:insideH w:val="single" w:sz="8" w:space="0" w:color="4F81BD"/>
              <w:right w:val="single" w:sz="6" w:space="0" w:color="4F81BD"/>
              <w:insideV w:val="single" w:sz="6" w:space="0" w:color="4F81BD"/>
            </w:tcBorders>
            <w:shd w:fill="FFFFFF" w:val="clear"/>
            <w:tcMar>
              <w:left w:w="85" w:type="dxa"/>
            </w:tcMar>
          </w:tcPr>
          <w:p>
            <w:pPr>
              <w:pStyle w:val="Normal"/>
              <w:rPr/>
            </w:pPr>
            <w:r>
              <w:rPr/>
            </w:r>
          </w:p>
        </w:tc>
        <w:tc>
          <w:tcPr>
            <w:tcW w:w="3024"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pPr>
            <w:r>
              <w:rPr/>
            </w:r>
          </w:p>
        </w:tc>
        <w:tc>
          <w:tcPr>
            <w:tcW w:w="2975"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pPr>
            <w:r>
              <w:rPr/>
            </w:r>
          </w:p>
        </w:tc>
        <w:tc>
          <w:tcPr>
            <w:tcW w:w="868" w:type="dxa"/>
            <w:tcBorders>
              <w:top w:val="single" w:sz="8" w:space="0" w:color="4F81BD"/>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pPr>
            <w:r>
              <w:rPr/>
            </w:r>
          </w:p>
        </w:tc>
      </w:tr>
      <w:tr>
        <w:trPr>
          <w:cantSplit w:val="false"/>
        </w:trPr>
        <w:tc>
          <w:tcPr>
            <w:tcW w:w="647" w:type="dxa"/>
            <w:tcBorders>
              <w:top w:val="nil"/>
              <w:left w:val="single" w:sz="8" w:space="0" w:color="4F81BD"/>
              <w:bottom w:val="single" w:sz="8" w:space="0" w:color="4F81BD"/>
              <w:insideH w:val="single" w:sz="8" w:space="0" w:color="4F81BD"/>
              <w:right w:val="single" w:sz="6" w:space="0" w:color="4F81BD"/>
              <w:insideV w:val="single" w:sz="6" w:space="0" w:color="4F81BD"/>
            </w:tcBorders>
            <w:shd w:fill="FFFFFF" w:val="clear"/>
            <w:tcMar>
              <w:left w:w="77" w:type="dxa"/>
            </w:tcMar>
          </w:tcPr>
          <w:p>
            <w:pPr>
              <w:pStyle w:val="Normal"/>
              <w:rPr>
                <w:b/>
                <w:bCs/>
              </w:rPr>
            </w:pPr>
            <w:r>
              <w:rPr>
                <w:b/>
                <w:bCs/>
              </w:rPr>
            </w:r>
          </w:p>
        </w:tc>
        <w:tc>
          <w:tcPr>
            <w:tcW w:w="1258" w:type="dxa"/>
            <w:tcBorders>
              <w:top w:val="nil"/>
              <w:left w:val="single" w:sz="6" w:space="0" w:color="4F81BD"/>
              <w:bottom w:val="single" w:sz="8" w:space="0" w:color="4F81BD"/>
              <w:insideH w:val="single" w:sz="8" w:space="0" w:color="4F81BD"/>
              <w:right w:val="single" w:sz="6" w:space="0" w:color="4F81BD"/>
              <w:insideV w:val="single" w:sz="6" w:space="0" w:color="4F81BD"/>
            </w:tcBorders>
            <w:shd w:fill="FFFFFF" w:val="clear"/>
            <w:tcMar>
              <w:left w:w="85" w:type="dxa"/>
            </w:tcMar>
          </w:tcPr>
          <w:p>
            <w:pPr>
              <w:pStyle w:val="Normal"/>
              <w:rPr/>
            </w:pPr>
            <w:r>
              <w:rPr/>
            </w:r>
          </w:p>
        </w:tc>
        <w:tc>
          <w:tcPr>
            <w:tcW w:w="982" w:type="dxa"/>
            <w:tcBorders>
              <w:top w:val="nil"/>
              <w:left w:val="single" w:sz="6" w:space="0" w:color="4F81BD"/>
              <w:bottom w:val="single" w:sz="8" w:space="0" w:color="4F81BD"/>
              <w:insideH w:val="single" w:sz="8" w:space="0" w:color="4F81BD"/>
              <w:right w:val="single" w:sz="6" w:space="0" w:color="4F81BD"/>
              <w:insideV w:val="single" w:sz="6" w:space="0" w:color="4F81BD"/>
            </w:tcBorders>
            <w:shd w:fill="FFFFFF" w:val="clear"/>
            <w:tcMar>
              <w:left w:w="85" w:type="dxa"/>
            </w:tcMar>
          </w:tcPr>
          <w:p>
            <w:pPr>
              <w:pStyle w:val="Normal"/>
              <w:rPr/>
            </w:pPr>
            <w:r>
              <w:rPr/>
            </w:r>
          </w:p>
        </w:tc>
        <w:tc>
          <w:tcPr>
            <w:tcW w:w="3024" w:type="dxa"/>
            <w:tcBorders>
              <w:top w:val="nil"/>
              <w:left w:val="single" w:sz="6" w:space="0" w:color="4F81BD"/>
              <w:bottom w:val="single" w:sz="8" w:space="0" w:color="4F81BD"/>
              <w:insideH w:val="single" w:sz="8" w:space="0" w:color="4F81BD"/>
              <w:right w:val="nil"/>
              <w:insideV w:val="nil"/>
            </w:tcBorders>
            <w:shd w:fill="FFFFFF" w:val="clear"/>
            <w:tcMar>
              <w:left w:w="85" w:type="dxa"/>
            </w:tcMar>
          </w:tcPr>
          <w:p>
            <w:pPr>
              <w:pStyle w:val="Normal"/>
              <w:rPr/>
            </w:pPr>
            <w:r>
              <w:rPr/>
            </w:r>
          </w:p>
        </w:tc>
        <w:tc>
          <w:tcPr>
            <w:tcW w:w="2975" w:type="dxa"/>
            <w:tcBorders>
              <w:top w:val="nil"/>
              <w:left w:val="single" w:sz="6" w:space="0" w:color="4F81BD"/>
              <w:bottom w:val="single" w:sz="8" w:space="0" w:color="4F81BD"/>
              <w:insideH w:val="single" w:sz="8" w:space="0" w:color="4F81BD"/>
              <w:right w:val="nil"/>
              <w:insideV w:val="nil"/>
            </w:tcBorders>
            <w:shd w:fill="FFFFFF" w:val="clear"/>
            <w:tcMar>
              <w:left w:w="85" w:type="dxa"/>
            </w:tcMar>
          </w:tcPr>
          <w:p>
            <w:pPr>
              <w:pStyle w:val="Normal"/>
              <w:rPr/>
            </w:pPr>
            <w:r>
              <w:rPr/>
            </w:r>
          </w:p>
        </w:tc>
        <w:tc>
          <w:tcPr>
            <w:tcW w:w="868" w:type="dxa"/>
            <w:tcBorders>
              <w:top w:val="nil"/>
              <w:left w:val="single" w:sz="6" w:space="0" w:color="4F81BD"/>
              <w:bottom w:val="single" w:sz="8" w:space="0" w:color="4F81BD"/>
              <w:insideH w:val="single" w:sz="8" w:space="0" w:color="4F81BD"/>
              <w:right w:val="single" w:sz="8" w:space="0" w:color="4F81BD"/>
              <w:insideV w:val="single" w:sz="8" w:space="0" w:color="4F81BD"/>
            </w:tcBorders>
            <w:shd w:fill="FFFFFF" w:val="clear"/>
            <w:tcMar>
              <w:left w:w="85" w:type="dxa"/>
            </w:tcMar>
          </w:tcPr>
          <w:p>
            <w:pPr>
              <w:pStyle w:val="Normal"/>
              <w:rPr/>
            </w:pPr>
            <w:r>
              <w:rPr/>
            </w:r>
          </w:p>
        </w:tc>
      </w:tr>
    </w:tbl>
    <w:p>
      <w:pPr>
        <w:pStyle w:val="Caption1"/>
        <w:rPr/>
      </w:pPr>
      <w:r>
        <w:rPr/>
        <w:t xml:space="preserve">Table </w:t>
      </w:r>
      <w:r>
        <w:rPr/>
        <w:fldChar w:fldCharType="begin"/>
      </w:r>
      <w:r>
        <w:instrText> SEQ """"Table"""" \*Arabic </w:instrText>
      </w:r>
      <w:r>
        <w:fldChar w:fldCharType="separate"/>
      </w:r>
      <w:r>
        <w:t>1</w:t>
      </w:r>
      <w:r>
        <w:fldChar w:fldCharType="end"/>
      </w:r>
      <w:r>
        <w:rPr/>
        <w:t>: List of Open Points</w:t>
      </w:r>
    </w:p>
    <w:p>
      <w:pPr>
        <w:pStyle w:val="Heading1"/>
        <w:numPr>
          <w:ilvl w:val="0"/>
          <w:numId w:val="1"/>
        </w:numPr>
        <w:rPr/>
      </w:pPr>
      <w:r>
        <w:rPr/>
        <w:t>Overview</w:t>
      </w:r>
    </w:p>
    <w:p>
      <w:pPr>
        <w:pStyle w:val="Normal"/>
        <w:rPr/>
      </w:pPr>
      <w:r>
        <w:rPr/>
      </w:r>
    </w:p>
    <w:p>
      <w:pPr>
        <w:pStyle w:val="Normal"/>
        <w:rPr/>
      </w:pPr>
      <w:r>
        <w:rPr/>
        <w:t>The business reference that the bank wold like, is generated, using a sequence, per day, and the date. This data must be available for the reporting. The structure of the business reference is referred to in the referenced documents, listed above.</w:t>
      </w:r>
    </w:p>
    <w:p>
      <w:pPr>
        <w:pStyle w:val="Heading2"/>
        <w:numPr>
          <w:ilvl w:val="1"/>
          <w:numId w:val="1"/>
        </w:numPr>
        <w:rPr/>
      </w:pPr>
      <w:r>
        <w:rPr/>
        <w:t>Purpose</w:t>
      </w:r>
    </w:p>
    <w:p>
      <w:pPr>
        <w:pStyle w:val="Normal"/>
        <w:rPr/>
      </w:pPr>
      <w:r>
        <w:rPr/>
        <w:t xml:space="preserve">This document is to finalize the logic and functionality required by the bank as the logic and timing has some points of </w:t>
      </w:r>
      <w:r>
        <w:rPr/>
        <w:t>interest</w:t>
      </w:r>
      <w:r>
        <w:rPr/>
        <w:t>, one of which is the date that is used to generate the business reference.</w:t>
      </w:r>
    </w:p>
    <w:p>
      <w:pPr>
        <w:pStyle w:val="Heading2"/>
        <w:numPr>
          <w:ilvl w:val="1"/>
          <w:numId w:val="1"/>
        </w:numPr>
        <w:rPr/>
      </w:pPr>
      <w:r>
        <w:rPr/>
        <w:t>Scope</w:t>
      </w:r>
    </w:p>
    <w:p>
      <w:pPr>
        <w:pStyle w:val="Normal"/>
        <w:rPr/>
      </w:pPr>
      <w:r>
        <w:rPr/>
        <w:t xml:space="preserve">An MDB is triggered by UC4 on the bank side, COBAXTDailySequencerRollerMDBean. This MDB updates the date in the database that is used for generating the business reference. The </w:t>
      </w:r>
      <w:bookmarkStart w:id="3" w:name="__DdeLink__1538_1317245172"/>
      <w:r>
        <w:rPr/>
        <w:t>AssignBusinessReference</w:t>
      </w:r>
      <w:bookmarkEnd w:id="3"/>
      <w:r>
        <w:rPr/>
        <w:t xml:space="preserve"> needs to be updated, to use the date persisted in the database rather than use the business calendar for the date to be used in the generation of the business reference. A message is put on the de-warehousing queue to trigger the de-warehousing.</w:t>
      </w:r>
    </w:p>
    <w:p>
      <w:pPr>
        <w:pStyle w:val="Heading2"/>
        <w:numPr>
          <w:ilvl w:val="1"/>
          <w:numId w:val="1"/>
        </w:numPr>
        <w:ind w:left="578" w:right="0" w:hanging="576"/>
        <w:rPr/>
      </w:pPr>
      <w:r>
        <w:rPr/>
        <w:t>Existing Situation</w:t>
      </w:r>
    </w:p>
    <w:p>
      <w:pPr>
        <w:pStyle w:val="Normal"/>
        <w:widowControl/>
        <w:bidi w:val="0"/>
        <w:ind w:left="0" w:right="0" w:hanging="0"/>
        <w:jc w:val="left"/>
        <w:rPr/>
      </w:pPr>
      <w:r>
        <w:rPr/>
        <w:t>Currently the date used in the generation of the business reference is the one from the calendar. The new logic will avoid that there are duplicate business references, and that the de-warehousing can be called multiple times per day without affecting the date that is used for the business reference.</w:t>
      </w:r>
    </w:p>
    <w:p>
      <w:pPr>
        <w:pStyle w:val="Heading2"/>
        <w:numPr>
          <w:ilvl w:val="1"/>
          <w:numId w:val="1"/>
        </w:numPr>
        <w:rPr>
          <w:lang w:val="en-US"/>
        </w:rPr>
      </w:pPr>
      <w:bookmarkStart w:id="4" w:name="_Ref364780784"/>
      <w:bookmarkEnd w:id="4"/>
      <w:r>
        <w:rPr>
          <w:lang w:val="en-US"/>
        </w:rPr>
        <w:t>Target Situation</w:t>
      </w:r>
    </w:p>
    <w:p>
      <w:pPr>
        <w:pStyle w:val="Normal"/>
        <w:rPr>
          <w:lang w:val="en-US"/>
        </w:rPr>
      </w:pPr>
      <w:r>
        <w:rPr>
          <w:lang w:val="en-US"/>
        </w:rPr>
        <w:t>The date used for generating the business reference comes from the database, and we reset this with a JMS trigger. The date and the sequence can be reset once per day, but the de-warehousing service can be called several times a day.</w:t>
      </w:r>
    </w:p>
    <w:p>
      <w:pPr>
        <w:pStyle w:val="Heading1"/>
        <w:numPr>
          <w:ilvl w:val="0"/>
          <w:numId w:val="1"/>
        </w:numPr>
        <w:rPr>
          <w:lang w:val="en-US"/>
        </w:rPr>
      </w:pPr>
      <w:r>
        <w:rPr>
          <w:lang w:val="en-US"/>
        </w:rPr>
        <w:t>Business View</w:t>
      </w:r>
    </w:p>
    <w:p>
      <w:pPr>
        <w:pStyle w:val="Normal"/>
        <w:rPr>
          <w:lang w:val="en-US"/>
        </w:rPr>
      </w:pPr>
      <w:r>
        <w:rPr>
          <w:lang w:val="en-US"/>
        </w:rPr>
        <w:t>This change in the logic, to put the date in the database for the business reference, will ensure that the business reference is always unique, and confirms to the request of the bank.</w:t>
      </w:r>
    </w:p>
    <w:p>
      <w:pPr>
        <w:pStyle w:val="Heading2"/>
        <w:numPr>
          <w:ilvl w:val="1"/>
          <w:numId w:val="1"/>
        </w:numPr>
        <w:rPr/>
      </w:pPr>
      <w:r>
        <w:rPr/>
        <w:t>Functional Description</w:t>
      </w:r>
    </w:p>
    <w:p>
      <w:pPr>
        <w:pStyle w:val="Normal"/>
        <w:rPr/>
      </w:pPr>
      <w:r>
        <w:rPr/>
        <w:t>A date is put in the database, and updated when the MDB is triggered. If the date in the database is not equal to the next business day then the next business day is used to update the date in the database, and the sequence is reset to 1. If the date in the database is already the next business day then there is no date update and no sequence reset.</w:t>
      </w:r>
    </w:p>
    <w:p>
      <w:pPr>
        <w:pStyle w:val="Normal"/>
        <w:rPr/>
      </w:pPr>
      <w:r>
        <w:rPr/>
      </w:r>
    </w:p>
    <w:p>
      <w:pPr>
        <w:pStyle w:val="Normal"/>
        <w:rPr/>
      </w:pPr>
      <w:r>
        <w:rPr/>
        <w:t>The de-warehousing is always called regardless of the date.</w:t>
      </w:r>
    </w:p>
    <w:p>
      <w:pPr>
        <w:pStyle w:val="Normal"/>
        <w:rPr/>
      </w:pPr>
      <w:r>
        <w:rPr/>
      </w:r>
    </w:p>
    <w:p>
      <w:pPr>
        <w:pStyle w:val="Normal"/>
        <w:rPr/>
      </w:pPr>
      <w:r>
        <w:rPr/>
        <w:t>The timing logic is duplicated from the Jira here as requested.</w:t>
      </w:r>
    </w:p>
    <w:p>
      <w:pPr>
        <w:pStyle w:val="Normal"/>
        <w:rPr/>
      </w:pPr>
      <w:r>
        <w:rPr/>
      </w:r>
    </w:p>
    <w:p>
      <w:pPr>
        <w:pStyle w:val="TextBody"/>
        <w:rPr/>
      </w:pPr>
      <w:r>
        <w:rPr/>
        <w:t>Day zero is 02-01-2015, next business day(n + 1) is 05-01-2015:</w:t>
        <w:br/>
        <w:t>1) Before cut off &amp; before trigger(default)</w:t>
        <w:br/>
        <w:t>Result:</w:t>
        <w:br/>
        <w:t>Processing dates will be 02-01-2015</w:t>
        <w:br/>
        <w:t>Business reference date 02-01-2015</w:t>
      </w:r>
    </w:p>
    <w:p>
      <w:pPr>
        <w:pStyle w:val="TextBody"/>
        <w:rPr/>
      </w:pPr>
      <w:r>
        <w:rPr/>
        <w:t>Important, means that we DO NOT change the business reference for instructions that are warehoused between the cut off and the trigger</w:t>
        <w:br/>
        <w:t>2) After cut off &amp; before trigger</w:t>
        <w:br/>
        <w:t>Result:</w:t>
        <w:br/>
        <w:t>Processing dates will be 02-01-2015</w:t>
        <w:br/>
        <w:t>Business reference date 05-01-2015</w:t>
      </w:r>
    </w:p>
    <w:p>
      <w:pPr>
        <w:pStyle w:val="TextBody"/>
        <w:rPr/>
      </w:pPr>
      <w:r>
        <w:rPr/>
        <w:t>3) After cut off &amp; after trigger &amp; before 12:00</w:t>
        <w:br/>
        <w:t>Result:</w:t>
        <w:br/>
        <w:t>Processing dates will be 02-01-2015</w:t>
        <w:br/>
        <w:t>Business reference date 05-01-2015</w:t>
      </w:r>
    </w:p>
    <w:p>
      <w:pPr>
        <w:pStyle w:val="TextBody"/>
        <w:rPr/>
      </w:pPr>
      <w:r>
        <w:rPr/>
        <w:t>4) Trigger at 3:00 pm cut off at 6:00 pm (edge case)</w:t>
        <w:br/>
        <w:t>Result:</w:t>
        <w:br/>
        <w:t>Processing dates will be 05-01-2015</w:t>
        <w:br/>
        <w:t>Business reference date 02-01-2015</w:t>
      </w:r>
    </w:p>
    <w:p>
      <w:pPr>
        <w:pStyle w:val="Heading2"/>
        <w:numPr>
          <w:ilvl w:val="1"/>
          <w:numId w:val="1"/>
        </w:numPr>
        <w:rPr/>
      </w:pPr>
      <w:r>
        <w:rPr/>
        <w:t>Business Constraints and considerations</w:t>
      </w:r>
    </w:p>
    <w:p>
      <w:pPr>
        <w:pStyle w:val="Normal"/>
        <w:rPr/>
      </w:pPr>
      <w:r>
        <w:rPr/>
        <w:t>N/A</w:t>
      </w:r>
    </w:p>
    <w:p>
      <w:pPr>
        <w:pStyle w:val="Heading2"/>
        <w:numPr>
          <w:ilvl w:val="1"/>
          <w:numId w:val="1"/>
        </w:numPr>
        <w:rPr/>
      </w:pPr>
      <w:bookmarkStart w:id="5" w:name="_Ref372298055"/>
      <w:bookmarkEnd w:id="5"/>
      <w:r>
        <w:rPr/>
        <w:t>Global Functions Description</w:t>
      </w:r>
    </w:p>
    <w:p>
      <w:pPr>
        <w:pStyle w:val="Normal"/>
        <w:rPr>
          <w:lang w:val="en-US"/>
        </w:rPr>
      </w:pPr>
      <w:r>
        <w:rPr>
          <w:lang w:val="en-US"/>
        </w:rPr>
        <w:t>* COBAXTDailySequencerRollerMDBean – persists the business reference date in the database</w:t>
      </w:r>
    </w:p>
    <w:p>
      <w:pPr>
        <w:pStyle w:val="Normal"/>
        <w:rPr>
          <w:lang w:val="en-US"/>
        </w:rPr>
      </w:pPr>
      <w:r>
        <w:rPr>
          <w:lang w:val="en-US"/>
        </w:rPr>
        <w:t>* AssignBusinessReference – creates a business reference for transactions, using the date and a sequence, conforming to a particular format</w:t>
      </w:r>
    </w:p>
    <w:p>
      <w:pPr>
        <w:pStyle w:val="Normal"/>
        <w:rPr>
          <w:lang w:val="en-US"/>
        </w:rPr>
      </w:pPr>
      <w:r>
        <w:rPr>
          <w:lang w:val="en-US"/>
        </w:rPr>
        <w:t>* De-warehousing queue – accesses the message deliverer to post a message on the queue</w:t>
      </w:r>
    </w:p>
    <w:p>
      <w:pPr>
        <w:pStyle w:val="Heading2"/>
        <w:numPr>
          <w:ilvl w:val="1"/>
          <w:numId w:val="1"/>
        </w:numPr>
        <w:rPr/>
      </w:pPr>
      <w:r>
        <w:rPr/>
        <w:t>Functionality Components Mapping</w:t>
      </w:r>
    </w:p>
    <w:p>
      <w:pPr>
        <w:pStyle w:val="Normal"/>
        <w:rPr/>
      </w:pPr>
      <w:r>
        <w:rPr/>
        <w:t>N/A</w:t>
      </w:r>
    </w:p>
    <w:p>
      <w:pPr>
        <w:pStyle w:val="Normal"/>
        <w:rPr/>
      </w:pPr>
      <w:r>
        <w:rPr/>
      </w:r>
    </w:p>
    <w:p>
      <w:pPr>
        <w:pStyle w:val="Heading1"/>
        <w:numPr>
          <w:ilvl w:val="0"/>
          <w:numId w:val="1"/>
        </w:numPr>
        <w:rPr/>
      </w:pPr>
      <w:r>
        <w:rPr/>
        <w:t>Software Model</w:t>
      </w:r>
    </w:p>
    <w:p>
      <w:pPr>
        <w:pStyle w:val="Heading2"/>
        <w:numPr>
          <w:ilvl w:val="1"/>
          <w:numId w:val="1"/>
        </w:numPr>
        <w:rPr/>
      </w:pPr>
      <w:r>
        <w:rPr/>
        <w:t>Non Functional Requirements and Technical Constraints</w:t>
      </w:r>
    </w:p>
    <w:tbl>
      <w:tblPr>
        <w:jc w:val="left"/>
        <w:tblInd w:w="-29" w:type="dxa"/>
        <w:tblBorders>
          <w:top w:val="single" w:sz="8" w:space="0" w:color="4F81BD"/>
          <w:left w:val="single" w:sz="8" w:space="0" w:color="4F81BD"/>
          <w:bottom w:val="single" w:sz="6" w:space="0" w:color="4F81BD"/>
          <w:insideH w:val="single" w:sz="6" w:space="0" w:color="4F81BD"/>
          <w:right w:val="single" w:sz="6" w:space="0" w:color="4F81BD"/>
          <w:insideV w:val="single" w:sz="6" w:space="0" w:color="4F81BD"/>
        </w:tblBorders>
        <w:tblCellMar>
          <w:top w:w="0" w:type="dxa"/>
          <w:left w:w="77" w:type="dxa"/>
          <w:bottom w:w="0" w:type="dxa"/>
          <w:right w:w="108" w:type="dxa"/>
        </w:tblCellMar>
      </w:tblPr>
      <w:tblGrid>
        <w:gridCol w:w="2090"/>
        <w:gridCol w:w="7662"/>
      </w:tblGrid>
      <w:tr>
        <w:trPr>
          <w:cantSplit w:val="false"/>
        </w:trPr>
        <w:tc>
          <w:tcPr>
            <w:tcW w:w="2090" w:type="dxa"/>
            <w:tcBorders>
              <w:top w:val="single" w:sz="8" w:space="0" w:color="4F81BD"/>
              <w:left w:val="single" w:sz="8" w:space="0" w:color="4F81BD"/>
              <w:bottom w:val="single" w:sz="6" w:space="0" w:color="4F81BD"/>
              <w:insideH w:val="single" w:sz="6" w:space="0" w:color="4F81BD"/>
              <w:right w:val="single" w:sz="6" w:space="0" w:color="4F81BD"/>
              <w:insideV w:val="single" w:sz="6" w:space="0" w:color="4F81BD"/>
            </w:tcBorders>
            <w:shd w:fill="4F81BD" w:val="clear"/>
            <w:tcMar>
              <w:left w:w="77" w:type="dxa"/>
            </w:tcMar>
          </w:tcPr>
          <w:p>
            <w:pPr>
              <w:pStyle w:val="Normal"/>
              <w:spacing w:before="0" w:after="0"/>
              <w:rPr>
                <w:b/>
                <w:bCs/>
                <w:color w:val="FFFFFF"/>
              </w:rPr>
            </w:pPr>
            <w:r>
              <w:rPr>
                <w:b/>
                <w:bCs/>
                <w:color w:val="FFFFFF"/>
              </w:rPr>
              <w:t>Requirement ID</w:t>
            </w:r>
          </w:p>
        </w:tc>
        <w:tc>
          <w:tcPr>
            <w:tcW w:w="7662" w:type="dxa"/>
            <w:tcBorders>
              <w:top w:val="single" w:sz="8" w:space="0" w:color="4F81BD"/>
              <w:left w:val="single" w:sz="6" w:space="0" w:color="4F81BD"/>
              <w:bottom w:val="single" w:sz="6" w:space="0" w:color="4F81BD"/>
              <w:insideH w:val="single" w:sz="6" w:space="0" w:color="4F81BD"/>
              <w:right w:val="single" w:sz="8" w:space="0" w:color="4F81BD"/>
              <w:insideV w:val="single" w:sz="8" w:space="0" w:color="4F81BD"/>
            </w:tcBorders>
            <w:shd w:fill="4F81BD" w:val="clear"/>
            <w:tcMar>
              <w:left w:w="85" w:type="dxa"/>
            </w:tcMar>
          </w:tcPr>
          <w:p>
            <w:pPr>
              <w:pStyle w:val="Normal"/>
              <w:spacing w:before="0" w:after="0"/>
              <w:rPr>
                <w:b/>
                <w:bCs/>
                <w:color w:val="FFFFFF"/>
              </w:rPr>
            </w:pPr>
            <w:r>
              <w:rPr>
                <w:b/>
                <w:bCs/>
                <w:color w:val="FFFFFF"/>
              </w:rPr>
              <w:t>Description</w:t>
            </w:r>
          </w:p>
        </w:tc>
      </w:tr>
      <w:tr>
        <w:trPr>
          <w:cantSplit w:val="false"/>
        </w:trPr>
        <w:tc>
          <w:tcPr>
            <w:tcW w:w="2090" w:type="dxa"/>
            <w:tcBorders>
              <w:top w:val="nil"/>
              <w:left w:val="nil"/>
              <w:bottom w:val="single" w:sz="8" w:space="0" w:color="4F81BD"/>
              <w:insideH w:val="single" w:sz="8" w:space="0" w:color="4F81BD"/>
              <w:right w:val="single" w:sz="8" w:space="0" w:color="4F81BD"/>
              <w:insideV w:val="single" w:sz="8" w:space="0" w:color="4F81BD"/>
            </w:tcBorders>
            <w:shd w:fill="FFFFFF" w:val="clear"/>
            <w:tcMar>
              <w:left w:w="117" w:type="dxa"/>
            </w:tcMar>
          </w:tcPr>
          <w:p>
            <w:pPr>
              <w:pStyle w:val="Normal"/>
              <w:rPr>
                <w:b/>
                <w:bCs/>
              </w:rPr>
            </w:pPr>
            <w:r>
              <w:rPr>
                <w:b/>
                <w:bCs/>
              </w:rPr>
              <w:t>NF_REQ_01</w:t>
            </w:r>
          </w:p>
        </w:tc>
        <w:tc>
          <w:tcPr>
            <w:tcW w:w="7662" w:type="dxa"/>
            <w:tcBorders>
              <w:top w:val="nil"/>
              <w:left w:val="single" w:sz="8" w:space="0" w:color="4F81BD"/>
              <w:bottom w:val="single" w:sz="8" w:space="0" w:color="4F81BD"/>
              <w:insideH w:val="single" w:sz="8" w:space="0" w:color="4F81BD"/>
              <w:right w:val="nil"/>
              <w:insideV w:val="nil"/>
            </w:tcBorders>
            <w:shd w:fill="FFFFFF" w:val="clear"/>
            <w:tcMar>
              <w:left w:w="77" w:type="dxa"/>
            </w:tcMar>
          </w:tcPr>
          <w:p>
            <w:pPr>
              <w:pStyle w:val="Normal"/>
              <w:rPr/>
            </w:pPr>
            <w:r>
              <w:rPr/>
              <w:t>As the reports will be posted on a queue, the size of the report is important. Consequently if there are too many instructions in one report, the report must be broken into several reports to facilitate posting on the queue, i.e. less than 1 meg report sizes.</w:t>
            </w:r>
          </w:p>
        </w:tc>
      </w:tr>
    </w:tbl>
    <w:p>
      <w:pPr>
        <w:pStyle w:val="Caption1"/>
        <w:rPr/>
      </w:pPr>
      <w:r>
        <w:rPr/>
        <w:t xml:space="preserve">Table </w:t>
      </w:r>
      <w:r>
        <w:rPr/>
        <w:fldChar w:fldCharType="begin"/>
      </w:r>
      <w:r>
        <w:instrText> SEQ """"Table"""" \*Arabic </w:instrText>
      </w:r>
      <w:r>
        <w:fldChar w:fldCharType="separate"/>
      </w:r>
      <w:r>
        <w:t>1</w:t>
      </w:r>
      <w:r>
        <w:fldChar w:fldCharType="end"/>
      </w:r>
      <w:r>
        <w:rPr/>
        <w:t>: Non-Functional Requirements</w:t>
      </w:r>
    </w:p>
    <w:p>
      <w:pPr>
        <w:pStyle w:val="Heading2"/>
        <w:numPr>
          <w:ilvl w:val="1"/>
          <w:numId w:val="1"/>
        </w:numPr>
        <w:rPr/>
      </w:pPr>
      <w:r>
        <w:rPr/>
        <w:t xml:space="preserve">Components </w:t>
      </w:r>
    </w:p>
    <w:p>
      <w:pPr>
        <w:pStyle w:val="Heading3"/>
        <w:numPr>
          <w:ilvl w:val="2"/>
          <w:numId w:val="1"/>
        </w:numPr>
        <w:rPr/>
      </w:pPr>
      <w:r>
        <w:rPr/>
        <w:t>List of components on server side</w:t>
      </w:r>
    </w:p>
    <w:p>
      <w:pPr>
        <w:pStyle w:val="Normal"/>
        <w:rPr/>
      </w:pPr>
      <w:r>
        <w:rPr/>
        <w:t>Please refer to section 3.3 for the components that are involved in the solution and a brief description.</w:t>
      </w:r>
    </w:p>
    <w:p>
      <w:pPr>
        <w:pStyle w:val="Heading3"/>
        <w:numPr>
          <w:ilvl w:val="2"/>
          <w:numId w:val="1"/>
        </w:numPr>
        <w:rPr/>
      </w:pPr>
      <w:r>
        <w:rPr/>
        <w:t>List of components on client side</w:t>
      </w:r>
    </w:p>
    <w:p>
      <w:pPr>
        <w:pStyle w:val="Normal"/>
        <w:rPr/>
      </w:pPr>
      <w:r>
        <w:rPr/>
        <w:t>N/A</w:t>
      </w:r>
    </w:p>
    <w:p>
      <w:pPr>
        <w:pStyle w:val="Heading2"/>
        <w:numPr>
          <w:ilvl w:val="1"/>
          <w:numId w:val="1"/>
        </w:numPr>
        <w:rPr/>
      </w:pPr>
      <w:r>
        <w:rPr/>
        <w:t>Software Architecture</w:t>
      </w:r>
    </w:p>
    <w:p>
      <w:pPr>
        <w:pStyle w:val="Heading3"/>
        <w:numPr>
          <w:ilvl w:val="2"/>
          <w:numId w:val="1"/>
        </w:numPr>
        <w:rPr/>
      </w:pPr>
      <w:r>
        <w:rPr/>
        <w:t>MDB (</w:t>
      </w:r>
      <w:r>
        <w:rPr>
          <w:lang w:val="en-US"/>
        </w:rPr>
        <w:t>COBAXTDailySequencerRollerMDBean</w:t>
      </w:r>
      <w:r>
        <w:rPr/>
        <w:t>):</w:t>
      </w:r>
    </w:p>
    <w:p>
      <w:pPr>
        <w:pStyle w:val="Heading4"/>
        <w:numPr>
          <w:ilvl w:val="3"/>
          <w:numId w:val="1"/>
        </w:numPr>
        <w:rPr/>
      </w:pPr>
      <w:r>
        <w:rPr/>
        <w:t>Description</w:t>
      </w:r>
    </w:p>
    <w:p>
      <w:pPr>
        <w:pStyle w:val="Normal"/>
        <w:rPr/>
      </w:pPr>
      <w:r>
        <w:rPr/>
        <w:t>This MDB is responsible for updating the business reference date in the database, and resetting the sequence that is used to generate the business reference.</w:t>
      </w:r>
    </w:p>
    <w:p>
      <w:pPr>
        <w:pStyle w:val="Heading4"/>
        <w:numPr>
          <w:ilvl w:val="3"/>
          <w:numId w:val="1"/>
        </w:numPr>
        <w:rPr/>
      </w:pPr>
      <w:r>
        <w:rPr/>
        <w:t>Processing Logic</w:t>
      </w:r>
    </w:p>
    <w:p>
      <w:pPr>
        <w:pStyle w:val="Normal"/>
        <w:rPr/>
      </w:pPr>
      <w:r>
        <w:rPr/>
        <w:t>The next business calendar date is accessed using the calendar and checked against the business reference date in the database. If these are different then update the date in the database with the next business date, reset the sequence to 1 and post a message on the de-warehousing queue to trigger the dewarehousing. I</w:t>
      </w:r>
      <w:r>
        <w:rPr/>
        <w:t>f</w:t>
      </w:r>
      <w:r>
        <w:rPr/>
        <w:t xml:space="preserve"> the next business date and the date in the database are the same then just post a message on the de-warehousing queue.</w:t>
      </w:r>
    </w:p>
    <w:p>
      <w:pPr>
        <w:pStyle w:val="Heading4"/>
        <w:numPr>
          <w:ilvl w:val="3"/>
          <w:numId w:val="1"/>
        </w:numPr>
        <w:rPr/>
      </w:pPr>
      <w:r>
        <w:rPr/>
        <w:t>(Optional) Message layout</w:t>
      </w:r>
    </w:p>
    <w:p>
      <w:pPr>
        <w:pStyle w:val="Normal"/>
        <w:rPr/>
      </w:pPr>
      <w:r>
        <w:rPr/>
        <w:t>N/A</w:t>
      </w:r>
    </w:p>
    <w:p>
      <w:pPr>
        <w:pStyle w:val="Heading4"/>
        <w:numPr>
          <w:ilvl w:val="3"/>
          <w:numId w:val="1"/>
        </w:numPr>
        <w:rPr/>
      </w:pPr>
      <w:r>
        <w:rPr/>
        <w:t>(Optional) Parameters</w:t>
      </w:r>
    </w:p>
    <w:p>
      <w:pPr>
        <w:pStyle w:val="Normal"/>
        <w:rPr/>
      </w:pPr>
      <w:r>
        <w:rPr/>
        <w:t xml:space="preserve">The message for the de-warehousing queue must contain parameter </w:t>
      </w:r>
      <w:r>
        <w:rPr/>
        <w:t>'</w:t>
      </w:r>
      <w:r>
        <w:rPr/>
        <w:t>releaseAll</w:t>
      </w:r>
      <w:r>
        <w:rPr/>
        <w:t>'</w:t>
      </w:r>
      <w:r>
        <w:rPr/>
        <w:t>, set to 'instructions &amp; transactions'. This will trigger both instructions and transactions to be de-warehoused.</w:t>
      </w:r>
    </w:p>
    <w:p>
      <w:pPr>
        <w:pStyle w:val="Heading4"/>
        <w:numPr>
          <w:ilvl w:val="3"/>
          <w:numId w:val="1"/>
        </w:numPr>
        <w:rPr/>
      </w:pPr>
      <w:r>
        <w:rPr/>
        <w:t>(Optional) Discussion</w:t>
      </w:r>
    </w:p>
    <w:p>
      <w:pPr>
        <w:pStyle w:val="Normal"/>
        <w:rPr/>
      </w:pPr>
      <w:r>
        <w:rPr/>
        <w:t xml:space="preserve">The transaction boundaries for the incoming daily sequence roller will encompass the transaction for de-warehousing. These need not be in the same transaction, but does have impact if either of these fail, i.e. the database update or posting to the de-warehousing queue. </w:t>
      </w:r>
      <w:r>
        <w:rPr/>
        <w:t>T</w:t>
      </w:r>
      <w:r>
        <w:rPr/>
        <w:t xml:space="preserve">he database could </w:t>
      </w:r>
      <w:r>
        <w:rPr/>
        <w:t>continuously</w:t>
      </w:r>
      <w:r>
        <w:rPr/>
        <w:t xml:space="preserve"> fail, </w:t>
      </w:r>
      <w:r>
        <w:rPr/>
        <w:t>meaning that the de-warehousing would never be called.</w:t>
      </w:r>
    </w:p>
    <w:p>
      <w:pPr>
        <w:pStyle w:val="Heading2"/>
        <w:numPr>
          <w:ilvl w:val="1"/>
          <w:numId w:val="1"/>
        </w:numPr>
        <w:rPr/>
      </w:pPr>
      <w:r>
        <w:rPr/>
        <w:t>Software Organisation</w:t>
      </w:r>
    </w:p>
    <w:tbl>
      <w:tblPr>
        <w:jc w:val="left"/>
        <w:tblInd w:w="-29" w:type="dxa"/>
        <w:tblBorders>
          <w:top w:val="single" w:sz="8" w:space="0" w:color="4F81BD"/>
          <w:left w:val="single" w:sz="8" w:space="0" w:color="4F81BD"/>
          <w:bottom w:val="single" w:sz="8" w:space="0" w:color="4F81BD"/>
          <w:insideH w:val="single" w:sz="8" w:space="0" w:color="4F81BD"/>
          <w:right w:val="nil"/>
          <w:insideV w:val="nil"/>
        </w:tblBorders>
        <w:tblCellMar>
          <w:top w:w="0" w:type="dxa"/>
          <w:left w:w="77" w:type="dxa"/>
          <w:bottom w:w="0" w:type="dxa"/>
          <w:right w:w="108" w:type="dxa"/>
        </w:tblCellMar>
      </w:tblPr>
      <w:tblGrid>
        <w:gridCol w:w="2514"/>
        <w:gridCol w:w="7238"/>
      </w:tblGrid>
      <w:tr>
        <w:trPr>
          <w:cantSplit w:val="false"/>
        </w:trPr>
        <w:tc>
          <w:tcPr>
            <w:tcW w:w="2514" w:type="dxa"/>
            <w:tcBorders>
              <w:top w:val="single" w:sz="8" w:space="0" w:color="4F81BD"/>
              <w:left w:val="single" w:sz="8" w:space="0" w:color="4F81BD"/>
              <w:bottom w:val="single" w:sz="8" w:space="0" w:color="4F81BD"/>
              <w:insideH w:val="single" w:sz="8" w:space="0" w:color="4F81BD"/>
              <w:right w:val="nil"/>
              <w:insideV w:val="nil"/>
            </w:tcBorders>
            <w:shd w:fill="4F81BD" w:val="clear"/>
            <w:tcMar>
              <w:left w:w="77" w:type="dxa"/>
            </w:tcMar>
          </w:tcPr>
          <w:p>
            <w:pPr>
              <w:pStyle w:val="Normal"/>
              <w:spacing w:before="0" w:after="0"/>
              <w:rPr>
                <w:b/>
                <w:bCs/>
                <w:color w:val="FFFFFF"/>
              </w:rPr>
            </w:pPr>
            <w:r>
              <w:rPr>
                <w:b/>
                <w:bCs/>
                <w:color w:val="FFFFFF"/>
              </w:rPr>
              <w:t>Project Name</w:t>
            </w:r>
          </w:p>
        </w:tc>
        <w:tc>
          <w:tcPr>
            <w:tcW w:w="7238" w:type="dxa"/>
            <w:tcBorders>
              <w:top w:val="single" w:sz="8" w:space="0" w:color="4F81BD"/>
              <w:left w:val="nil"/>
              <w:bottom w:val="single" w:sz="8" w:space="0" w:color="4F81BD"/>
              <w:insideH w:val="single" w:sz="8" w:space="0" w:color="4F81BD"/>
              <w:right w:val="single" w:sz="8" w:space="0" w:color="4F81BD"/>
              <w:insideV w:val="single" w:sz="8" w:space="0" w:color="4F81BD"/>
            </w:tcBorders>
            <w:shd w:fill="4F81BD" w:val="clear"/>
            <w:tcMar>
              <w:left w:w="117" w:type="dxa"/>
            </w:tcMar>
          </w:tcPr>
          <w:p>
            <w:pPr>
              <w:pStyle w:val="Normal"/>
              <w:spacing w:before="0" w:after="0"/>
              <w:rPr>
                <w:b/>
                <w:bCs/>
                <w:color w:val="FFFFFF"/>
              </w:rPr>
            </w:pPr>
            <w:r>
              <w:rPr>
                <w:b/>
                <w:bCs/>
                <w:color w:val="FFFFFF"/>
              </w:rPr>
              <w:t>Description</w:t>
            </w:r>
          </w:p>
        </w:tc>
      </w:tr>
      <w:tr>
        <w:trPr>
          <w:cantSplit w:val="false"/>
        </w:trPr>
        <w:tc>
          <w:tcPr>
            <w:tcW w:w="2514" w:type="dxa"/>
            <w:tcBorders>
              <w:top w:val="single" w:sz="8" w:space="0" w:color="4F81BD"/>
              <w:left w:val="single" w:sz="8" w:space="0" w:color="4F81BD"/>
              <w:bottom w:val="single" w:sz="6" w:space="0" w:color="4F81BD"/>
              <w:insideH w:val="single" w:sz="6" w:space="0" w:color="4F81BD"/>
              <w:right w:val="single" w:sz="6" w:space="0" w:color="4F81BD"/>
              <w:insideV w:val="single" w:sz="6" w:space="0" w:color="4F81BD"/>
            </w:tcBorders>
            <w:shd w:fill="FFFFFF" w:val="clear"/>
            <w:tcMar>
              <w:left w:w="77" w:type="dxa"/>
            </w:tcMar>
          </w:tcPr>
          <w:p>
            <w:pPr>
              <w:pStyle w:val="Normal"/>
              <w:rPr>
                <w:b/>
                <w:bCs/>
              </w:rPr>
            </w:pPr>
            <w:r>
              <w:rPr>
                <w:b/>
                <w:bCs/>
              </w:rPr>
              <w:t>COBAXT</w:t>
            </w:r>
          </w:p>
        </w:tc>
        <w:tc>
          <w:tcPr>
            <w:tcW w:w="7238" w:type="dxa"/>
            <w:tcBorders>
              <w:top w:val="single" w:sz="8" w:space="0" w:color="4F81BD"/>
              <w:left w:val="single" w:sz="6" w:space="0" w:color="4F81BD"/>
              <w:bottom w:val="single" w:sz="6" w:space="0" w:color="4F81BD"/>
              <w:insideH w:val="single" w:sz="6" w:space="0" w:color="4F81BD"/>
              <w:right w:val="single" w:sz="8" w:space="0" w:color="4F81BD"/>
              <w:insideV w:val="single" w:sz="8" w:space="0" w:color="4F81BD"/>
            </w:tcBorders>
            <w:shd w:fill="FFFFFF" w:val="clear"/>
            <w:tcMar>
              <w:left w:w="85" w:type="dxa"/>
            </w:tcMar>
          </w:tcPr>
          <w:p>
            <w:pPr>
              <w:pStyle w:val="Normal"/>
              <w:rPr/>
            </w:pPr>
            <w:r>
              <w:rPr/>
              <w:t>The project base logic</w:t>
            </w:r>
          </w:p>
        </w:tc>
      </w:tr>
    </w:tbl>
    <w:p>
      <w:pPr>
        <w:pStyle w:val="Caption1"/>
        <w:rPr/>
      </w:pPr>
      <w:r>
        <w:rPr/>
        <w:t xml:space="preserve">Table </w:t>
      </w:r>
      <w:r>
        <w:rPr/>
        <w:fldChar w:fldCharType="begin"/>
      </w:r>
      <w:r>
        <w:instrText> SEQ """"Table"""" \*Arabic </w:instrText>
      </w:r>
      <w:r>
        <w:fldChar w:fldCharType="separate"/>
      </w:r>
      <w:r>
        <w:t>1</w:t>
      </w:r>
      <w:r>
        <w:fldChar w:fldCharType="end"/>
      </w:r>
      <w:r>
        <w:rPr/>
        <w:t>: project locations</w:t>
      </w:r>
    </w:p>
    <w:p>
      <w:pPr>
        <w:pStyle w:val="Heading2"/>
        <w:numPr>
          <w:ilvl w:val="1"/>
          <w:numId w:val="1"/>
        </w:numPr>
        <w:rPr/>
      </w:pPr>
      <w:r>
        <w:rPr/>
        <w:t>Impacts</w:t>
      </w:r>
    </w:p>
    <w:p>
      <w:pPr>
        <w:pStyle w:val="Heading3"/>
        <w:numPr>
          <w:ilvl w:val="2"/>
          <w:numId w:val="1"/>
        </w:numPr>
        <w:rPr/>
      </w:pPr>
      <w:r>
        <w:rPr/>
        <w:t>Data access layer</w:t>
      </w:r>
    </w:p>
    <w:p>
      <w:pPr>
        <w:pStyle w:val="Normal"/>
        <w:rPr/>
      </w:pPr>
      <w:r>
        <w:rPr/>
        <w:t xml:space="preserve">The data store table will be used, the date stored as a string value. </w:t>
      </w:r>
      <w:r>
        <w:rPr/>
        <w:t>Objects to access the database are the InterfacingDataAccessObject and the Criteria for querying the table.</w:t>
      </w:r>
    </w:p>
    <w:p>
      <w:pPr>
        <w:pStyle w:val="Normal"/>
        <w:rPr/>
      </w:pPr>
      <w:r>
        <w:rPr/>
      </w:r>
    </w:p>
    <w:p>
      <w:pPr>
        <w:pStyle w:val="Normal"/>
        <w:rPr/>
      </w:pPr>
      <w:r>
        <w:rPr/>
        <w:t>Classes: com.clear2pay.bph.opfpayment.dataaccess.dao.InterfacingDataAccessObject, com.clear2pay.bph.opf.search.Criteria</w:t>
      </w:r>
    </w:p>
    <w:p>
      <w:pPr>
        <w:pStyle w:val="Normal"/>
        <w:rPr/>
      </w:pPr>
      <w:r>
        <w:rPr/>
        <w:t>Parameters for query: business-reference(for key in COBADATASTORE)</w:t>
      </w:r>
    </w:p>
    <w:p>
      <w:pPr>
        <w:pStyle w:val="Normal"/>
        <w:rPr/>
      </w:pPr>
      <w:r>
        <w:rPr/>
        <w:t>Table value: String date(format '</w:t>
      </w:r>
      <w:r>
        <w:rPr/>
        <w:t>yyyy-MM-dd</w:t>
      </w:r>
      <w:r>
        <w:rPr/>
        <w:t xml:space="preserve">', </w:t>
      </w:r>
      <w:r>
        <w:rPr/>
        <w:t>as this seems to be most common format in the OPF layer</w:t>
      </w:r>
      <w:r>
        <w:rPr/>
        <w:t>)</w:t>
      </w:r>
    </w:p>
    <w:p>
      <w:pPr>
        <w:pStyle w:val="Heading4"/>
        <w:numPr>
          <w:ilvl w:val="3"/>
          <w:numId w:val="1"/>
        </w:numPr>
        <w:rPr/>
      </w:pPr>
      <w:r>
        <w:rPr/>
        <w:t>Scripts</w:t>
      </w:r>
    </w:p>
    <w:p>
      <w:pPr>
        <w:pStyle w:val="Normal"/>
        <w:rPr/>
      </w:pPr>
      <w:r>
        <w:rPr/>
        <w:t>N/A</w:t>
      </w:r>
    </w:p>
    <w:p>
      <w:pPr>
        <w:pStyle w:val="Heading4"/>
        <w:numPr>
          <w:ilvl w:val="3"/>
          <w:numId w:val="1"/>
        </w:numPr>
        <w:rPr/>
      </w:pPr>
      <w:r>
        <w:rPr/>
        <w:t>Clean-up</w:t>
      </w:r>
    </w:p>
    <w:p>
      <w:pPr>
        <w:pStyle w:val="Normal"/>
        <w:rPr/>
      </w:pPr>
      <w:r>
        <w:rPr/>
        <w:t>N/A</w:t>
      </w:r>
    </w:p>
    <w:p>
      <w:pPr>
        <w:pStyle w:val="Heading3"/>
        <w:numPr>
          <w:ilvl w:val="2"/>
          <w:numId w:val="1"/>
        </w:numPr>
        <w:rPr/>
      </w:pPr>
      <w:r>
        <w:rPr/>
        <w:t>EJBs / MDBs</w:t>
      </w:r>
    </w:p>
    <w:p>
      <w:pPr>
        <w:pStyle w:val="Normal"/>
        <w:rPr/>
      </w:pPr>
      <w:r>
        <w:rPr/>
        <w:t>No new MDBs or EJBs.</w:t>
      </w:r>
    </w:p>
    <w:p>
      <w:pPr>
        <w:pStyle w:val="Heading3"/>
        <w:numPr>
          <w:ilvl w:val="2"/>
          <w:numId w:val="1"/>
        </w:numPr>
        <w:rPr/>
      </w:pPr>
      <w:r>
        <w:rPr/>
        <w:t>BPEL flows</w:t>
      </w:r>
    </w:p>
    <w:p>
      <w:pPr>
        <w:pStyle w:val="Normal"/>
        <w:rPr/>
      </w:pPr>
      <w:r>
        <w:rPr/>
        <w:t>No impact.</w:t>
      </w:r>
    </w:p>
    <w:p>
      <w:pPr>
        <w:pStyle w:val="Heading3"/>
        <w:numPr>
          <w:ilvl w:val="2"/>
          <w:numId w:val="1"/>
        </w:numPr>
        <w:rPr/>
      </w:pPr>
      <w:r>
        <w:rPr/>
        <w:t>Testing (QA)</w:t>
      </w:r>
    </w:p>
    <w:p>
      <w:pPr>
        <w:pStyle w:val="Heading4"/>
        <w:numPr>
          <w:ilvl w:val="3"/>
          <w:numId w:val="1"/>
        </w:numPr>
        <w:rPr/>
      </w:pPr>
      <w:r>
        <w:rPr/>
        <w:t>QA</w:t>
      </w:r>
    </w:p>
    <w:p>
      <w:pPr>
        <w:pStyle w:val="Normal"/>
        <w:rPr/>
      </w:pPr>
      <w:r>
        <w:rPr/>
        <w:t xml:space="preserve">QA should verify that the business day is updated to the following business day, and that the sequence is updated, in the case the business day is different from the calendar business day. And in the case it is not, then there is no change in the business day in the database </w:t>
      </w:r>
      <w:r>
        <w:rPr/>
        <w:t>and the sequence is not reset</w:t>
      </w:r>
      <w:r>
        <w:rPr/>
        <w:t>.</w:t>
      </w:r>
    </w:p>
    <w:p>
      <w:pPr>
        <w:pStyle w:val="Normal"/>
        <w:rPr/>
      </w:pPr>
      <w:r>
        <w:rPr/>
      </w:r>
    </w:p>
    <w:p>
      <w:pPr>
        <w:pStyle w:val="Normal"/>
        <w:rPr/>
      </w:pPr>
      <w:r>
        <w:rPr/>
        <w:t>There should always be a message on the de-warehousing queue regardless of the date being updated in the database, and seperate from the update of the sequence.</w:t>
      </w:r>
    </w:p>
    <w:p>
      <w:pPr>
        <w:pStyle w:val="Normal"/>
        <w:rPr/>
      </w:pPr>
      <w:r>
        <w:rPr/>
      </w:r>
    </w:p>
    <w:p>
      <w:pPr>
        <w:pStyle w:val="Normal"/>
        <w:rPr/>
      </w:pPr>
      <w:r>
        <w:rPr/>
        <w:t>As always larger volumes need to be tested, i.e. more than 100 000 transactions to be reported on, and more than 100 000 transactions to be de-warehoused.</w:t>
      </w:r>
    </w:p>
    <w:p>
      <w:pPr>
        <w:pStyle w:val="Heading4"/>
        <w:numPr>
          <w:ilvl w:val="3"/>
          <w:numId w:val="1"/>
        </w:numPr>
        <w:rPr/>
      </w:pPr>
      <w:r>
        <w:rPr/>
        <w:t>NFT</w:t>
      </w:r>
    </w:p>
    <w:p>
      <w:pPr>
        <w:pStyle w:val="Normal"/>
        <w:rPr/>
      </w:pPr>
      <w:r>
        <w:rPr/>
        <w:t>As for QA, larger volumes need to be tested for performance, more than 100 000 transactions to be reported on and 100 000 transactions to be de-warehoused. This should result in load on the queues, specifically the transaction report queue, which is the focus of this logic.</w:t>
      </w:r>
    </w:p>
    <w:p>
      <w:pPr>
        <w:pStyle w:val="Heading3"/>
        <w:numPr>
          <w:ilvl w:val="2"/>
          <w:numId w:val="1"/>
        </w:numPr>
        <w:rPr/>
      </w:pPr>
      <w:bookmarkStart w:id="6" w:name="_Ref327370351"/>
      <w:bookmarkEnd w:id="6"/>
      <w:r>
        <w:rPr/>
        <w:t>Application Server configuration</w:t>
      </w:r>
    </w:p>
    <w:p>
      <w:pPr>
        <w:pStyle w:val="Normal"/>
        <w:rPr/>
      </w:pPr>
      <w:r>
        <w:rPr/>
        <w:t>No extra configuration, the queue for the transaction report is already defined as XMLReportQ. This queue must be re-defined as TransactionReportQ to be in synch with the change in the name of the report.</w:t>
      </w:r>
    </w:p>
    <w:p>
      <w:pPr>
        <w:pStyle w:val="Heading3"/>
        <w:numPr>
          <w:ilvl w:val="2"/>
          <w:numId w:val="1"/>
        </w:numPr>
        <w:rPr/>
      </w:pPr>
      <w:r>
        <w:rPr/>
        <w:t>SCM</w:t>
      </w:r>
    </w:p>
    <w:p>
      <w:pPr>
        <w:pStyle w:val="Normal"/>
        <w:rPr/>
      </w:pPr>
      <w:r>
        <w:rPr/>
        <w:t>Scripts that need to be updated:</w:t>
      </w:r>
    </w:p>
    <w:p>
      <w:pPr>
        <w:pStyle w:val="Normal"/>
        <w:rPr/>
      </w:pPr>
      <w:r>
        <w:rPr/>
      </w:r>
    </w:p>
    <w:p>
      <w:pPr>
        <w:pStyle w:val="Normal"/>
        <w:rPr/>
      </w:pPr>
      <w:r>
        <w:rPr/>
        <w:t>* configure_wps.jacl – Update XMLReportQ to TransactionReportQ</w:t>
      </w:r>
    </w:p>
    <w:p>
      <w:pPr>
        <w:pStyle w:val="Normal"/>
        <w:rPr/>
      </w:pPr>
      <w:r>
        <w:rPr/>
        <w:t>* accounting-cobaxt.xml - Update XMLReportQ to TransactionReportQ</w:t>
      </w:r>
    </w:p>
    <w:p>
      <w:pPr>
        <w:pStyle w:val="Normal"/>
        <w:rPr/>
      </w:pPr>
      <w:r>
        <w:rPr/>
        <w:t>* servicelocator-cobaxt.xml - Update XMLReportQ to TransactionReportQ</w:t>
      </w:r>
    </w:p>
    <w:p>
      <w:pPr>
        <w:pStyle w:val="Normal"/>
        <w:rPr/>
      </w:pPr>
      <w:r>
        <w:rPr/>
        <w:t>* ibm-ejb-jar-bnd.xmi - Update XMLReportQ to TransactionReportQ</w:t>
      </w:r>
    </w:p>
    <w:p>
      <w:pPr>
        <w:pStyle w:val="Normal"/>
        <w:rPr/>
      </w:pPr>
      <w:r>
        <w:rPr/>
        <w:t>* cobaxt_was_queue_list.py - Update XMLReportQ to TransactionReportQ</w:t>
      </w:r>
    </w:p>
    <w:p>
      <w:pPr>
        <w:pStyle w:val="Normal"/>
        <w:rPr/>
      </w:pPr>
      <w:r>
        <w:rPr/>
        <w:t>* ejb-jar.xml - Update XMLReportQ to TransactionReportQ</w:t>
      </w:r>
    </w:p>
    <w:p>
      <w:pPr>
        <w:pStyle w:val="Normal"/>
        <w:rPr/>
      </w:pPr>
      <w:r>
        <w:rPr/>
      </w:r>
    </w:p>
    <w:sectPr>
      <w:headerReference w:type="default" r:id="rId2"/>
      <w:footerReference w:type="default" r:id="rId3"/>
      <w:type w:val="nextPage"/>
      <w:pgSz w:w="12240" w:h="15840"/>
      <w:pgMar w:left="1440" w:right="1260" w:header="720" w:top="899" w:footer="720" w:bottom="1079"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single" w:sz="6" w:space="1" w:color="00000A"/>
        <w:right w:val="nil"/>
      </w:pBdr>
      <w:rPr>
        <w:lang w:val="nl-BE"/>
      </w:rPr>
    </w:pPr>
    <w:r>
      <w:rPr>
        <w:lang w:val="nl-BE"/>
      </w:rPr>
    </w:r>
  </w:p>
  <w:p>
    <w:pPr>
      <w:pStyle w:val="Footer"/>
      <w:tabs>
        <w:tab w:val="center" w:pos="4320" w:leader="none"/>
        <w:tab w:val="center" w:pos="4500" w:leader="none"/>
        <w:tab w:val="right" w:pos="8640" w:leader="none"/>
        <w:tab w:val="right" w:pos="8820" w:leader="none"/>
      </w:tabs>
      <w:jc w:val="both"/>
      <w:rPr>
        <w:i/>
      </w:rPr>
    </w:pPr>
    <w:r>
      <w:rPr>
        <w:rFonts w:cs="Tahoma"/>
      </w:rPr>
      <w:t>©</w:t>
    </w:r>
    <w:r>
      <w:rPr/>
      <w:t xml:space="preserve"> Clear2Pay NV</w:t>
      <w:tab/>
      <w:t>Proprietary and Confidential</w:t>
      <w:tab/>
      <w:t xml:space="preserve">Page </w:t>
    </w:r>
    <w:r>
      <w:rPr/>
      <w:fldChar w:fldCharType="begin"/>
    </w:r>
    <w:r>
      <w:instrText> PAGE </w:instrText>
    </w:r>
    <w:r>
      <w:fldChar w:fldCharType="separate"/>
    </w:r>
    <w:r>
      <w:t>4</w:t>
    </w:r>
    <w:r>
      <w:fldChar w:fldCharType="end"/>
    </w:r>
    <w:r>
      <w:rPr/>
      <w:tab/>
    </w:r>
    <w:r>
      <w:rPr>
        <w:i/>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Bdr>
        <w:top w:val="nil"/>
        <w:left w:val="nil"/>
        <w:bottom w:val="single" w:sz="4" w:space="0" w:color="00000A"/>
        <w:right w:val="nil"/>
      </w:pBdr>
      <w:tabs>
        <w:tab w:val="center" w:pos="4536" w:leader="none"/>
        <w:tab w:val="right" w:pos="9356" w:leader="none"/>
      </w:tabs>
      <w:spacing w:lineRule="auto" w:line="360" w:before="0" w:after="240"/>
      <w:jc w:val="both"/>
      <w:rPr>
        <w:rFonts w:cs="Arial"/>
        <w:sz w:val="16"/>
        <w:szCs w:val="16"/>
      </w:rPr>
    </w:pPr>
    <w:r>
      <w:rPr/>
      <w:drawing>
        <wp:inline distT="0" distB="0" distL="0" distR="0">
          <wp:extent cx="542925" cy="542925"/>
          <wp:effectExtent l="0" t="0" r="0" b="0"/>
          <wp:docPr id="0" name="Picture" descr="clear2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lear2pay"/>
                  <pic:cNvPicPr>
                    <a:picLocks noChangeAspect="1" noChangeArrowheads="1"/>
                  </pic:cNvPicPr>
                </pic:nvPicPr>
                <pic:blipFill>
                  <a:blip r:embed="rId1"/>
                  <a:stretch>
                    <a:fillRect/>
                  </a:stretch>
                </pic:blipFill>
                <pic:spPr bwMode="auto">
                  <a:xfrm>
                    <a:off x="0" y="0"/>
                    <a:ext cx="542925" cy="542925"/>
                  </a:xfrm>
                  <a:prstGeom prst="rect">
                    <a:avLst/>
                  </a:prstGeom>
                  <a:noFill/>
                  <a:ln w="9525">
                    <a:noFill/>
                    <a:miter lim="800000"/>
                    <a:headEnd/>
                    <a:tailEnd/>
                  </a:ln>
                </pic:spPr>
              </pic:pic>
            </a:graphicData>
          </a:graphic>
        </wp:inline>
      </w:drawing>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32.35pt;margin-top:195.25pt;width:412.2pt;height:247.25pt;rotation:315;mso-position-horizontal:center;mso-position-vertical:center;mso-position-vertical-relative:margin" type="shapetype_136">
          <v:path textpathok="t"/>
          <v:textpath on="t" fitshape="t" string="DRAFT" style="font-family:&quot;Times New Roman&quot;"/>
          <v:wrap v:type="none"/>
          <v:fill type="solid" color2="#3f3f3f" detectmouseclick="t" opacity="0.5"/>
          <v:stroke color="#3465a4" joinstyle="round" endcap="flat"/>
        </v:shape>
      </w:pict>
    </w:r>
    <w:r>
      <w:rPr>
        <w:rFonts w:cs="Arial" w:ascii="Arial" w:hAnsi="Arial"/>
      </w:rPr>
      <w:tab/>
    </w:r>
    <w:r>
      <w:rPr>
        <w:rFonts w:cs="Arial" w:ascii="Arial" w:hAnsi="Arial"/>
        <w:b/>
        <w:bCs/>
      </w:rPr>
      <w:t>COBAXT – AD – End Of Day Trigger</w:t>
    </w:r>
    <w:r>
      <w:rPr>
        <w:rFonts w:cs="Arial" w:ascii="Arial" w:hAnsi="Arial"/>
        <w:b/>
      </w:rPr>
      <w:tab/>
    </w:r>
    <w:r>
      <w:rPr>
        <w:rFonts w:cs="Arial"/>
        <w:sz w:val="16"/>
        <w:szCs w:val="16"/>
      </w:rPr>
      <w:t xml:space="preserve">Version </w:t>
    </w:r>
    <w:r>
      <w:rPr>
        <w:rFonts w:cs="Arial"/>
        <w:sz w:val="16"/>
        <w:szCs w:val="16"/>
      </w:rPr>
      <w:fldChar w:fldCharType="begin"/>
    </w:r>
    <w:r>
      <w:instrText> DOCPROPERTY "Version"</w:instrText>
    </w:r>
    <w:r>
      <w:fldChar w:fldCharType="separate"/>
    </w:r>
    <w:r>
      <w:t>0.1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rPr>
        <w:sz w:val="24"/>
        <w:i w:val="false"/>
        <w:b/>
      </w:rPr>
    </w:lvl>
    <w:lvl w:ilvl="1">
      <w:start w:val="1"/>
      <w:numFmt w:val="decimal"/>
      <w:lvlText w:val="%1.%2"/>
      <w:lvlJc w:val="left"/>
      <w:pPr>
        <w:tabs>
          <w:tab w:val="num" w:pos="576"/>
        </w:tabs>
        <w:ind w:left="576" w:hanging="576"/>
      </w:pPr>
      <w:rPr>
        <w:sz w:val="20"/>
        <w:i w:val="false"/>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QFormat="0" w:defUnhideWhenUsed="0" w:count="267"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qFormat="1" w:unhideWhenUsed="1" w:semiHidden="1" w:name="caption"/>
    <w:lsdException w:qFormat="1" w:name="Title"/>
    <w:lsdException w:qFormat="1" w:name="Subtitle"/>
    <w:lsdException w:uiPriority="99" w:name="Hyperlink"/>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a3782d"/>
    <w:pPr>
      <w:widowControl/>
      <w:suppressAutoHyphens w:val="true"/>
      <w:bidi w:val="0"/>
      <w:jc w:val="left"/>
    </w:pPr>
    <w:rPr>
      <w:rFonts w:ascii="Tahoma" w:hAnsi="Tahoma" w:eastAsia="Times New Roman" w:cs="Times New Roman"/>
      <w:color w:val="00000A"/>
      <w:sz w:val="20"/>
      <w:szCs w:val="24"/>
      <w:lang w:val="en-GB" w:eastAsia="en-US" w:bidi="ar-SA"/>
    </w:rPr>
  </w:style>
  <w:style w:type="paragraph" w:styleId="Heading1">
    <w:name w:val="Heading 1"/>
    <w:qFormat/>
    <w:rsid w:val="009e27ef"/>
    <w:basedOn w:val="Normal"/>
    <w:next w:val="Normal"/>
    <w:pPr>
      <w:keepNext/>
      <w:pageBreakBefore/>
      <w:pBdr>
        <w:top w:val="single" w:sz="4" w:space="1" w:color="1F497D"/>
        <w:left w:val="single" w:sz="4" w:space="4" w:color="1F497D"/>
        <w:bottom w:val="single" w:sz="4" w:space="1" w:color="1F497D"/>
        <w:right w:val="single" w:sz="4" w:space="4" w:color="1F497D"/>
      </w:pBdr>
      <w:shd w:fill="F3F3F3" w:val="clear"/>
      <w:spacing w:before="240" w:after="60"/>
      <w:ind w:left="431" w:right="0" w:hanging="431"/>
      <w:outlineLvl w:val="0"/>
    </w:pPr>
    <w:rPr>
      <w:b/>
      <w:bCs/>
      <w:color w:val="1F497D"/>
    </w:rPr>
  </w:style>
  <w:style w:type="paragraph" w:styleId="Heading2">
    <w:name w:val="Heading 2"/>
    <w:qFormat/>
    <w:rsid w:val="00f956b0"/>
    <w:basedOn w:val="Normal"/>
    <w:next w:val="Normal"/>
    <w:pPr>
      <w:keepNext/>
      <w:spacing w:before="240" w:after="60"/>
      <w:outlineLvl w:val="1"/>
    </w:pPr>
    <w:rPr>
      <w:rFonts w:cs="Arial"/>
      <w:b/>
      <w:bCs/>
      <w:i/>
      <w:iCs/>
      <w:szCs w:val="28"/>
    </w:rPr>
  </w:style>
  <w:style w:type="paragraph" w:styleId="Heading3">
    <w:name w:val="Heading 3"/>
    <w:qFormat/>
    <w:rsid w:val="00190588"/>
    <w:basedOn w:val="Normal"/>
    <w:next w:val="Normal"/>
    <w:pPr>
      <w:keepNext/>
      <w:spacing w:before="240" w:after="60"/>
      <w:outlineLvl w:val="2"/>
    </w:pPr>
    <w:rPr>
      <w:rFonts w:cs="Arial"/>
      <w:b/>
      <w:bCs/>
      <w:szCs w:val="26"/>
    </w:rPr>
  </w:style>
  <w:style w:type="paragraph" w:styleId="Heading4">
    <w:name w:val="Heading 4"/>
    <w:qFormat/>
    <w:rsid w:val="00a81ba4"/>
    <w:basedOn w:val="Normal"/>
    <w:next w:val="Normal"/>
    <w:pPr>
      <w:keepNext/>
      <w:spacing w:before="240" w:after="60"/>
      <w:outlineLvl w:val="3"/>
    </w:pPr>
    <w:rPr>
      <w:b/>
      <w:bCs/>
      <w:sz w:val="18"/>
      <w:szCs w:val="28"/>
    </w:rPr>
  </w:style>
  <w:style w:type="paragraph" w:styleId="Heading5">
    <w:name w:val="Heading 5"/>
    <w:qFormat/>
    <w:rsid w:val="0028599e"/>
    <w:basedOn w:val="Normal"/>
    <w:next w:val="Normal"/>
    <w:pPr>
      <w:spacing w:before="240" w:after="60"/>
      <w:outlineLvl w:val="4"/>
    </w:pPr>
    <w:rPr>
      <w:bCs/>
      <w:iCs/>
      <w:szCs w:val="26"/>
    </w:rPr>
  </w:style>
  <w:style w:type="paragraph" w:styleId="Heading6">
    <w:name w:val="Heading 6"/>
    <w:qFormat/>
    <w:rsid w:val="0047105f"/>
    <w:basedOn w:val="Normal"/>
    <w:next w:val="Normal"/>
    <w:pPr>
      <w:spacing w:before="240" w:after="60"/>
      <w:outlineLvl w:val="5"/>
    </w:pPr>
    <w:rPr>
      <w:b/>
      <w:bCs/>
      <w:sz w:val="22"/>
      <w:szCs w:val="22"/>
    </w:rPr>
  </w:style>
  <w:style w:type="paragraph" w:styleId="Heading7">
    <w:name w:val="Heading 7"/>
    <w:qFormat/>
    <w:rsid w:val="0047105f"/>
    <w:basedOn w:val="Normal"/>
    <w:next w:val="Normal"/>
    <w:pPr>
      <w:spacing w:before="240" w:after="60"/>
      <w:outlineLvl w:val="6"/>
    </w:pPr>
    <w:rPr/>
  </w:style>
  <w:style w:type="paragraph" w:styleId="Heading8">
    <w:name w:val="Heading 8"/>
    <w:qFormat/>
    <w:rsid w:val="0047105f"/>
    <w:basedOn w:val="Normal"/>
    <w:next w:val="Normal"/>
    <w:pPr>
      <w:spacing w:before="240" w:after="60"/>
      <w:outlineLvl w:val="7"/>
    </w:pPr>
    <w:rPr>
      <w:i/>
      <w:iCs/>
    </w:rPr>
  </w:style>
  <w:style w:type="paragraph" w:styleId="Heading9">
    <w:name w:val="Heading 9"/>
    <w:qFormat/>
    <w:rsid w:val="0047105f"/>
    <w:basedOn w:val="Normal"/>
    <w:next w:val="Normal"/>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Pagenumber">
    <w:name w:val="page number"/>
    <w:rsid w:val="00947f03"/>
    <w:basedOn w:val="DefaultParagraphFont"/>
    <w:rPr/>
  </w:style>
  <w:style w:type="character" w:styleId="Annotationreference">
    <w:name w:val="annotation reference"/>
    <w:semiHidden/>
    <w:rsid w:val="008d7fea"/>
    <w:basedOn w:val="DefaultParagraphFont"/>
    <w:rPr>
      <w:sz w:val="16"/>
      <w:szCs w:val="16"/>
    </w:rPr>
  </w:style>
  <w:style w:type="character" w:styleId="Footnotereference">
    <w:name w:val="footnote reference"/>
    <w:semiHidden/>
    <w:rsid w:val="00905e81"/>
    <w:basedOn w:val="DefaultParagraphFont"/>
    <w:rPr>
      <w:vertAlign w:val="superscript"/>
    </w:rPr>
  </w:style>
  <w:style w:type="character" w:styleId="InternetLink">
    <w:name w:val="Internet Link"/>
    <w:uiPriority w:val="99"/>
    <w:rsid w:val="00e61d87"/>
    <w:basedOn w:val="DefaultParagraphFont"/>
    <w:rPr>
      <w:color w:val="0000FF"/>
      <w:u w:val="single"/>
      <w:lang w:val="zxx" w:eastAsia="zxx" w:bidi="zxx"/>
    </w:rPr>
  </w:style>
  <w:style w:type="character" w:styleId="FollowedHyperlink">
    <w:name w:val="FollowedHyperlink"/>
    <w:rsid w:val="002c3b9c"/>
    <w:basedOn w:val="DefaultParagraphFont"/>
    <w:rPr>
      <w:color w:val="800080"/>
      <w:u w:val="single"/>
    </w:rPr>
  </w:style>
  <w:style w:type="character" w:styleId="BodyTextChar" w:customStyle="1">
    <w:name w:val="Body Text Char"/>
    <w:link w:val="BodyText"/>
    <w:rsid w:val="00a3782d"/>
    <w:basedOn w:val="DefaultParagraphFont"/>
    <w:rPr>
      <w:rFonts w:ascii="Tahoma" w:hAnsi="Tahoma"/>
      <w:sz w:val="24"/>
      <w:szCs w:val="24"/>
    </w:rPr>
  </w:style>
  <w:style w:type="character" w:styleId="ListLabel1">
    <w:name w:val="ListLabel 1"/>
    <w:rPr>
      <w:b/>
      <w:i w:val="false"/>
    </w:rPr>
  </w:style>
  <w:style w:type="character" w:styleId="ListLabel2">
    <w:name w:val="ListLabel 2"/>
    <w:rPr>
      <w:b/>
      <w:i w:val="false"/>
      <w:sz w:val="24"/>
    </w:rPr>
  </w:style>
  <w:style w:type="character" w:styleId="ListLabel3">
    <w:name w:val="ListLabel 3"/>
    <w:rPr>
      <w:b/>
      <w:i w:val="false"/>
      <w:sz w:val="20"/>
    </w:rPr>
  </w:style>
  <w:style w:type="character" w:styleId="ListLabel4">
    <w:name w:val="ListLabel 4"/>
    <w:rPr>
      <w:rFonts w:cs="Courier New"/>
    </w:rPr>
  </w:style>
  <w:style w:type="character" w:styleId="ListLabel5">
    <w:name w:val="ListLabel 5"/>
    <w:rPr>
      <w:rFonts w:eastAsia="Times New Roman" w:cs="Times New Roman"/>
    </w:rPr>
  </w:style>
  <w:style w:type="character" w:styleId="ListLabel6">
    <w:name w:val="ListLabel 6"/>
    <w:rPr>
      <w:rFonts w:eastAsia="Times New Roman" w:cs="Times New Roman"/>
      <w:i/>
    </w:rPr>
  </w:style>
  <w:style w:type="character" w:styleId="ListLabel7">
    <w:name w:val="ListLabel 7"/>
    <w:rPr>
      <w:rFonts w:eastAsia="Times New Roman" w:cs="Tahoma"/>
    </w:rPr>
  </w:style>
  <w:style w:type="character" w:styleId="ListLabel8">
    <w:name w:val="ListLabel 8"/>
    <w:rPr>
      <w:b/>
      <w:i w:val="false"/>
    </w:rPr>
  </w:style>
  <w:style w:type="character" w:styleId="ListLabel9">
    <w:name w:val="ListLabel 9"/>
    <w:rPr>
      <w:b/>
      <w:i w:val="false"/>
      <w:sz w:val="24"/>
    </w:rPr>
  </w:style>
  <w:style w:type="character" w:styleId="ListLabel10">
    <w:name w:val="ListLabel 10"/>
    <w:rPr>
      <w:b/>
      <w:i w:val="false"/>
      <w:sz w:val="20"/>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b/>
      <w:i w:val="false"/>
      <w:sz w:val="24"/>
    </w:rPr>
  </w:style>
  <w:style w:type="character" w:styleId="ListLabel15">
    <w:name w:val="ListLabel 15"/>
    <w:rPr>
      <w:b/>
      <w:i w:val="false"/>
      <w:sz w:val="20"/>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b/>
      <w:i w:val="false"/>
      <w:sz w:val="24"/>
    </w:rPr>
  </w:style>
  <w:style w:type="character" w:styleId="ListLabel20">
    <w:name w:val="ListLabel 20"/>
    <w:rPr>
      <w:b/>
      <w:i w:val="false"/>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0e5c2e"/>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dofUC" w:customStyle="1">
    <w:name w:val="End of UC"/>
    <w:rsid w:val="007a1467"/>
    <w:basedOn w:val="Normal"/>
    <w:next w:val="Normal"/>
    <w:pPr>
      <w:spacing w:lineRule="auto" w:line="360"/>
    </w:pPr>
    <w:rPr>
      <w:rFonts w:ascii="Arial" w:hAnsi="Arial"/>
      <w:szCs w:val="20"/>
      <w:lang w:val="en-AU" w:eastAsia="en-AU"/>
    </w:rPr>
  </w:style>
  <w:style w:type="paragraph" w:styleId="Header">
    <w:name w:val="Header"/>
    <w:rsid w:val="00947f03"/>
    <w:basedOn w:val="Normal"/>
    <w:pPr>
      <w:tabs>
        <w:tab w:val="center" w:pos="4320" w:leader="none"/>
        <w:tab w:val="right" w:pos="8640" w:leader="none"/>
      </w:tabs>
    </w:pPr>
    <w:rPr/>
  </w:style>
  <w:style w:type="paragraph" w:styleId="Footer">
    <w:name w:val="Footer"/>
    <w:rsid w:val="00947f03"/>
    <w:basedOn w:val="Normal"/>
    <w:pPr>
      <w:tabs>
        <w:tab w:val="center" w:pos="4320" w:leader="none"/>
        <w:tab w:val="right" w:pos="8640" w:leader="none"/>
      </w:tabs>
    </w:pPr>
    <w:rPr/>
  </w:style>
  <w:style w:type="paragraph" w:styleId="BalloonText">
    <w:name w:val="Balloon Text"/>
    <w:semiHidden/>
    <w:rsid w:val="008d7fea"/>
    <w:basedOn w:val="Normal"/>
    <w:pPr/>
    <w:rPr>
      <w:rFonts w:cs="Tahoma"/>
      <w:sz w:val="16"/>
      <w:szCs w:val="16"/>
    </w:rPr>
  </w:style>
  <w:style w:type="paragraph" w:styleId="Annotationtext">
    <w:name w:val="annotation text"/>
    <w:semiHidden/>
    <w:rsid w:val="008d7fea"/>
    <w:basedOn w:val="Normal"/>
    <w:pPr/>
    <w:rPr>
      <w:szCs w:val="20"/>
    </w:rPr>
  </w:style>
  <w:style w:type="paragraph" w:styleId="Annotationsubject">
    <w:name w:val="annotation subject"/>
    <w:semiHidden/>
    <w:rsid w:val="008d7fea"/>
    <w:basedOn w:val="Annotationtext"/>
    <w:pPr/>
    <w:rPr>
      <w:b/>
      <w:bCs/>
    </w:rPr>
  </w:style>
  <w:style w:type="paragraph" w:styleId="Footnotetext">
    <w:name w:val="footnote text"/>
    <w:semiHidden/>
    <w:rsid w:val="00905e81"/>
    <w:basedOn w:val="Normal"/>
    <w:pPr/>
    <w:rPr>
      <w:szCs w:val="20"/>
    </w:rPr>
  </w:style>
  <w:style w:type="paragraph" w:styleId="Contents1">
    <w:name w:val="Contents 1"/>
    <w:uiPriority w:val="39"/>
    <w:rsid w:val="00e61d87"/>
    <w:basedOn w:val="Normal"/>
    <w:next w:val="Normal"/>
    <w:autoRedefine/>
    <w:pPr>
      <w:tabs>
        <w:tab w:val="left" w:pos="1080" w:leader="none"/>
        <w:tab w:val="right" w:pos="8630" w:leader="dot"/>
      </w:tabs>
      <w:ind w:left="720" w:right="0" w:hanging="0"/>
    </w:pPr>
    <w:rPr/>
  </w:style>
  <w:style w:type="paragraph" w:styleId="TableText" w:customStyle="1">
    <w:name w:val="Table Text"/>
    <w:rsid w:val="00215cb6"/>
    <w:basedOn w:val="Normal"/>
    <w:pPr>
      <w:suppressAutoHyphens w:val="true"/>
      <w:spacing w:before="60" w:after="60"/>
      <w:jc w:val="both"/>
    </w:pPr>
    <w:rPr>
      <w:rFonts w:eastAsia="Arial Unicode MS"/>
      <w:sz w:val="18"/>
      <w:szCs w:val="20"/>
      <w:lang w:eastAsia="ar-SA"/>
    </w:rPr>
  </w:style>
  <w:style w:type="paragraph" w:styleId="TableContents">
    <w:name w:val="Table Contents"/>
    <w:basedOn w:val="Normal"/>
    <w:pPr/>
    <w:rPr/>
  </w:style>
  <w:style w:type="paragraph" w:styleId="TableHeading" w:customStyle="1">
    <w:name w:val="Table Heading"/>
    <w:rsid w:val="00215cb6"/>
    <w:basedOn w:val="TableText"/>
    <w:pPr/>
    <w:rPr>
      <w:b/>
    </w:rPr>
  </w:style>
  <w:style w:type="paragraph" w:styleId="Preface2" w:customStyle="1">
    <w:name w:val="Preface2"/>
    <w:rsid w:val="00215cb6"/>
    <w:basedOn w:val="Normal"/>
    <w:pPr>
      <w:suppressAutoHyphens w:val="true"/>
      <w:spacing w:before="360" w:after="200"/>
      <w:jc w:val="both"/>
    </w:pPr>
    <w:rPr>
      <w:rFonts w:eastAsia="Arial Unicode MS"/>
      <w:b/>
      <w:sz w:val="28"/>
      <w:szCs w:val="20"/>
      <w:lang w:eastAsia="ar-SA"/>
    </w:rPr>
  </w:style>
  <w:style w:type="paragraph" w:styleId="TableHead" w:customStyle="1">
    <w:name w:val="Table Head"/>
    <w:rsid w:val="000b6c10"/>
    <w:basedOn w:val="Normal"/>
    <w:pPr>
      <w:keepNext/>
      <w:spacing w:lineRule="atLeast" w:line="240" w:before="0" w:after="60"/>
    </w:pPr>
    <w:rPr>
      <w:b/>
    </w:rPr>
  </w:style>
  <w:style w:type="paragraph" w:styleId="RevHty" w:customStyle="1">
    <w:name w:val="RevHty"/>
    <w:uiPriority w:val="99"/>
    <w:rsid w:val="00f956b0"/>
    <w:autoRedefine/>
    <w:pPr>
      <w:keepNext/>
      <w:keepLines/>
      <w:widowControl w:val="false"/>
      <w:pBdr>
        <w:top w:val="nil"/>
        <w:left w:val="nil"/>
        <w:bottom w:val="nil"/>
        <w:right w:val="nil"/>
      </w:pBdr>
      <w:suppressAutoHyphens w:val="true"/>
      <w:bidi w:val="0"/>
      <w:spacing w:before="120" w:after="120"/>
      <w:ind w:left="0" w:right="0" w:hanging="0"/>
      <w:jc w:val="left"/>
    </w:pPr>
    <w:rPr>
      <w:rFonts w:ascii="Arial" w:hAnsi="Arial" w:eastAsia="Times New Roman" w:cs="Arial"/>
      <w:i w:val="false"/>
      <w:color w:val="00000A"/>
      <w:sz w:val="22"/>
      <w:szCs w:val="22"/>
      <w:lang w:val="en-US" w:eastAsia="en-US" w:bidi="ar-SA"/>
    </w:rPr>
  </w:style>
  <w:style w:type="paragraph" w:styleId="BlockText">
    <w:name w:val="Block Text"/>
    <w:rsid w:val="00f956b0"/>
    <w:basedOn w:val="Normal"/>
    <w:pPr>
      <w:pBdr>
        <w:top w:val="single" w:sz="2" w:space="10" w:color="4F81BD"/>
        <w:left w:val="single" w:sz="2" w:space="10" w:color="4F81BD"/>
        <w:bottom w:val="single" w:sz="2" w:space="10" w:color="4F81BD"/>
        <w:right w:val="single" w:sz="2" w:space="10" w:color="4F81BD"/>
      </w:pBdr>
      <w:ind w:left="1152" w:right="1152" w:hanging="0"/>
    </w:pPr>
    <w:rPr>
      <w:rFonts w:ascii="Calibri" w:hAnsi="Calibri" w:cs=""/>
      <w:i/>
      <w:iCs/>
      <w:color w:val="4F81BD"/>
    </w:rPr>
  </w:style>
  <w:style w:type="paragraph" w:styleId="ListParagraph">
    <w:name w:val="List Paragraph"/>
    <w:uiPriority w:val="34"/>
    <w:qFormat/>
    <w:rsid w:val="00f956b0"/>
    <w:basedOn w:val="Normal"/>
    <w:pPr>
      <w:spacing w:before="0" w:after="0"/>
      <w:ind w:left="720" w:right="0" w:hanging="0"/>
      <w:contextualSpacing/>
    </w:pPr>
    <w:rPr/>
  </w:style>
  <w:style w:type="paragraph" w:styleId="Caption1">
    <w:name w:val="caption"/>
    <w:qFormat/>
    <w:unhideWhenUsed/>
    <w:rsid w:val="004d7b94"/>
    <w:basedOn w:val="Normal"/>
    <w:next w:val="Normal"/>
    <w:pPr>
      <w:spacing w:before="0" w:after="200"/>
    </w:pPr>
    <w:rPr>
      <w:b/>
      <w:bCs/>
      <w:color w:val="4F81BD"/>
      <w:sz w:val="18"/>
      <w:szCs w:val="18"/>
    </w:rPr>
  </w:style>
  <w:style w:type="paragraph" w:styleId="Functionality" w:customStyle="1">
    <w:name w:val="Functionality"/>
    <w:qFormat/>
    <w:rsid w:val="0081733a"/>
    <w:basedOn w:val="Normal"/>
    <w:next w:val="Normal"/>
    <w:pPr>
      <w:keepNext/>
    </w:pPr>
    <w:rPr>
      <w:b/>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StyleWLE">
    <w:name w:val="Table Style WLE"/>
    <w:basedOn w:val="Table3Deffects2"/>
    <w:rsid w:val="006e176c"/>
    <w:pPr>
      <w:jc w:val="both"/>
    </w:pPr>
    <w:tblPr>
      <w:tblStyleRowBandSize w:val="1"/>
      <w:tblInd w:type="dxa" w:w="0"/>
      <w:tblBorders>
        <w:top w:space="0" w:sz="4" w:color="auto" w:val="double"/>
        <w:left w:space="0" w:sz="4" w:color="auto" w:val="double"/>
        <w:bottom w:space="0" w:sz="4" w:color="auto" w:val="double"/>
        <w:right w:space="0" w:sz="4" w:color="auto" w:val="double"/>
      </w:tblBorders>
      <w:tblCellMar>
        <w:top w:w="0" w:type="dxa"/>
        <w:left w:w="108" w:type="dxa"/>
        <w:bottom w:w="0" w:type="dxa"/>
        <w:right w:w="108" w:type="dxa"/>
      </w:tblCellMar>
    </w:tblPr>
    <w:tcPr>
      <w:shd w:fill="E6E6E6" w:color="auto" w:val="clear"/>
    </w:tcPr>
    <w:tblStylePr w:type="firstRow">
      <w:pPr>
        <w:jc w:val="left"/>
      </w:pPr>
      <w:rPr>
        <w:b/>
        <w:bCs/>
        <w:color w:val="FFFFFF"/>
        <w:sz w:val="20"/>
      </w:rPr>
      <w:tblPr/>
      <w:tcPr>
        <w:tcBorders>
          <w:top w:space="0" w:sz="4" w:color="auto" w:val="double"/>
          <w:left w:space="0" w:sz="4" w:color="auto" w:val="double"/>
          <w:bottom w:space="0" w:sz="4" w:color="auto" w:val="double"/>
          <w:right w:space="0" w:sz="4" w:color="auto" w:val="double"/>
          <w:insideH w:val="nil"/>
          <w:insideV w:val="nil"/>
          <w:tl2br w:val="nil"/>
          <w:tr2bl w:val="nil"/>
        </w:tcBorders>
        <w:shd w:fill="333399" w:color="auto" w:val="clear"/>
      </w:tcPr>
    </w:tblStylePr>
    <w:tblStylePr w:type="lastRow">
      <w:rPr>
        <w:b w:val="0"/>
      </w:rPr>
      <w:tblPr/>
      <w:tcPr>
        <w:tcBorders>
          <w:top w:val="nil"/>
          <w:left w:val="nil"/>
          <w:bottom w:space="0" w:sz="4" w:color="auto" w:val="double"/>
          <w:right w:val="nil"/>
          <w:insideH w:val="nil"/>
          <w:insideV w:val="nil"/>
          <w:tl2br w:val="nil"/>
          <w:tr2bl w:val="nil"/>
        </w:tcBorders>
        <w:shd w:fill="E6E6E6" w:color="auto" w:val="clear"/>
      </w:tcPr>
    </w:tblStylePr>
    <w:tblStylePr w:type="firstCol">
      <w:tblPr/>
      <w:tcPr>
        <w:tcBorders>
          <w:top w:val="nil"/>
          <w:left w:val="nil"/>
          <w:bottom w:val="nil"/>
          <w:right w:val="nil"/>
          <w:insideH w:val="nil"/>
          <w:insideV w:val="nil"/>
          <w:tl2br w:val="nil"/>
          <w:tr2bl w:val="nil"/>
        </w:tcBorders>
        <w:shd w:fill="E6E6E6" w:color="auto" w:val="clear"/>
      </w:tcPr>
    </w:tblStylePr>
    <w:tblStylePr w:type="lastCol">
      <w:tblPr/>
      <w:tcPr>
        <w:tcBorders>
          <w:top w:val="nil"/>
          <w:left w:val="nil"/>
          <w:bottom w:val="nil"/>
          <w:right w:val="nil"/>
          <w:insideH w:val="nil"/>
          <w:insideV w:val="nil"/>
          <w:tl2br w:val="nil"/>
          <w:tr2bl w:val="nil"/>
        </w:tcBorders>
        <w:shd w:fill="E6E6E6" w:color="auto" w:val="clear"/>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le3Deffects2">
    <w:name w:val="Table 3D effects 2"/>
    <w:basedOn w:val="TableNormal"/>
    <w:rsid w:val="006e176c"/>
    <w:tblPr>
      <w:tblStyleRowBandSize w:val="1"/>
      <w:tblInd w:type="dxa" w:w="0"/>
      <w:tblCellMar>
        <w:top w:w="0" w:type="dxa"/>
        <w:left w:w="108" w:type="dxa"/>
        <w:bottom w:w="0" w:type="dxa"/>
        <w:right w:w="108" w:type="dxa"/>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type="table" w:styleId="TableGrid">
    <w:name w:val="Table Grid"/>
    <w:basedOn w:val="TableNormal"/>
    <w:rsid w:val="0019058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LightList-Accent11">
    <w:name w:val="Light List - Accent 11"/>
    <w:basedOn w:val="TableNormal"/>
    <w:uiPriority w:val="61"/>
    <w:rsid w:val="00190588"/>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shd w:themeFill="accent1" w:fill="4F81BD" w:color="auto" w:val="clear"/>
      </w:tcPr>
    </w:tblStylePr>
    <w:tblStylePr w:type="lastRow">
      <w:pPr>
        <w:spacing w:line="240" w:after="0" w:lineRule="auto"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 w:type="table" w:styleId="TableGrid8">
    <w:name w:val="Table Grid 8"/>
    <w:basedOn w:val="TableNormal"/>
    <w:rsid w:val="00190588"/>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w="0" w:type="dxa"/>
        <w:left w:w="108" w:type="dxa"/>
        <w:bottom w:w="0" w:type="dxa"/>
        <w:right w:w="108" w:type="dxa"/>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052D7-078F-405A-8451-BB7EAB84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Approach Template</Template>
  <TotalTime>165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2013-11-15T13:15:00Z</dcterms:created>
  <dc:creator>Pascal Beys</dc:creator>
  <dc:language>en-US</dc:language>
  <cp:lastModifiedBy>Pascal Beys</cp:lastModifiedBy>
  <cp:lastPrinted>2007-08-23T14:26:00Z</cp:lastPrinted>
  <dcterms:modified xsi:type="dcterms:W3CDTF">2013-12-30T09:50:00Z</dcterms:modified>
  <cp:revision>30</cp:revision>
  <dc:title>XYZ - AD - Template</dc:title>
</cp:coreProperties>
</file>