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718096"/>
          <w:sz w:val="24"/>
        </w:rPr>
        <w:t>[DEPARTMENT OF COMPUTER SCIENCE &amp; ENGINEERING]</w:t>
        <w:br/>
        <w:t>[INSTITUTION / UNIVERSITY NAME]</w:t>
        <w:br/>
        <w:br/>
      </w:r>
      <w:r>
        <w:rPr>
          <w:rFonts w:ascii="Calibri" w:hAnsi="Calibri"/>
          <w:b/>
          <w:color w:val="1A365D"/>
          <w:sz w:val="48"/>
        </w:rPr>
        <w:t>WanderGraph: An Intelligent Knowledge-Graph-Powered Place Discovery and Personalized Itinerary Recommendation System</w:t>
        <w:br/>
        <w:br/>
      </w:r>
      <w:r>
        <w:rPr>
          <w:rFonts w:ascii="Calibri" w:hAnsi="Calibri"/>
          <w:i/>
          <w:color w:val="4A5568"/>
          <w:sz w:val="26"/>
        </w:rPr>
        <w:t>Comprehensive Technical Project Report, Mathematical Formulations, Architecture Specifications, and System Evaluation</w:t>
        <w:br/>
        <w:br/>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680"/>
        <w:gridCol w:w="4680"/>
      </w:tblGrid>
      <w:tr>
        <w:tc>
          <w:tcPr>
            <w:tcW w:type="dxa" w:w="4032"/>
            <w:shd w:fill="F7FAFC"/>
            <w:tcMar>
              <w:top w:w="80" w:type="dxa"/>
              <w:bottom w:w="80" w:type="dxa"/>
              <w:left w:w="120" w:type="dxa"/>
              <w:right w:w="120" w:type="dxa"/>
            </w:tcMar>
          </w:tcPr>
          <w:p>
            <w:pPr>
              <w:spacing w:before="0" w:after="0"/>
            </w:pPr>
            <w:r>
              <w:rPr>
                <w:rFonts w:ascii="Calibri" w:hAnsi="Calibri"/>
                <w:b/>
                <w:color w:val="1A365D"/>
                <w:sz w:val="19"/>
              </w:rPr>
              <w:t>Academic Degree / Programme:</w:t>
            </w:r>
          </w:p>
        </w:tc>
        <w:tc>
          <w:tcPr>
            <w:tcW w:type="dxa" w:w="5328"/>
            <w:shd w:fill="FFFFFF"/>
            <w:tcMar>
              <w:top w:w="80" w:type="dxa"/>
              <w:bottom w:w="80" w:type="dxa"/>
              <w:left w:w="120" w:type="dxa"/>
              <w:right w:w="120" w:type="dxa"/>
            </w:tcMar>
          </w:tcPr>
          <w:p>
            <w:pPr>
              <w:spacing w:before="0" w:after="0"/>
            </w:pPr>
            <w:r>
              <w:rPr>
                <w:rFonts w:ascii="Calibri" w:hAnsi="Calibri"/>
                <w:color w:val="2D3748"/>
                <w:sz w:val="19"/>
              </w:rPr>
              <w:t>[Bachelor of Technology / Master of Science in Computer Science &amp; Engineering]</w:t>
            </w:r>
          </w:p>
        </w:tc>
      </w:tr>
      <w:tr>
        <w:tc>
          <w:tcPr>
            <w:tcW w:type="dxa" w:w="4032"/>
            <w:shd w:fill="F7FAFC"/>
            <w:tcMar>
              <w:top w:w="80" w:type="dxa"/>
              <w:bottom w:w="80" w:type="dxa"/>
              <w:left w:w="120" w:type="dxa"/>
              <w:right w:w="120" w:type="dxa"/>
            </w:tcMar>
          </w:tcPr>
          <w:p>
            <w:pPr>
              <w:spacing w:before="0" w:after="0"/>
            </w:pPr>
            <w:r>
              <w:rPr>
                <w:rFonts w:ascii="Calibri" w:hAnsi="Calibri"/>
                <w:b/>
                <w:color w:val="1A365D"/>
                <w:sz w:val="19"/>
              </w:rPr>
              <w:t>Course / Subject:</w:t>
            </w:r>
          </w:p>
        </w:tc>
        <w:tc>
          <w:tcPr>
            <w:tcW w:type="dxa" w:w="5328"/>
            <w:shd w:fill="FFFFFF"/>
            <w:tcMar>
              <w:top w:w="80" w:type="dxa"/>
              <w:bottom w:w="80" w:type="dxa"/>
              <w:left w:w="120" w:type="dxa"/>
              <w:right w:w="120" w:type="dxa"/>
            </w:tcMar>
          </w:tcPr>
          <w:p>
            <w:pPr>
              <w:spacing w:before="0" w:after="0"/>
            </w:pPr>
            <w:r>
              <w:rPr>
                <w:rFonts w:ascii="Calibri" w:hAnsi="Calibri"/>
                <w:color w:val="2D3748"/>
                <w:sz w:val="19"/>
              </w:rPr>
              <w:t>[Capstone Major Project / Advanced Knowledge Engineering &amp; Semantic Web Systems]</w:t>
            </w:r>
          </w:p>
        </w:tc>
      </w:tr>
      <w:tr>
        <w:tc>
          <w:tcPr>
            <w:tcW w:type="dxa" w:w="4032"/>
            <w:shd w:fill="F7FAFC"/>
            <w:tcMar>
              <w:top w:w="80" w:type="dxa"/>
              <w:bottom w:w="80" w:type="dxa"/>
              <w:left w:w="120" w:type="dxa"/>
              <w:right w:w="120" w:type="dxa"/>
            </w:tcMar>
          </w:tcPr>
          <w:p>
            <w:pPr>
              <w:spacing w:before="0" w:after="0"/>
            </w:pPr>
            <w:r>
              <w:rPr>
                <w:rFonts w:ascii="Calibri" w:hAnsi="Calibri"/>
                <w:b/>
                <w:color w:val="1A365D"/>
                <w:sz w:val="19"/>
              </w:rPr>
              <w:t>Faculty Project Guide / Supervisor:</w:t>
            </w:r>
          </w:p>
        </w:tc>
        <w:tc>
          <w:tcPr>
            <w:tcW w:type="dxa" w:w="5328"/>
            <w:shd w:fill="FFFFFF"/>
            <w:tcMar>
              <w:top w:w="80" w:type="dxa"/>
              <w:bottom w:w="80" w:type="dxa"/>
              <w:left w:w="120" w:type="dxa"/>
              <w:right w:w="120" w:type="dxa"/>
            </w:tcMar>
          </w:tcPr>
          <w:p>
            <w:pPr>
              <w:spacing w:before="0" w:after="0"/>
            </w:pPr>
            <w:r>
              <w:rPr>
                <w:rFonts w:ascii="Calibri" w:hAnsi="Calibri"/>
                <w:color w:val="2D3748"/>
                <w:sz w:val="19"/>
              </w:rPr>
              <w:t>[Faculty Guide Name, Designation, Department of CSE]</w:t>
            </w:r>
          </w:p>
        </w:tc>
      </w:tr>
      <w:tr>
        <w:tc>
          <w:tcPr>
            <w:tcW w:type="dxa" w:w="4032"/>
            <w:shd w:fill="F7FAFC"/>
            <w:tcMar>
              <w:top w:w="80" w:type="dxa"/>
              <w:bottom w:w="80" w:type="dxa"/>
              <w:left w:w="120" w:type="dxa"/>
              <w:right w:w="120" w:type="dxa"/>
            </w:tcMar>
          </w:tcPr>
          <w:p>
            <w:pPr>
              <w:spacing w:before="0" w:after="0"/>
            </w:pPr>
            <w:r>
              <w:rPr>
                <w:rFonts w:ascii="Calibri" w:hAnsi="Calibri"/>
                <w:b/>
                <w:color w:val="1A365D"/>
                <w:sz w:val="19"/>
              </w:rPr>
              <w:t>Academic Year / Term:</w:t>
            </w:r>
          </w:p>
        </w:tc>
        <w:tc>
          <w:tcPr>
            <w:tcW w:type="dxa" w:w="5328"/>
            <w:shd w:fill="FFFFFF"/>
            <w:tcMar>
              <w:top w:w="80" w:type="dxa"/>
              <w:bottom w:w="80" w:type="dxa"/>
              <w:left w:w="120" w:type="dxa"/>
              <w:right w:w="120" w:type="dxa"/>
            </w:tcMar>
          </w:tcPr>
          <w:p>
            <w:pPr>
              <w:spacing w:before="0" w:after="0"/>
            </w:pPr>
            <w:r>
              <w:rPr>
                <w:rFonts w:ascii="Calibri" w:hAnsi="Calibri"/>
                <w:color w:val="2D3748"/>
                <w:sz w:val="19"/>
              </w:rPr>
              <w:t>[2025 – 2026 / Final Year Technical Capstone]</w:t>
            </w:r>
          </w:p>
        </w:tc>
      </w:tr>
      <w:tr>
        <w:tc>
          <w:tcPr>
            <w:tcW w:type="dxa" w:w="4032"/>
            <w:shd w:fill="F7FAFC"/>
            <w:tcMar>
              <w:top w:w="80" w:type="dxa"/>
              <w:bottom w:w="80" w:type="dxa"/>
              <w:left w:w="120" w:type="dxa"/>
              <w:right w:w="120" w:type="dxa"/>
            </w:tcMar>
          </w:tcPr>
          <w:p>
            <w:pPr>
              <w:spacing w:before="0" w:after="0"/>
            </w:pPr>
            <w:r>
              <w:rPr>
                <w:rFonts w:ascii="Calibri" w:hAnsi="Calibri"/>
                <w:b/>
                <w:color w:val="1A365D"/>
                <w:sz w:val="19"/>
              </w:rPr>
              <w:t>Date of Submission:</w:t>
            </w:r>
          </w:p>
        </w:tc>
        <w:tc>
          <w:tcPr>
            <w:tcW w:type="dxa" w:w="5328"/>
            <w:shd w:fill="FFFFFF"/>
            <w:tcMar>
              <w:top w:w="80" w:type="dxa"/>
              <w:bottom w:w="80" w:type="dxa"/>
              <w:left w:w="120" w:type="dxa"/>
              <w:right w:w="120" w:type="dxa"/>
            </w:tcMar>
          </w:tcPr>
          <w:p>
            <w:pPr>
              <w:spacing w:before="0" w:after="0"/>
            </w:pPr>
            <w:r>
              <w:rPr>
                <w:rFonts w:ascii="Calibri" w:hAnsi="Calibri"/>
                <w:color w:val="2D3748"/>
                <w:sz w:val="19"/>
              </w:rPr>
              <w:t>October 2026</w:t>
            </w:r>
          </w:p>
        </w:tc>
      </w:tr>
      <w:tr>
        <w:tc>
          <w:tcPr>
            <w:tcW w:type="dxa" w:w="4032"/>
            <w:shd w:fill="F7FAFC"/>
            <w:tcMar>
              <w:top w:w="80" w:type="dxa"/>
              <w:bottom w:w="80" w:type="dxa"/>
              <w:left w:w="120" w:type="dxa"/>
              <w:right w:w="120" w:type="dxa"/>
            </w:tcMar>
          </w:tcPr>
          <w:p>
            <w:pPr>
              <w:spacing w:before="0" w:after="0"/>
            </w:pPr>
            <w:r>
              <w:rPr>
                <w:rFonts w:ascii="Calibri" w:hAnsi="Calibri"/>
                <w:b/>
                <w:color w:val="1A365D"/>
                <w:sz w:val="19"/>
              </w:rPr>
              <w:t>Candidate 1 (Backend AI &amp; KG Architect):</w:t>
            </w:r>
          </w:p>
        </w:tc>
        <w:tc>
          <w:tcPr>
            <w:tcW w:type="dxa" w:w="5328"/>
            <w:shd w:fill="FFFFFF"/>
            <w:tcMar>
              <w:top w:w="80" w:type="dxa"/>
              <w:bottom w:w="80" w:type="dxa"/>
              <w:left w:w="120" w:type="dxa"/>
              <w:right w:w="120" w:type="dxa"/>
            </w:tcMar>
          </w:tcPr>
          <w:p>
            <w:pPr>
              <w:spacing w:before="0" w:after="0"/>
            </w:pPr>
            <w:r>
              <w:rPr>
                <w:rFonts w:ascii="Calibri" w:hAnsi="Calibri"/>
                <w:color w:val="2D3748"/>
                <w:sz w:val="19"/>
              </w:rPr>
              <w:t>Krishna Chaitanya — Roll / ID: [Member 1 Identifier]</w:t>
            </w:r>
          </w:p>
        </w:tc>
      </w:tr>
      <w:tr>
        <w:tc>
          <w:tcPr>
            <w:tcW w:type="dxa" w:w="4032"/>
            <w:shd w:fill="F7FAFC"/>
            <w:tcMar>
              <w:top w:w="80" w:type="dxa"/>
              <w:bottom w:w="80" w:type="dxa"/>
              <w:left w:w="120" w:type="dxa"/>
              <w:right w:w="120" w:type="dxa"/>
            </w:tcMar>
          </w:tcPr>
          <w:p>
            <w:pPr>
              <w:spacing w:before="0" w:after="0"/>
            </w:pPr>
            <w:r>
              <w:rPr>
                <w:rFonts w:ascii="Calibri" w:hAnsi="Calibri"/>
                <w:b/>
                <w:color w:val="1A365D"/>
                <w:sz w:val="19"/>
              </w:rPr>
              <w:t>Candidate 2 (Frontend &amp; Visualization Architect):</w:t>
            </w:r>
          </w:p>
        </w:tc>
        <w:tc>
          <w:tcPr>
            <w:tcW w:type="dxa" w:w="5328"/>
            <w:shd w:fill="FFFFFF"/>
            <w:tcMar>
              <w:top w:w="80" w:type="dxa"/>
              <w:bottom w:w="80" w:type="dxa"/>
              <w:left w:w="120" w:type="dxa"/>
              <w:right w:w="120" w:type="dxa"/>
            </w:tcMar>
          </w:tcPr>
          <w:p>
            <w:pPr>
              <w:spacing w:before="0" w:after="0"/>
            </w:pPr>
            <w:r>
              <w:rPr>
                <w:rFonts w:ascii="Calibri" w:hAnsi="Calibri"/>
                <w:color w:val="2D3748"/>
                <w:sz w:val="19"/>
              </w:rPr>
              <w:t>[Member 2 Full Name] — Roll / ID: [Member 2 Identifier]</w:t>
            </w:r>
          </w:p>
        </w:tc>
      </w:tr>
      <w:tr>
        <w:tc>
          <w:tcPr>
            <w:tcW w:type="dxa" w:w="4032"/>
            <w:shd w:fill="F7FAFC"/>
            <w:tcMar>
              <w:top w:w="80" w:type="dxa"/>
              <w:bottom w:w="80" w:type="dxa"/>
              <w:left w:w="120" w:type="dxa"/>
              <w:right w:w="120" w:type="dxa"/>
            </w:tcMar>
          </w:tcPr>
          <w:p>
            <w:pPr>
              <w:spacing w:before="0" w:after="0"/>
            </w:pPr>
            <w:r>
              <w:rPr>
                <w:rFonts w:ascii="Calibri" w:hAnsi="Calibri"/>
                <w:b/>
                <w:color w:val="1A365D"/>
                <w:sz w:val="19"/>
              </w:rPr>
              <w:t>Official GitHub Repository:</w:t>
            </w:r>
          </w:p>
        </w:tc>
        <w:tc>
          <w:tcPr>
            <w:tcW w:type="dxa" w:w="5328"/>
            <w:shd w:fill="FFFFFF"/>
            <w:tcMar>
              <w:top w:w="80" w:type="dxa"/>
              <w:bottom w:w="80" w:type="dxa"/>
              <w:left w:w="120" w:type="dxa"/>
              <w:right w:w="120" w:type="dxa"/>
            </w:tcMar>
          </w:tcPr>
          <w:p>
            <w:pPr>
              <w:spacing w:before="0" w:after="0"/>
            </w:pPr>
            <w:r>
              <w:rPr>
                <w:rFonts w:ascii="Calibri" w:hAnsi="Calibri"/>
                <w:color w:val="2D3748"/>
                <w:sz w:val="19"/>
              </w:rPr>
              <w:t>https://github.com/IamKrishna18/wandergraph.git</w:t>
            </w:r>
          </w:p>
        </w:tc>
      </w:tr>
    </w:tbl>
    <w:p>
      <w:r>
        <w:br w:type="page"/>
      </w:r>
    </w:p>
    <w:p>
      <w:pPr>
        <w:pStyle w:val="Heading1"/>
        <w:keepNext/>
        <w:spacing w:before="360" w:after="120"/>
      </w:pPr>
      <w:r>
        <w:rPr>
          <w:rFonts w:ascii="Calibri" w:hAnsi="Calibri"/>
          <w:b/>
          <w:color w:val="1A365D"/>
          <w:sz w:val="34"/>
        </w:rPr>
        <w:t>Executive Abstract</w:t>
      </w:r>
    </w:p>
    <w:p>
      <w:pPr>
        <w:spacing w:before="0" w:after="120" w:line="276" w:lineRule="auto"/>
      </w:pPr>
      <w:r>
        <w:rPr>
          <w:rFonts w:ascii="Calibri" w:hAnsi="Calibri"/>
          <w:i w:val="0"/>
          <w:color w:val="2D3748"/>
          <w:sz w:val="22"/>
        </w:rPr>
        <w:t xml:space="preserve">Personalized place discovery and multi-stop travel itinerary generation represent a challenging frontier at the intersection of knowledge representation, geospatial computing, and generative artificial intelligence. Conventional search engines and commercial point-of-interest directories evaluate venues as isolated, unlinked database rows, relying on flat keyword filtering and static aggregated star ratings that obscure rich contextual suitability. Conversely, state-of-the-art unconstrained Large Language Models (LLMs) frequently hallucinate closed venues, present unverified operating hours, and sequence geographically erratic itineraries that lack factual provenance. </w:t>
        <w:br/>
        <w:br/>
        <w:t xml:space="preserve">This report presents WanderGraph, an intelligent, knowledge-graph-powered recommendation platform engineered to resolve these systemic limitations. WanderGraph models urban cultural ecosystems as a formal semantic directed multigraph G = (V, E) utilizing NetworkX, encompassing 689 heterogeneous entity nodes and 2,231 verified semantic edges across four global metropolitan centers: Hyderabad, Bengaluru, Tokyo, and Kyoto. Geospatial proximity is formalized via a vectorized great-circle Haversine engine that dynamically synthesizes spatial adjacency edges (NEARBY_TO) for points of interest situated within a 4.0-kilometer radius threshold. </w:t>
        <w:br/>
        <w:br/>
        <w:t>To generate trustworthy recommendations, WanderGraph executes multi-hop graph constraint-satisfaction traversals across companion types, atmospheric vibes, budget ceilings, and physical wheelchair accessibility, synthesizing explicit, transparent textual justifications grounded directly in the traversed edge paths. For conversational itinerary planning, Google Gemini 3.5 Flash-Lite is tightly bounded via strict Pydantic JSON schemas, constrained exclusively to the retrieved sub-graph candidate pool. Integrated with a resilient hybrid data pipeline leveraging Google Places API (New) with automatic searchNearby fallback and live encyclopedic Wikimedia Commons photo resolution, WanderGraph delivers an end-to-end explainable travel discovery solution verified through 24 backend Pytest suites and 7 frontend Vitest test suites.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30" w:space="0" w:color="1A365D"/>
              <w:bottom w:val="none"/>
              <w:right w:val="none"/>
            </w:tcBorders>
          </w:tcPr>
          <w:p>
            <w:pPr>
              <w:spacing w:before="0" w:after="40" w:line="276" w:lineRule="auto"/>
            </w:pPr>
            <w:r>
              <w:rPr>
                <w:rFonts w:ascii="Calibri" w:hAnsi="Calibri"/>
                <w:b/>
                <w:color w:val="1A365D"/>
                <w:sz w:val="21"/>
              </w:rPr>
              <w:t>Keywords &amp; Subject Classifications:</w:t>
              <w:br/>
            </w:r>
            <w:r>
              <w:rPr>
                <w:rFonts w:ascii="Calibri" w:hAnsi="Calibri"/>
                <w:color w:val="2D3748"/>
                <w:sz w:val="20"/>
              </w:rPr>
              <w:t>Knowledge Graph, Semantic Recommendation, Geospatial Computing, Explainable AI, NetworkX MultiDiGraph, Haversine Clustering, Multi-Hop Traversal, Grounded Itinerary Generation, Gemini 3.5 Flash-Lite, Wikimedia Commons.</w:t>
            </w:r>
          </w:p>
        </w:tc>
      </w:tr>
    </w:tbl>
    <w:p>
      <w:pPr>
        <w:spacing w:before="0" w:after="80"/>
      </w:pPr>
    </w:p>
    <w:p>
      <w:pPr>
        <w:pStyle w:val="Heading1"/>
        <w:keepNext/>
        <w:spacing w:before="360" w:after="120"/>
      </w:pPr>
      <w:r>
        <w:rPr>
          <w:rFonts w:ascii="Calibri" w:hAnsi="Calibri"/>
          <w:b/>
          <w:color w:val="1A365D"/>
          <w:sz w:val="34"/>
        </w:rPr>
        <w:t>1. Team Composition &amp; Division of Responsibilities</w:t>
      </w:r>
    </w:p>
    <w:p>
      <w:pPr>
        <w:spacing w:before="0" w:after="120" w:line="276" w:lineRule="auto"/>
      </w:pPr>
      <w:r>
        <w:rPr>
          <w:rFonts w:ascii="Calibri" w:hAnsi="Calibri"/>
          <w:i w:val="0"/>
          <w:color w:val="2D3748"/>
          <w:sz w:val="22"/>
        </w:rPr>
        <w:t>The engineering of WanderGraph was executed as a collaborative capstone initiative by a specialized two-member technical team. To ensure high engineering rigor, modular encapsulation, and parallel execution, the project responsibilities were formally partitioned between Knowledge Graph &amp; Backend AI Architecture (Member 1) and Frontend Architecture &amp; Data Visualization Engineering (Member 2).</w:t>
      </w:r>
    </w:p>
    <w:tbl>
      <w:tblPr>
        <w:tblW w:type="auto" w:w="0"/>
        <w:jc w:val="center"/>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3120"/>
        <w:gridCol w:w="3120"/>
        <w:gridCol w:w="3120"/>
      </w:tblGrid>
      <w:tr>
        <w:trPr>
          <w:tblHeader/>
        </w:trPr>
        <w:tc>
          <w:tcPr>
            <w:tcW w:type="dxa" w:w="2160"/>
            <w:shd w:fill="1A365D"/>
            <w:tcMar>
              <w:top w:w="140" w:type="dxa"/>
              <w:bottom w:w="140" w:type="dxa"/>
              <w:left w:w="140" w:type="dxa"/>
              <w:right w:w="140" w:type="dxa"/>
            </w:tcMar>
          </w:tcPr>
          <w:p>
            <w:pPr>
              <w:spacing w:before="0" w:after="0"/>
              <w:jc w:val="left"/>
            </w:pPr>
            <w:r>
              <w:rPr>
                <w:rFonts w:ascii="Calibri" w:hAnsi="Calibri"/>
                <w:b/>
                <w:color w:val="FFFFFF"/>
                <w:sz w:val="20"/>
              </w:rPr>
              <w:t>Technical Dimension</w:t>
            </w:r>
          </w:p>
        </w:tc>
        <w:tc>
          <w:tcPr>
            <w:tcW w:type="dxa" w:w="3600"/>
            <w:shd w:fill="1A365D"/>
            <w:tcMar>
              <w:top w:w="140" w:type="dxa"/>
              <w:bottom w:w="140" w:type="dxa"/>
              <w:left w:w="140" w:type="dxa"/>
              <w:right w:w="140" w:type="dxa"/>
            </w:tcMar>
          </w:tcPr>
          <w:p>
            <w:pPr>
              <w:spacing w:before="0" w:after="0"/>
              <w:jc w:val="left"/>
            </w:pPr>
            <w:r>
              <w:rPr>
                <w:rFonts w:ascii="Calibri" w:hAnsi="Calibri"/>
                <w:b/>
                <w:color w:val="FFFFFF"/>
                <w:sz w:val="20"/>
              </w:rPr>
              <w:t>Member 1: Knowledge Graph &amp; Backend AI Architect</w:t>
            </w:r>
          </w:p>
        </w:tc>
        <w:tc>
          <w:tcPr>
            <w:tcW w:type="dxa" w:w="3600"/>
            <w:shd w:fill="1A365D"/>
            <w:tcMar>
              <w:top w:w="140" w:type="dxa"/>
              <w:bottom w:w="140" w:type="dxa"/>
              <w:left w:w="140" w:type="dxa"/>
              <w:right w:w="140" w:type="dxa"/>
            </w:tcMar>
          </w:tcPr>
          <w:p>
            <w:pPr>
              <w:spacing w:before="0" w:after="0"/>
              <w:jc w:val="left"/>
            </w:pPr>
            <w:r>
              <w:rPr>
                <w:rFonts w:ascii="Calibri" w:hAnsi="Calibri"/>
                <w:b/>
                <w:color w:val="FFFFFF"/>
                <w:sz w:val="20"/>
              </w:rPr>
              <w:t>Member 2: Frontend Architect &amp; Data Visualization Engineer</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Core Architecture &amp; Frameworks</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FastAPI REST service, NetworkX MultiDiGraph in-memory knowledge store, Pydantic v2 data validation schemas, Uvicorn ASGI server.</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React 18 Single-Page Application (SPA), TypeScript strict mode, Vite build orchestration, Tailwind CSS design system.</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Knowledge Graph Engineering</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Formulated formal travel ontology (6 node entity classes, 10 relation types); built graph ingestion pipeline (689 nodes, 2,231 edges); validated acyclic invariants.</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Engineered interactive HTML5 Canvas graph visualizer; designed force-directed node positioning, type-based color palettes, and interactive node tooltips.</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Geospatial &amp; Recommendation Algorithms</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Derived vectorized great-circle Haversine metric (threshold &lt;= 4.0 km); engineered multi-hop constraint-satisfaction ranking engine with transparent edge-path explainability.</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Implemented real-time client-side filter chips (companions, atmospheres, budget, accessibility); designed verified badge overlays and distance tags.</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AI Grounding &amp; LLM Orchestration</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Engineered Gemini 3.5 Flash-Lite integration; authored system prompts with strict Pydantic output constraints; bounded LLM generation to graph-retrieved candidate pool.</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Built floating conversational AI assistant drawer; designed turn-based chat UI, day-sequenced timeline cards, and stop replacement modals.</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External APIs &amp; Media Pipelines</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Architected hybrid data provider: Google Places API (New) with automatic searchNearby quota fallback; Wikimedia Commons live encyclopedic image resolver.</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Integrated dual-source image rendering with fallback mechanisms; built photographer licensing attribution overlays and responsive place cards.</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Localization &amp; Verification</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Implemented multi-currency price normalization (INR ₹ and JPY ¥); authored automated backend test suite (24 Pytest unit/integration tests).</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Built localized price formatting display; authored frontend component verification suite (7 Vitest tests); verified zero TypeScript compilation errors.</w:t>
            </w:r>
          </w:p>
        </w:tc>
      </w:tr>
    </w:tbl>
    <w:p>
      <w:pPr>
        <w:spacing w:before="0" w:after="120"/>
      </w:pPr>
    </w:p>
    <w:p>
      <w:pPr>
        <w:pStyle w:val="Heading1"/>
        <w:keepNext/>
        <w:spacing w:before="360" w:after="120"/>
      </w:pPr>
      <w:r>
        <w:rPr>
          <w:rFonts w:ascii="Calibri" w:hAnsi="Calibri"/>
          <w:b/>
          <w:color w:val="1A365D"/>
          <w:sz w:val="34"/>
        </w:rPr>
        <w:t>2. Introduction and Problem Statement</w:t>
      </w:r>
    </w:p>
    <w:p>
      <w:pPr>
        <w:spacing w:before="0" w:after="120" w:line="276" w:lineRule="auto"/>
      </w:pPr>
      <w:r>
        <w:rPr>
          <w:rFonts w:ascii="Calibri" w:hAnsi="Calibri"/>
          <w:i w:val="0"/>
          <w:color w:val="2D3748"/>
          <w:sz w:val="22"/>
        </w:rPr>
        <w:t>Contemporary digital tourism and point-of-interest discovery are plagued by an architectural paradox. While the internet contains an unprecedented volume of geospatial data and consumer reviews, travelers routinely struggle to assemble personalized, context-aware itineraries. Existing commercial discovery tools and algorithmic recommendation engines suffer from three fundamental architectural flaws:</w:t>
      </w:r>
    </w:p>
    <w:p>
      <w:pPr>
        <w:pStyle w:val="ListBullet"/>
        <w:spacing w:before="0" w:after="60" w:line="276" w:lineRule="auto"/>
      </w:pPr>
      <w:r>
        <w:rPr>
          <w:rFonts w:ascii="Calibri" w:hAnsi="Calibri"/>
          <w:b/>
          <w:color w:val="1A202C"/>
          <w:sz w:val="21"/>
        </w:rPr>
        <w:t xml:space="preserve">1. Flat Data Silos &amp; Semantic Disconnect: </w:t>
      </w:r>
      <w:r>
        <w:rPr>
          <w:rFonts w:ascii="Calibri" w:hAnsi="Calibri"/>
          <w:color w:val="2D3748"/>
          <w:sz w:val="21"/>
        </w:rPr>
        <w:t>Commercial POI directories (e.g., Google Maps, Yelp, TripAdvisor) model destinations as isolated rows in relational tables. While effective for single-point queries ('find nearby coffee'), they fail to capture multi-dimensional semantic relationships such as romantic atmospheres, cultural significance, or companion suitability.</w:t>
      </w:r>
    </w:p>
    <w:p>
      <w:pPr>
        <w:pStyle w:val="ListBullet"/>
        <w:spacing w:before="0" w:after="60" w:line="276" w:lineRule="auto"/>
      </w:pPr>
      <w:r>
        <w:rPr>
          <w:rFonts w:ascii="Calibri" w:hAnsi="Calibri"/>
          <w:b/>
          <w:color w:val="1A202C"/>
          <w:sz w:val="21"/>
        </w:rPr>
        <w:t xml:space="preserve">2. Relational Query Inefficiency: </w:t>
      </w:r>
      <w:r>
        <w:rPr>
          <w:rFonts w:ascii="Calibri" w:hAnsi="Calibri"/>
          <w:color w:val="2D3748"/>
          <w:sz w:val="21"/>
        </w:rPr>
        <w:t>Relational databases require expensive recursive multi-table JOIN operations across entity, attribute, and spatial tables to evaluate complex contextual queries, resulting in computational bottlenecks and rigid query schemas that cannot adapt to non-linear exploratory travel patterns.</w:t>
      </w:r>
    </w:p>
    <w:p>
      <w:pPr>
        <w:pStyle w:val="ListBullet"/>
        <w:spacing w:before="0" w:after="60" w:line="276" w:lineRule="auto"/>
      </w:pPr>
      <w:r>
        <w:rPr>
          <w:rFonts w:ascii="Calibri" w:hAnsi="Calibri"/>
          <w:b/>
          <w:color w:val="1A202C"/>
          <w:sz w:val="21"/>
        </w:rPr>
        <w:t xml:space="preserve">3. Unconstrained Generative AI Hallucination: </w:t>
      </w:r>
      <w:r>
        <w:rPr>
          <w:rFonts w:ascii="Calibri" w:hAnsi="Calibri"/>
          <w:color w:val="2D3748"/>
          <w:sz w:val="21"/>
        </w:rPr>
        <w:t>When prospective travelers consult generic LLMs (e.g., ChatGPT, Claude) for itinerary planning, the models suffer from stochastic hallucinations—generating non-existent venues, recommending businesses that closed permanently, presenting fictional admission fees, and sequencing geographically impossible travel routes.</w:t>
      </w:r>
    </w:p>
    <w:p>
      <w:pPr>
        <w:spacing w:before="0" w:after="120" w:line="276" w:lineRule="auto"/>
      </w:pPr>
      <w:r>
        <w:rPr>
          <w:rFonts w:ascii="Calibri" w:hAnsi="Calibri"/>
          <w:i w:val="0"/>
          <w:color w:val="2D3748"/>
          <w:sz w:val="22"/>
        </w:rPr>
        <w:t>WanderGraph resolves these challenges by introducing an explicit, grounded Knowledge Graph as the foundational layer of truth. The research and engineering questions addressed in this project include:</w:t>
      </w:r>
    </w:p>
    <w:p>
      <w:pPr>
        <w:pStyle w:val="ListBullet"/>
        <w:spacing w:before="0" w:after="60" w:line="276" w:lineRule="auto"/>
      </w:pPr>
      <w:r>
        <w:rPr>
          <w:rFonts w:ascii="Calibri" w:hAnsi="Calibri"/>
          <w:b/>
          <w:color w:val="1A202C"/>
          <w:sz w:val="21"/>
        </w:rPr>
        <w:t xml:space="preserve">RQ1 (Knowledge Representation): </w:t>
      </w:r>
      <w:r>
        <w:rPr>
          <w:rFonts w:ascii="Calibri" w:hAnsi="Calibri"/>
          <w:color w:val="2D3748"/>
          <w:sz w:val="21"/>
        </w:rPr>
        <w:t>How can a heterogeneous semantic graph formally represent the intricate cultural, emotional, and social dimensions of travel destinations across diverse global cities?</w:t>
      </w:r>
    </w:p>
    <w:p>
      <w:pPr>
        <w:pStyle w:val="ListBullet"/>
        <w:spacing w:before="0" w:after="60" w:line="276" w:lineRule="auto"/>
      </w:pPr>
      <w:r>
        <w:rPr>
          <w:rFonts w:ascii="Calibri" w:hAnsi="Calibri"/>
          <w:b/>
          <w:color w:val="1A202C"/>
          <w:sz w:val="21"/>
        </w:rPr>
        <w:t xml:space="preserve">RQ2 (Graph Traversal &amp; Explainability): </w:t>
      </w:r>
      <w:r>
        <w:rPr>
          <w:rFonts w:ascii="Calibri" w:hAnsi="Calibri"/>
          <w:color w:val="2D3748"/>
          <w:sz w:val="21"/>
        </w:rPr>
        <w:t>How can multi-hop graph traversal algorithms propagate user constraints (budget, atmosphere, companionship, accessibility) to generate mathematically ranked and transparently explainable place recommendations?</w:t>
      </w:r>
    </w:p>
    <w:p>
      <w:pPr>
        <w:pStyle w:val="ListBullet"/>
        <w:spacing w:before="0" w:after="60" w:line="276" w:lineRule="auto"/>
      </w:pPr>
      <w:r>
        <w:rPr>
          <w:rFonts w:ascii="Calibri" w:hAnsi="Calibri"/>
          <w:b/>
          <w:color w:val="1A202C"/>
          <w:sz w:val="21"/>
        </w:rPr>
        <w:t xml:space="preserve">RQ3 (Grounded Generative AI): </w:t>
      </w:r>
      <w:r>
        <w:rPr>
          <w:rFonts w:ascii="Calibri" w:hAnsi="Calibri"/>
          <w:color w:val="2D3748"/>
          <w:sz w:val="21"/>
        </w:rPr>
        <w:t>How can generative language models be strictly bounded to structured knowledge graph sub-graphs to eliminate factual hallucinations while preserving fluid natural language synthesis?</w:t>
      </w:r>
    </w:p>
    <w:p>
      <w:pPr>
        <w:pStyle w:val="ListBullet"/>
        <w:spacing w:before="0" w:after="60" w:line="276" w:lineRule="auto"/>
      </w:pPr>
      <w:r>
        <w:rPr>
          <w:rFonts w:ascii="Calibri" w:hAnsi="Calibri"/>
          <w:b/>
          <w:color w:val="1A202C"/>
          <w:sz w:val="21"/>
        </w:rPr>
        <w:t xml:space="preserve">RQ4 (Geospatial Clustering): </w:t>
      </w:r>
      <w:r>
        <w:rPr>
          <w:rFonts w:ascii="Calibri" w:hAnsi="Calibri"/>
          <w:color w:val="2D3748"/>
          <w:sz w:val="21"/>
        </w:rPr>
        <w:t>How can spherical geospatial distance metrics (Haversine formula) be dynamically synthesized into topological graph edges to ensure multi-stop itineraries are physically feasible without excessive transit overhead?</w:t>
      </w:r>
    </w:p>
    <w:p>
      <w:pPr>
        <w:pStyle w:val="ListBullet"/>
        <w:spacing w:before="0" w:after="60" w:line="276" w:lineRule="auto"/>
      </w:pPr>
      <w:r>
        <w:rPr>
          <w:rFonts w:ascii="Calibri" w:hAnsi="Calibri"/>
          <w:b/>
          <w:color w:val="1A202C"/>
          <w:sz w:val="21"/>
        </w:rPr>
        <w:t xml:space="preserve">RQ5 (Hybrid Data Engineering): </w:t>
      </w:r>
      <w:r>
        <w:rPr>
          <w:rFonts w:ascii="Calibri" w:hAnsi="Calibri"/>
          <w:color w:val="2D3748"/>
          <w:sz w:val="21"/>
        </w:rPr>
        <w:t>How can hybrid data architectures balance pre-curated cultural ontologies with real-time external APIs (Google Places, Wikimedia Commons) to guarantee fresh metadata and authentic visual provenance?</w:t>
      </w:r>
    </w:p>
    <w:p>
      <w:pPr>
        <w:pStyle w:val="Heading1"/>
        <w:keepNext/>
        <w:spacing w:before="360" w:after="120"/>
      </w:pPr>
      <w:r>
        <w:rPr>
          <w:rFonts w:ascii="Calibri" w:hAnsi="Calibri"/>
          <w:b/>
          <w:color w:val="1A365D"/>
          <w:sz w:val="34"/>
        </w:rPr>
        <w:t>3. System Architecture &amp; End-to-End Pipeline</w:t>
      </w:r>
    </w:p>
    <w:p>
      <w:pPr>
        <w:spacing w:before="0" w:after="120" w:line="276" w:lineRule="auto"/>
      </w:pPr>
      <w:r>
        <w:rPr>
          <w:rFonts w:ascii="Calibri" w:hAnsi="Calibri"/>
          <w:i w:val="0"/>
          <w:color w:val="2D3748"/>
          <w:sz w:val="22"/>
        </w:rPr>
        <w:t>WanderGraph is architected as a high-performance, decoupled client-service platform designed for sub-second query execution, interactive visual exploration, and robust external API resilience. Figure 1 illustrates the end-to-end system topology across the Client Layer, Service Layer, Knowledge Graph Core, and External Data Providers.</w:t>
      </w:r>
    </w:p>
    <w:p>
      <w:pPr>
        <w:spacing w:before="20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669280" cy="3401568"/>
                    </a:xfrm>
                    <a:prstGeom prst="rect"/>
                  </pic:spPr>
                </pic:pic>
              </a:graphicData>
            </a:graphic>
          </wp:inline>
        </w:drawing>
      </w:r>
    </w:p>
    <w:p>
      <w:pPr>
        <w:keepNext w:val="0"/>
        <w:spacing w:before="0" w:after="240"/>
        <w:jc w:val="center"/>
      </w:pPr>
      <w:r>
        <w:rPr>
          <w:rFonts w:ascii="Calibri" w:hAnsi="Calibri"/>
          <w:b/>
          <w:color w:val="1A365D"/>
          <w:sz w:val="19"/>
        </w:rPr>
        <w:t xml:space="preserve">Figure 1: </w:t>
      </w:r>
      <w:r>
        <w:rPr>
          <w:rFonts w:ascii="Calibri" w:hAnsi="Calibri"/>
          <w:i/>
          <w:color w:val="4A5568"/>
          <w:sz w:val="19"/>
        </w:rPr>
        <w:t>End-to-End System Architecture of WanderGraph, illustrating the React 18/TypeScript SPA client layer, FastAPI service layer, NetworkX MultiDiGraph core, and hybrid external integrations.</w:t>
      </w:r>
    </w:p>
    <w:p>
      <w:pPr>
        <w:pStyle w:val="Heading2"/>
        <w:keepNext/>
        <w:spacing w:before="280" w:after="80"/>
      </w:pPr>
      <w:r>
        <w:rPr>
          <w:rFonts w:ascii="Calibri" w:hAnsi="Calibri"/>
          <w:b/>
          <w:color w:val="2B6CB0"/>
          <w:sz w:val="27"/>
        </w:rPr>
        <w:t>3.1 Architectural Decomposition</w:t>
      </w:r>
    </w:p>
    <w:p>
      <w:pPr>
        <w:spacing w:before="0" w:after="120" w:line="276" w:lineRule="auto"/>
      </w:pPr>
      <w:r>
        <w:rPr>
          <w:rFonts w:ascii="Calibri" w:hAnsi="Calibri"/>
          <w:b/>
          <w:color w:val="1A202C"/>
          <w:sz w:val="22"/>
        </w:rPr>
        <w:t xml:space="preserve">Modular Structure: </w:t>
      </w:r>
      <w:r>
        <w:rPr>
          <w:rFonts w:ascii="Calibri" w:hAnsi="Calibri"/>
          <w:i w:val="0"/>
          <w:color w:val="2D3748"/>
          <w:sz w:val="22"/>
        </w:rPr>
        <w:t>The platform is organized into four distinct architectural tiers:</w:t>
      </w:r>
    </w:p>
    <w:p>
      <w:pPr>
        <w:pStyle w:val="ListBullet"/>
        <w:spacing w:before="0" w:after="60" w:line="276" w:lineRule="auto"/>
      </w:pPr>
      <w:r>
        <w:rPr>
          <w:rFonts w:ascii="Calibri" w:hAnsi="Calibri"/>
          <w:b/>
          <w:color w:val="1A202C"/>
          <w:sz w:val="21"/>
        </w:rPr>
        <w:t xml:space="preserve">1. Presentation Layer (Client SPA): </w:t>
      </w:r>
      <w:r>
        <w:rPr>
          <w:rFonts w:ascii="Calibri" w:hAnsi="Calibri"/>
          <w:color w:val="2D3748"/>
          <w:sz w:val="21"/>
        </w:rPr>
        <w:t>Engineered with React 18, TypeScript, and Vite. Implements a responsive discovery interface, dynamic constraint filter chips, an interactive HTML5 Canvas Knowledge Graph explorer, and a slide-over Conversational AI Itinerary assistant.</w:t>
      </w:r>
    </w:p>
    <w:p>
      <w:pPr>
        <w:pStyle w:val="ListBullet"/>
        <w:spacing w:before="0" w:after="60" w:line="276" w:lineRule="auto"/>
      </w:pPr>
      <w:r>
        <w:rPr>
          <w:rFonts w:ascii="Calibri" w:hAnsi="Calibri"/>
          <w:b/>
          <w:color w:val="1A202C"/>
          <w:sz w:val="21"/>
        </w:rPr>
        <w:t xml:space="preserve">2. Application Service Layer (FastAPI Backend): </w:t>
      </w:r>
      <w:r>
        <w:rPr>
          <w:rFonts w:ascii="Calibri" w:hAnsi="Calibri"/>
          <w:color w:val="2D3748"/>
          <w:sz w:val="21"/>
        </w:rPr>
        <w:t>Powered by FastAPI and Python 3.14/3.11. Exposes RESTful endpoints for place discovery, multi-hop recommendation scoring, structured itinerary generation, and graph topology introspection.</w:t>
      </w:r>
    </w:p>
    <w:p>
      <w:pPr>
        <w:pStyle w:val="ListBullet"/>
        <w:spacing w:before="0" w:after="60" w:line="276" w:lineRule="auto"/>
      </w:pPr>
      <w:r>
        <w:rPr>
          <w:rFonts w:ascii="Calibri" w:hAnsi="Calibri"/>
          <w:b/>
          <w:color w:val="1A202C"/>
          <w:sz w:val="21"/>
        </w:rPr>
        <w:t xml:space="preserve">3. Knowledge Graph Engine (NetworkX MultiDiGraph): </w:t>
      </w:r>
      <w:r>
        <w:rPr>
          <w:rFonts w:ascii="Calibri" w:hAnsi="Calibri"/>
          <w:color w:val="2D3748"/>
          <w:sz w:val="21"/>
        </w:rPr>
        <w:t>An in-memory NetworkX MultiDiGraph instance housing 689 entity nodes and 2,231 semantic and spatial edges. Pre-compiled during server startup, providing sub-millisecond edge traversal latency without external database roundtrips.</w:t>
      </w:r>
    </w:p>
    <w:p>
      <w:pPr>
        <w:pStyle w:val="ListBullet"/>
        <w:spacing w:before="0" w:after="60" w:line="276" w:lineRule="auto"/>
      </w:pPr>
      <w:r>
        <w:rPr>
          <w:rFonts w:ascii="Calibri" w:hAnsi="Calibri"/>
          <w:b/>
          <w:color w:val="1A202C"/>
          <w:sz w:val="21"/>
        </w:rPr>
        <w:t xml:space="preserve">4. External Integration Layer (AI &amp; Cloud APIs): </w:t>
      </w:r>
      <w:r>
        <w:rPr>
          <w:rFonts w:ascii="Calibri" w:hAnsi="Calibri"/>
          <w:color w:val="2D3748"/>
          <w:sz w:val="21"/>
        </w:rPr>
        <w:t>Integrates Google Places API (New) with automated searchNearby fallback for live venue discovery, Wikimedia Commons API for authentic high-resolution imagery, and Google Gemini 3.5 Flash-Lite for structured JSON itinerary planning.</w:t>
      </w:r>
    </w:p>
    <w:p>
      <w:pPr>
        <w:pStyle w:val="Heading1"/>
        <w:keepNext/>
        <w:spacing w:before="360" w:after="120"/>
      </w:pPr>
      <w:r>
        <w:rPr>
          <w:rFonts w:ascii="Calibri" w:hAnsi="Calibri"/>
          <w:b/>
          <w:color w:val="1A365D"/>
          <w:sz w:val="34"/>
        </w:rPr>
        <w:t>4. Formal Knowledge Graph Model &amp; Topological Structure</w:t>
      </w:r>
    </w:p>
    <w:p>
      <w:pPr>
        <w:spacing w:before="0" w:after="120" w:line="276" w:lineRule="auto"/>
      </w:pPr>
      <w:r>
        <w:rPr>
          <w:rFonts w:ascii="Calibri" w:hAnsi="Calibri"/>
          <w:i w:val="0"/>
          <w:color w:val="2D3748"/>
          <w:sz w:val="22"/>
        </w:rPr>
        <w:t>At the mathematical core of WanderGraph is a formal directed heterogeneous multigraph defined as a 6-tuple:</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30" w:space="0" w:color="1A365D"/>
              <w:bottom w:val="none"/>
              <w:right w:val="none"/>
            </w:tcBorders>
          </w:tcPr>
          <w:p>
            <w:pPr>
              <w:spacing w:before="0" w:after="40" w:line="276" w:lineRule="auto"/>
            </w:pPr>
            <w:r>
              <w:rPr>
                <w:rFonts w:ascii="Calibri" w:hAnsi="Calibri"/>
                <w:b/>
                <w:color w:val="1A365D"/>
                <w:sz w:val="21"/>
              </w:rPr>
              <w:t>Mathematical Formulation: Formal Directed Multigraph Definition</w:t>
              <w:br/>
            </w:r>
            <w:r>
              <w:rPr>
                <w:rFonts w:ascii="Calibri" w:hAnsi="Calibri"/>
                <w:color w:val="2D3748"/>
                <w:sz w:val="20"/>
              </w:rPr>
              <w:t>G = (V, E, tau_V, tau_E, A_V, A_E)</w:t>
              <w:br/>
              <w:br/>
              <w:t>Where:</w:t>
              <w:br/>
              <w:t>• V is the finite set of heterogeneous entity nodes (|V| = 689).</w:t>
              <w:br/>
              <w:t>• E is the finite set of directed labeled edges (|E| = 2,231).</w:t>
              <w:br/>
              <w:t>• tau_V: V -&gt; T_V maps each node to an entity class in T_V = {Place, City, Category, CompanionType, Atmosphere, TimeOfDay, PriceRange, Neighborhood, Activity, Interest, AccessibilityFeature}.</w:t>
              <w:br/>
              <w:t>• tau_E: E -&gt; T_E maps each edge to a relation type in T_E = {LOCATED_IN, HAS_CATEGORY, SUITABLE_FOR, HAS_ATMOSPHERE, RECOMMENDED_FOR, NEARBY_TO, IN_NEIGHBORHOOD, SUPPORTS_ACTIVITY, HAS_PRICE_RANGE, HAS_ACCESSIBILITY_FEATURE}.</w:t>
              <w:br/>
              <w:t>• A_V and A_E are attribute assignment functions associating key-value attribute maps to nodes and edges respectively.</w:t>
            </w:r>
          </w:p>
        </w:tc>
      </w:tr>
    </w:tbl>
    <w:p>
      <w:pPr>
        <w:spacing w:before="0" w:after="80"/>
      </w:pPr>
    </w:p>
    <w:p>
      <w:pPr>
        <w:pStyle w:val="Heading2"/>
        <w:keepNext/>
        <w:spacing w:before="280" w:after="80"/>
      </w:pPr>
      <w:r>
        <w:rPr>
          <w:rFonts w:ascii="Calibri" w:hAnsi="Calibri"/>
          <w:b/>
          <w:color w:val="2B6CB0"/>
          <w:sz w:val="27"/>
        </w:rPr>
        <w:t>4.1 Formal Travel Ontology Specification</w:t>
      </w:r>
    </w:p>
    <w:p>
      <w:pPr>
        <w:spacing w:before="0" w:after="120" w:line="276" w:lineRule="auto"/>
      </w:pPr>
      <w:r>
        <w:rPr>
          <w:rFonts w:ascii="Calibri" w:hAnsi="Calibri"/>
          <w:i w:val="0"/>
          <w:color w:val="2D3748"/>
          <w:sz w:val="22"/>
        </w:rPr>
        <w:t>The schema formalizes domain knowledge into structured entity types and explicit directed relations, as illustrated in Figure 2.</w:t>
      </w:r>
    </w:p>
    <w:p>
      <w:pPr>
        <w:spacing w:before="200" w:after="8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figure2_ontology.png"/>
                    <pic:cNvPicPr/>
                  </pic:nvPicPr>
                  <pic:blipFill>
                    <a:blip r:embed="rId10"/>
                    <a:stretch>
                      <a:fillRect/>
                    </a:stretch>
                  </pic:blipFill>
                  <pic:spPr>
                    <a:xfrm>
                      <a:off x="0" y="0"/>
                      <a:ext cx="5669280" cy="3779520"/>
                    </a:xfrm>
                    <a:prstGeom prst="rect"/>
                  </pic:spPr>
                </pic:pic>
              </a:graphicData>
            </a:graphic>
          </wp:inline>
        </w:drawing>
      </w:r>
    </w:p>
    <w:p>
      <w:pPr>
        <w:keepNext w:val="0"/>
        <w:spacing w:before="0" w:after="240"/>
        <w:jc w:val="center"/>
      </w:pPr>
      <w:r>
        <w:rPr>
          <w:rFonts w:ascii="Calibri" w:hAnsi="Calibri"/>
          <w:b/>
          <w:color w:val="1A365D"/>
          <w:sz w:val="19"/>
        </w:rPr>
        <w:t xml:space="preserve">Figure 2: </w:t>
      </w:r>
      <w:r>
        <w:rPr>
          <w:rFonts w:ascii="Calibri" w:hAnsi="Calibri"/>
          <w:i/>
          <w:color w:val="4A5568"/>
          <w:sz w:val="19"/>
        </w:rPr>
        <w:t>Formal Travel Domain Ontology Schema, depicting the 6 core entity classes and 6 primary directed relationship types, including the Haversine-computed NEARBY_TO spatial adjacency edges.</w:t>
      </w:r>
    </w:p>
    <w:tbl>
      <w:tblPr>
        <w:tblW w:type="auto" w:w="0"/>
        <w:jc w:val="center"/>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2340"/>
        <w:gridCol w:w="2340"/>
        <w:gridCol w:w="2340"/>
        <w:gridCol w:w="2340"/>
      </w:tblGrid>
      <w:tr>
        <w:trPr>
          <w:tblHeader/>
        </w:trPr>
        <w:tc>
          <w:tcPr>
            <w:tcW w:type="dxa" w:w="2160"/>
            <w:shd w:fill="1A365D"/>
            <w:tcMar>
              <w:top w:w="140" w:type="dxa"/>
              <w:bottom w:w="140" w:type="dxa"/>
              <w:left w:w="140" w:type="dxa"/>
              <w:right w:w="140" w:type="dxa"/>
            </w:tcMar>
          </w:tcPr>
          <w:p>
            <w:pPr>
              <w:spacing w:before="0" w:after="0"/>
              <w:jc w:val="left"/>
            </w:pPr>
            <w:r>
              <w:rPr>
                <w:rFonts w:ascii="Calibri" w:hAnsi="Calibri"/>
                <w:b/>
                <w:color w:val="FFFFFF"/>
                <w:sz w:val="20"/>
              </w:rPr>
              <w:t>Relationship Type</w:t>
            </w:r>
          </w:p>
        </w:tc>
        <w:tc>
          <w:tcPr>
            <w:tcW w:type="dxa" w:w="1728"/>
            <w:shd w:fill="1A365D"/>
            <w:tcMar>
              <w:top w:w="140" w:type="dxa"/>
              <w:bottom w:w="140" w:type="dxa"/>
              <w:left w:w="140" w:type="dxa"/>
              <w:right w:w="140" w:type="dxa"/>
            </w:tcMar>
          </w:tcPr>
          <w:p>
            <w:pPr>
              <w:spacing w:before="0" w:after="0"/>
              <w:jc w:val="left"/>
            </w:pPr>
            <w:r>
              <w:rPr>
                <w:rFonts w:ascii="Calibri" w:hAnsi="Calibri"/>
                <w:b/>
                <w:color w:val="FFFFFF"/>
                <w:sz w:val="20"/>
              </w:rPr>
              <w:t>Source Node Type</w:t>
            </w:r>
          </w:p>
        </w:tc>
        <w:tc>
          <w:tcPr>
            <w:tcW w:type="dxa" w:w="1872"/>
            <w:shd w:fill="1A365D"/>
            <w:tcMar>
              <w:top w:w="140" w:type="dxa"/>
              <w:bottom w:w="140" w:type="dxa"/>
              <w:left w:w="140" w:type="dxa"/>
              <w:right w:w="140" w:type="dxa"/>
            </w:tcMar>
          </w:tcPr>
          <w:p>
            <w:pPr>
              <w:spacing w:before="0" w:after="0"/>
              <w:jc w:val="left"/>
            </w:pPr>
            <w:r>
              <w:rPr>
                <w:rFonts w:ascii="Calibri" w:hAnsi="Calibri"/>
                <w:b/>
                <w:color w:val="FFFFFF"/>
                <w:sz w:val="20"/>
              </w:rPr>
              <w:t>Target Node Type</w:t>
            </w:r>
          </w:p>
        </w:tc>
        <w:tc>
          <w:tcPr>
            <w:tcW w:type="dxa" w:w="3600"/>
            <w:shd w:fill="1A365D"/>
            <w:tcMar>
              <w:top w:w="140" w:type="dxa"/>
              <w:bottom w:w="140" w:type="dxa"/>
              <w:left w:w="140" w:type="dxa"/>
              <w:right w:w="140" w:type="dxa"/>
            </w:tcMar>
          </w:tcPr>
          <w:p>
            <w:pPr>
              <w:spacing w:before="0" w:after="0"/>
              <w:jc w:val="left"/>
            </w:pPr>
            <w:r>
              <w:rPr>
                <w:rFonts w:ascii="Calibri" w:hAnsi="Calibri"/>
                <w:b/>
                <w:color w:val="FFFFFF"/>
                <w:sz w:val="20"/>
              </w:rPr>
              <w:t>Semantic Meaning &amp; Properties</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LOCATED_IN</w:t>
            </w:r>
          </w:p>
        </w:tc>
        <w:tc>
          <w:tcPr>
            <w:tcW w:type="dxa" w:w="1728"/>
            <w:shd w:fill="FFFFFF"/>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City</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Specifies geographic containment within a primary metropolitan hub.</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HAS_CATEGORY</w:t>
            </w:r>
          </w:p>
        </w:tc>
        <w:tc>
          <w:tcPr>
            <w:tcW w:type="dxa" w:w="1728"/>
            <w:shd w:fill="F7FAFC"/>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Category</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Assigns primary domain taxonomy (e.g., historical_monument, food_drink, park_nature).</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SUITABLE_FOR</w:t>
            </w:r>
          </w:p>
        </w:tc>
        <w:tc>
          <w:tcPr>
            <w:tcW w:type="dxa" w:w="1728"/>
            <w:shd w:fill="FFFFFF"/>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CompanionType</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Encodes sociological compatibility (couples, family, solo, friends).</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HAS_ATMOSPHERE</w:t>
            </w:r>
          </w:p>
        </w:tc>
        <w:tc>
          <w:tcPr>
            <w:tcW w:type="dxa" w:w="1728"/>
            <w:shd w:fill="F7FAFC"/>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Atmosphere</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Captures emotional and aesthetic ambiance (romantic, cultural, peaceful, lively, zen).</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RECOMMENDED_FOR</w:t>
            </w:r>
          </w:p>
        </w:tc>
        <w:tc>
          <w:tcPr>
            <w:tcW w:type="dxa" w:w="1728"/>
            <w:shd w:fill="FFFFFF"/>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TimeOfDay / Interest</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Maps optimal temporal visitation windows (morning, afternoon, evening, night) and user interests.</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NEARBY_TO</w:t>
            </w:r>
          </w:p>
        </w:tc>
        <w:tc>
          <w:tcPr>
            <w:tcW w:type="dxa" w:w="1728"/>
            <w:shd w:fill="F7FAFC"/>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Bidirectional spatial proximity edge generated when Haversine distance d &lt;= 4.0 km. Stores distance_km attribute.</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IN_NEIGHBORHOOD</w:t>
            </w:r>
          </w:p>
        </w:tc>
        <w:tc>
          <w:tcPr>
            <w:tcW w:type="dxa" w:w="1728"/>
            <w:shd w:fill="FFFFFF"/>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Neighborhood</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Specifies localized urban district containment (e.g., Old City, Indiranagar, Asakusa, Gion).</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SUPPORTS_ACTIVITY</w:t>
            </w:r>
          </w:p>
        </w:tc>
        <w:tc>
          <w:tcPr>
            <w:tcW w:type="dxa" w:w="1728"/>
            <w:shd w:fill="F7FAFC"/>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Activity</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Identifies concrete tourist activities supported at the venue (e.g., photography, walking, dining).</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HAS_PRICE_RANGE</w:t>
            </w:r>
          </w:p>
        </w:tc>
        <w:tc>
          <w:tcPr>
            <w:tcW w:type="dxa" w:w="1728"/>
            <w:shd w:fill="FFFFFF"/>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PriceRange</w:t>
            </w:r>
          </w:p>
        </w:tc>
        <w:tc>
          <w:tcPr>
            <w:tcW w:type="dxa" w:w="360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Maps venue admission and spending tier (free, budget, moderate, upscale).</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HAS_ACCESSIBILITY_FEATURE</w:t>
            </w:r>
          </w:p>
        </w:tc>
        <w:tc>
          <w:tcPr>
            <w:tcW w:type="dxa" w:w="1728"/>
            <w:shd w:fill="F7FAFC"/>
            <w:tcMar>
              <w:top w:w="100" w:type="dxa"/>
              <w:bottom w:w="100" w:type="dxa"/>
              <w:left w:w="140" w:type="dxa"/>
              <w:right w:w="140" w:type="dxa"/>
            </w:tcMar>
          </w:tcPr>
          <w:p>
            <w:pPr>
              <w:spacing w:before="0" w:after="0" w:line="264" w:lineRule="auto"/>
              <w:jc w:val="left"/>
            </w:pPr>
            <w:r>
              <w:rPr>
                <w:rFonts w:ascii="Calibri" w:hAnsi="Calibri"/>
                <w:color w:val="2D3748"/>
                <w:sz w:val="19"/>
              </w:rPr>
              <w:t>Place</w:t>
            </w:r>
          </w:p>
        </w:tc>
        <w:tc>
          <w:tcPr>
            <w:tcW w:type="dxa" w:w="187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AccessibilityFeature</w:t>
            </w:r>
          </w:p>
        </w:tc>
        <w:tc>
          <w:tcPr>
            <w:tcW w:type="dxa" w:w="360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Verifies physical mobility support (e.g., wheelchair_accessible_entrance).</w:t>
            </w:r>
          </w:p>
        </w:tc>
      </w:tr>
    </w:tbl>
    <w:p>
      <w:pPr>
        <w:spacing w:before="0" w:after="120"/>
      </w:pPr>
    </w:p>
    <w:p>
      <w:pPr>
        <w:pStyle w:val="Heading2"/>
        <w:keepNext/>
        <w:spacing w:before="280" w:after="80"/>
      </w:pPr>
      <w:r>
        <w:rPr>
          <w:rFonts w:ascii="Calibri" w:hAnsi="Calibri"/>
          <w:b/>
          <w:color w:val="2B6CB0"/>
          <w:sz w:val="27"/>
        </w:rPr>
        <w:t>4.2 Empirical Graph Metrics &amp; Topology</w:t>
      </w:r>
    </w:p>
    <w:p>
      <w:pPr>
        <w:spacing w:before="0" w:after="120" w:line="276" w:lineRule="auto"/>
      </w:pPr>
      <w:r>
        <w:rPr>
          <w:rFonts w:ascii="Calibri" w:hAnsi="Calibri"/>
          <w:i w:val="0"/>
          <w:color w:val="2D3748"/>
          <w:sz w:val="22"/>
        </w:rPr>
        <w:t>The graph builder was executed and inspected across all supported cities. Table 4.2 documents the measured, un-fabricated topological metrics of the compiled knowledge graph.</w:t>
      </w:r>
    </w:p>
    <w:tbl>
      <w:tblPr>
        <w:tblW w:type="auto" w:w="0"/>
        <w:jc w:val="center"/>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3120"/>
        <w:gridCol w:w="3120"/>
        <w:gridCol w:w="3120"/>
      </w:tblGrid>
      <w:tr>
        <w:trPr>
          <w:tblHeader/>
        </w:trPr>
        <w:tc>
          <w:tcPr>
            <w:tcW w:type="dxa" w:w="2880"/>
            <w:shd w:fill="1A365D"/>
            <w:tcMar>
              <w:top w:w="140" w:type="dxa"/>
              <w:bottom w:w="140" w:type="dxa"/>
              <w:left w:w="140" w:type="dxa"/>
              <w:right w:w="140" w:type="dxa"/>
            </w:tcMar>
          </w:tcPr>
          <w:p>
            <w:pPr>
              <w:spacing w:before="0" w:after="0"/>
              <w:jc w:val="left"/>
            </w:pPr>
            <w:r>
              <w:rPr>
                <w:rFonts w:ascii="Calibri" w:hAnsi="Calibri"/>
                <w:b/>
                <w:color w:val="FFFFFF"/>
                <w:sz w:val="20"/>
              </w:rPr>
              <w:t>Graph Metric / Dimension</w:t>
            </w:r>
          </w:p>
        </w:tc>
        <w:tc>
          <w:tcPr>
            <w:tcW w:type="dxa" w:w="2160"/>
            <w:shd w:fill="1A365D"/>
            <w:tcMar>
              <w:top w:w="140" w:type="dxa"/>
              <w:bottom w:w="140" w:type="dxa"/>
              <w:left w:w="140" w:type="dxa"/>
              <w:right w:w="140" w:type="dxa"/>
            </w:tcMar>
          </w:tcPr>
          <w:p>
            <w:pPr>
              <w:spacing w:before="0" w:after="0"/>
              <w:jc w:val="left"/>
            </w:pPr>
            <w:r>
              <w:rPr>
                <w:rFonts w:ascii="Calibri" w:hAnsi="Calibri"/>
                <w:b/>
                <w:color w:val="FFFFFF"/>
                <w:sz w:val="20"/>
              </w:rPr>
              <w:t>Verified Empirical Value</w:t>
            </w:r>
          </w:p>
        </w:tc>
        <w:tc>
          <w:tcPr>
            <w:tcW w:type="dxa" w:w="4320"/>
            <w:shd w:fill="1A365D"/>
            <w:tcMar>
              <w:top w:w="140" w:type="dxa"/>
              <w:bottom w:w="140" w:type="dxa"/>
              <w:left w:w="140" w:type="dxa"/>
              <w:right w:w="140" w:type="dxa"/>
            </w:tcMar>
          </w:tcPr>
          <w:p>
            <w:pPr>
              <w:spacing w:before="0" w:after="0"/>
              <w:jc w:val="left"/>
            </w:pPr>
            <w:r>
              <w:rPr>
                <w:rFonts w:ascii="Calibri" w:hAnsi="Calibri"/>
                <w:b/>
                <w:color w:val="FFFFFF"/>
                <w:sz w:val="20"/>
              </w:rPr>
              <w:t>Architectural Interpretation</w:t>
            </w:r>
          </w:p>
        </w:tc>
      </w:tr>
      <w:tr>
        <w:tc>
          <w:tcPr>
            <w:tcW w:type="dxa" w:w="288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Total Nodes (|V|)</w:t>
            </w:r>
          </w:p>
        </w:tc>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689 nodes</w:t>
            </w:r>
          </w:p>
        </w:tc>
        <w:tc>
          <w:tcPr>
            <w:tcW w:type="dxa" w:w="432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Heterogeneous entity vertices across 4 cities (76 places, 272 interests, 175 activities, 64 neighborhoods, etc.).</w:t>
            </w:r>
          </w:p>
        </w:tc>
      </w:tr>
      <w:tr>
        <w:tc>
          <w:tcPr>
            <w:tcW w:type="dxa" w:w="288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Total Directed Edges (|E|)</w:t>
            </w:r>
          </w:p>
        </w:tc>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2,231 edges</w:t>
            </w:r>
          </w:p>
        </w:tc>
        <w:tc>
          <w:tcPr>
            <w:tcW w:type="dxa" w:w="432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Semantic relations and Haversine spatial edges connecting entities.</w:t>
            </w:r>
          </w:p>
        </w:tc>
      </w:tr>
      <w:tr>
        <w:tc>
          <w:tcPr>
            <w:tcW w:type="dxa" w:w="288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Average Node Degree (k_avg)</w:t>
            </w:r>
          </w:p>
        </w:tc>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6.48 connections</w:t>
            </w:r>
          </w:p>
        </w:tc>
        <w:tc>
          <w:tcPr>
            <w:tcW w:type="dxa" w:w="432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Indicates rich semantic connectivity across multi-attribute dimensions.</w:t>
            </w:r>
          </w:p>
        </w:tc>
      </w:tr>
      <w:tr>
        <w:tc>
          <w:tcPr>
            <w:tcW w:type="dxa" w:w="288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Average In-Degree / Out-Degree</w:t>
            </w:r>
          </w:p>
        </w:tc>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3.24 / 3.24</w:t>
            </w:r>
          </w:p>
        </w:tc>
        <w:tc>
          <w:tcPr>
            <w:tcW w:type="dxa" w:w="432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Balanced directed graph topology.</w:t>
            </w:r>
          </w:p>
        </w:tc>
      </w:tr>
      <w:tr>
        <w:tc>
          <w:tcPr>
            <w:tcW w:type="dxa" w:w="288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Maximum Node In-Degree</w:t>
            </w:r>
          </w:p>
        </w:tc>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76 edges</w:t>
            </w:r>
          </w:p>
        </w:tc>
        <w:tc>
          <w:tcPr>
            <w:tcW w:type="dxa" w:w="432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Observed at metropolitan City hub nodes connecting all local Place entities.</w:t>
            </w:r>
          </w:p>
        </w:tc>
      </w:tr>
      <w:tr>
        <w:tc>
          <w:tcPr>
            <w:tcW w:type="dxa" w:w="288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Maximum Node Out-Degree</w:t>
            </w:r>
          </w:p>
        </w:tc>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37 edges</w:t>
            </w:r>
          </w:p>
        </w:tc>
        <w:tc>
          <w:tcPr>
            <w:tcW w:type="dxa" w:w="432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Observed at dense cultural hubs (e.g., Golconda Fort, Senso-ji) connecting diverse activities, vibes, and nearby venues.</w:t>
            </w:r>
          </w:p>
        </w:tc>
      </w:tr>
      <w:tr>
        <w:tc>
          <w:tcPr>
            <w:tcW w:type="dxa" w:w="288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Graph Density (rho)</w:t>
            </w:r>
          </w:p>
        </w:tc>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0.004706</w:t>
            </w:r>
          </w:p>
        </w:tc>
        <w:tc>
          <w:tcPr>
            <w:tcW w:type="dxa" w:w="432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Sparse property graph topology, typical of real-world knowledge graphs, ensuring efficient adjacency index lookups.</w:t>
            </w:r>
          </w:p>
        </w:tc>
      </w:tr>
      <w:tr>
        <w:tc>
          <w:tcPr>
            <w:tcW w:type="dxa" w:w="288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Weakly Connected Components</w:t>
            </w:r>
          </w:p>
        </w:tc>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27 components</w:t>
            </w:r>
          </w:p>
        </w:tc>
        <w:tc>
          <w:tcPr>
            <w:tcW w:type="dxa" w:w="432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Reflects independent urban graph clusters and auxiliary attribute trees.</w:t>
            </w:r>
          </w:p>
        </w:tc>
      </w:tr>
      <w:tr>
        <w:tc>
          <w:tcPr>
            <w:tcW w:type="dxa" w:w="288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Spatial Proximity Edges (NEARBY_TO)</w:t>
            </w:r>
          </w:p>
        </w:tc>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426 edges</w:t>
            </w:r>
          </w:p>
        </w:tc>
        <w:tc>
          <w:tcPr>
            <w:tcW w:type="dxa" w:w="432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Haversine proximity connections with distance_km &lt;= 4.0 km across 76 venues.</w:t>
            </w:r>
          </w:p>
        </w:tc>
      </w:tr>
    </w:tbl>
    <w:p>
      <w:pPr>
        <w:spacing w:before="0" w:after="120"/>
      </w:pPr>
    </w:p>
    <w:p>
      <w:pPr>
        <w:spacing w:before="200" w:after="80"/>
        <w:jc w:val="center"/>
      </w:pPr>
      <w:r>
        <w:drawing>
          <wp:inline xmlns:a="http://schemas.openxmlformats.org/drawingml/2006/main" xmlns:pic="http://schemas.openxmlformats.org/drawingml/2006/picture">
            <wp:extent cx="5669280" cy="2319251"/>
            <wp:docPr id="3" name="Picture 3"/>
            <wp:cNvGraphicFramePr>
              <a:graphicFrameLocks noChangeAspect="1"/>
            </wp:cNvGraphicFramePr>
            <a:graphic>
              <a:graphicData uri="http://schemas.openxmlformats.org/drawingml/2006/picture">
                <pic:pic>
                  <pic:nvPicPr>
                    <pic:cNvPr id="0" name="figure3_graph_metrics.png"/>
                    <pic:cNvPicPr/>
                  </pic:nvPicPr>
                  <pic:blipFill>
                    <a:blip r:embed="rId11"/>
                    <a:stretch>
                      <a:fillRect/>
                    </a:stretch>
                  </pic:blipFill>
                  <pic:spPr>
                    <a:xfrm>
                      <a:off x="0" y="0"/>
                      <a:ext cx="5669280" cy="2319251"/>
                    </a:xfrm>
                    <a:prstGeom prst="rect"/>
                  </pic:spPr>
                </pic:pic>
              </a:graphicData>
            </a:graphic>
          </wp:inline>
        </w:drawing>
      </w:r>
    </w:p>
    <w:p>
      <w:pPr>
        <w:keepNext w:val="0"/>
        <w:spacing w:before="0" w:after="240"/>
        <w:jc w:val="center"/>
      </w:pPr>
      <w:r>
        <w:rPr>
          <w:rFonts w:ascii="Calibri" w:hAnsi="Calibri"/>
          <w:b/>
          <w:color w:val="1A365D"/>
          <w:sz w:val="19"/>
        </w:rPr>
        <w:t xml:space="preserve">Figure 3: </w:t>
      </w:r>
      <w:r>
        <w:rPr>
          <w:rFonts w:ascii="Calibri" w:hAnsi="Calibri"/>
          <w:i/>
          <w:color w:val="4A5568"/>
          <w:sz w:val="19"/>
        </w:rPr>
        <w:t>Empirical Knowledge Graph Distributions, showing the exact node entity distribution across 11 classes (left) and directed edge type frequency (right) verified from builder.py.</w:t>
      </w:r>
    </w:p>
    <w:p>
      <w:pPr>
        <w:pStyle w:val="Heading1"/>
        <w:keepNext/>
        <w:spacing w:before="360" w:after="120"/>
      </w:pPr>
      <w:r>
        <w:rPr>
          <w:rFonts w:ascii="Calibri" w:hAnsi="Calibri"/>
          <w:b/>
          <w:color w:val="1A365D"/>
          <w:sz w:val="34"/>
        </w:rPr>
        <w:t>5. Geospatial Computing &amp; Great-Circle Distance Modeling</w:t>
      </w:r>
    </w:p>
    <w:p>
      <w:pPr>
        <w:spacing w:before="0" w:after="120" w:line="276" w:lineRule="auto"/>
      </w:pPr>
      <w:r>
        <w:rPr>
          <w:rFonts w:ascii="Calibri" w:hAnsi="Calibri"/>
          <w:i w:val="0"/>
          <w:color w:val="2D3748"/>
          <w:sz w:val="22"/>
        </w:rPr>
        <w:t>To enable realistic, walkable, and transit-feasible itineraries, WanderGraph incorporates geospatial computing directly into the graph topology. Rather than treating spatial proximity as an afterthought computed during rendering, spatial adjacency is elevated to first-class graph edges.</w:t>
      </w:r>
    </w:p>
    <w:p>
      <w:pPr>
        <w:pStyle w:val="Heading2"/>
        <w:keepNext/>
        <w:spacing w:before="280" w:after="80"/>
      </w:pPr>
      <w:r>
        <w:rPr>
          <w:rFonts w:ascii="Calibri" w:hAnsi="Calibri"/>
          <w:b/>
          <w:color w:val="2B6CB0"/>
          <w:sz w:val="27"/>
        </w:rPr>
        <w:t>5.1 The Haversine Formula Derivation</w:t>
      </w:r>
    </w:p>
    <w:p>
      <w:pPr>
        <w:spacing w:before="0" w:after="120" w:line="276" w:lineRule="auto"/>
      </w:pPr>
      <w:r>
        <w:rPr>
          <w:rFonts w:ascii="Calibri" w:hAnsi="Calibri"/>
          <w:i w:val="0"/>
          <w:color w:val="2D3748"/>
          <w:sz w:val="22"/>
        </w:rPr>
        <w:t>Given two geographic coordinates p_1 = (phi_1, lambda_1) and p_2 = (phi_2, lambda_2) representing the latitude and longitude of two venues in radians, the great-circle distance d across the spherical Earth of mean radius R = 6,371.009 km is calculated via the Haversine formulation:</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30" w:space="0" w:color="2B6CB0"/>
              <w:bottom w:val="none"/>
              <w:right w:val="none"/>
            </w:tcBorders>
          </w:tcPr>
          <w:p>
            <w:pPr>
              <w:spacing w:before="0" w:after="40" w:line="276" w:lineRule="auto"/>
            </w:pPr>
            <w:r>
              <w:rPr>
                <w:rFonts w:ascii="Calibri" w:hAnsi="Calibri"/>
                <w:b/>
                <w:color w:val="1A365D"/>
                <w:sz w:val="21"/>
              </w:rPr>
              <w:t>Mathematical Formulation: Great-Circle Haversine Equation</w:t>
              <w:br/>
            </w:r>
            <w:r>
              <w:rPr>
                <w:rFonts w:ascii="Calibri" w:hAnsi="Calibri"/>
                <w:color w:val="2D3748"/>
                <w:sz w:val="20"/>
              </w:rPr>
              <w:t>a = sin^2(Delta phi / 2) + cos(phi_1) * cos(phi_2) * sin^2(Delta lambda / 2)</w:t>
              <w:br/>
              <w:t>c = 2 * atan2(sqrt(a), sqrt(1 - a))</w:t>
              <w:br/>
              <w:t>d = R * c</w:t>
              <w:br/>
              <w:br/>
              <w:t>Where:</w:t>
              <w:br/>
              <w:t>• Delta phi = phi_2 - phi_1 is the latitude differential in radians.</w:t>
              <w:br/>
              <w:t>• Delta lambda = lambda_2 - lambda_1 is the longitude differential in radians.</w:t>
              <w:br/>
              <w:t>• R = 6,371 km is the volumetric mean radius of the Earth.</w:t>
              <w:br/>
              <w:t>• d is the spherical surface distance between venues in kilometers.</w:t>
            </w:r>
          </w:p>
        </w:tc>
      </w:tr>
    </w:tbl>
    <w:p>
      <w:pPr>
        <w:spacing w:before="0" w:after="80"/>
      </w:pPr>
    </w:p>
    <w:p>
      <w:pPr>
        <w:pStyle w:val="Heading2"/>
        <w:keepNext/>
        <w:spacing w:before="280" w:after="80"/>
      </w:pPr>
      <w:r>
        <w:rPr>
          <w:rFonts w:ascii="Calibri" w:hAnsi="Calibri"/>
          <w:b/>
          <w:color w:val="2B6CB0"/>
          <w:sz w:val="27"/>
        </w:rPr>
        <w:t>5.2 Proximity Threshold &amp; Spatial Edge Generation</w:t>
      </w:r>
    </w:p>
    <w:p>
      <w:pPr>
        <w:spacing w:before="0" w:after="120" w:line="276" w:lineRule="auto"/>
      </w:pPr>
      <w:r>
        <w:rPr>
          <w:rFonts w:ascii="Calibri" w:hAnsi="Calibri"/>
          <w:i w:val="0"/>
          <w:color w:val="2D3748"/>
          <w:sz w:val="22"/>
        </w:rPr>
        <w:t>During graph construction, WanderGraph partitions places by their parent city node. For every distinct pair of venues (u, v) in city C, the algorithm computes d = Haversine(u.coords, v.coords). If d &lt;= 4.0 km (the verified urban proximity threshold in builder.py), the engine injects two symmetric directed edges into the MultiDiGraph:</w:t>
      </w:r>
    </w:p>
    <w:p>
      <w:pPr>
        <w:spacing w:before="80" w:after="40"/>
      </w:pPr>
      <w:r>
        <w:rPr>
          <w:rFonts w:ascii="Consolas" w:hAnsi="Consolas"/>
          <w:b/>
          <w:color w:val="4A5568"/>
          <w:sz w:val="18"/>
        </w:rPr>
        <w:t>Listing: NetworkX Haversine Edge Construction</w:t>
      </w:r>
    </w:p>
    <w:tbl>
      <w:tblPr>
        <w:tblW w:type="auto" w:w="0"/>
        <w:jc w:val="center"/>
        <w:tblLayout w:type="fixed"/>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color w:val="2D3748"/>
                <w:sz w:val="17"/>
              </w:rPr>
              <w:t># NetworkX Spatial Edge Injection in builder.py</w:t>
              <w:br/>
              <w:t>if dist &lt;= 4.0:</w:t>
              <w:br/>
              <w:t xml:space="preserve">    self.graph.add_edge(</w:t>
              <w:br/>
              <w:t xml:space="preserve">        p1_id, p2_id,</w:t>
              <w:br/>
              <w:t xml:space="preserve">        relation='NEARBY_TO',</w:t>
              <w:br/>
              <w:t xml:space="preserve">        distance_km=round(dist, 2),</w:t>
              <w:br/>
              <w:t xml:space="preserve">        weight=round(dist, 2)</w:t>
              <w:br/>
              <w:t xml:space="preserve">    )</w:t>
              <w:br/>
              <w:t xml:space="preserve">    self.graph.add_edge(</w:t>
              <w:br/>
              <w:t xml:space="preserve">        p2_id, p1_id,</w:t>
              <w:br/>
              <w:t xml:space="preserve">        relation='NEARBY_TO',</w:t>
              <w:br/>
              <w:t xml:space="preserve">        distance_km=round(dist, 2),</w:t>
              <w:br/>
              <w:t xml:space="preserve">        weight=round(dist, 2)</w:t>
              <w:br/>
              <w:t xml:space="preserve">    )</w:t>
            </w:r>
          </w:p>
        </w:tc>
      </w:tr>
    </w:tbl>
    <w:p>
      <w:pPr>
        <w:spacing w:before="0" w:after="120"/>
      </w:pPr>
    </w:p>
    <w:p>
      <w:pPr>
        <w:spacing w:before="0" w:after="120" w:line="276" w:lineRule="auto"/>
      </w:pPr>
      <w:r>
        <w:rPr>
          <w:rFonts w:ascii="Calibri" w:hAnsi="Calibri"/>
          <w:i w:val="0"/>
          <w:color w:val="2D3748"/>
          <w:sz w:val="22"/>
        </w:rPr>
        <w:t>This algorithm yields 426 verified NEARBY_TO edges across the 76 base places. The 4.0 km threshold was selected because it precisely captures urban walking clusters (&lt;= 1.5 km) and short transit/auto-rickshaw/metro corridors (1.5 - 4.0 km) in high-density cities like Hyderabad (Charminar to Chowmahalla Palace: 1.1 km) and Tokyo (Senso-ji to Tokyo Skytree: 1.8 km), while preventing spurious cross-city connections that would degrade itinerary coherence.</w:t>
      </w:r>
    </w:p>
    <w:p>
      <w:pPr>
        <w:pStyle w:val="Heading1"/>
        <w:keepNext/>
        <w:spacing w:before="360" w:after="120"/>
      </w:pPr>
      <w:r>
        <w:rPr>
          <w:rFonts w:ascii="Calibri" w:hAnsi="Calibri"/>
          <w:b/>
          <w:color w:val="1A365D"/>
          <w:sz w:val="34"/>
        </w:rPr>
        <w:t>6. Graph-Driven Recommendation &amp; Explainability Pipeline</w:t>
      </w:r>
    </w:p>
    <w:p>
      <w:pPr>
        <w:spacing w:before="0" w:after="120" w:line="276" w:lineRule="auto"/>
      </w:pPr>
      <w:r>
        <w:rPr>
          <w:rFonts w:ascii="Calibri" w:hAnsi="Calibri"/>
          <w:i w:val="0"/>
          <w:color w:val="2D3748"/>
          <w:sz w:val="22"/>
        </w:rPr>
        <w:t>WanderGraph rejects black-box recommendation approaches where uninterpretable neural embeddings output arbitrary ranking scores. Instead, recommendations are produced through a deterministic Graph Constraint Satisfaction and Edge Traversal Pipeline that generates mathematically provable rankings accompanied by human-readable natural language justifications.</w:t>
      </w:r>
    </w:p>
    <w:p>
      <w:pPr>
        <w:pStyle w:val="Heading2"/>
        <w:keepNext/>
        <w:spacing w:before="280" w:after="80"/>
      </w:pPr>
      <w:r>
        <w:rPr>
          <w:rFonts w:ascii="Calibri" w:hAnsi="Calibri"/>
          <w:b/>
          <w:color w:val="2B6CB0"/>
          <w:sz w:val="27"/>
        </w:rPr>
        <w:t>6.1 Multi-Hop Constraint Satisfaction Scoring Formula</w:t>
      </w:r>
    </w:p>
    <w:p>
      <w:pPr>
        <w:spacing w:before="0" w:after="120" w:line="276" w:lineRule="auto"/>
      </w:pPr>
      <w:r>
        <w:rPr>
          <w:rFonts w:ascii="Calibri" w:hAnsi="Calibri"/>
          <w:i w:val="0"/>
          <w:color w:val="2D3748"/>
          <w:sz w:val="22"/>
        </w:rPr>
        <w:t>Let u be the user context query tuple u = (C_u, B_u, M_u, A_u, T_u, W_u) where C_u is the target city, B_u is the budget ceiling, M_u is the companion type, A_u is the set of requested atmosphere vibes, T_u is the preferred time of day, and W_u is the boolean wheelchair accessibility flag. The final ranking score S(p, u) for candidate place p is formulated as: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30" w:space="0" w:color="1A365D"/>
              <w:bottom w:val="none"/>
              <w:right w:val="none"/>
            </w:tcBorders>
          </w:tcPr>
          <w:p>
            <w:pPr>
              <w:spacing w:before="0" w:after="40" w:line="276" w:lineRule="auto"/>
            </w:pPr>
            <w:r>
              <w:rPr>
                <w:rFonts w:ascii="Calibri" w:hAnsi="Calibri"/>
                <w:b/>
                <w:color w:val="1A365D"/>
                <w:sz w:val="21"/>
              </w:rPr>
              <w:t>Mathematical Formulation: Graph-Driven Scoring Function</w:t>
              <w:br/>
            </w:r>
            <w:r>
              <w:rPr>
                <w:rFonts w:ascii="Calibri" w:hAnsi="Calibri"/>
                <w:color w:val="2D3748"/>
                <w:sz w:val="20"/>
              </w:rPr>
              <w:t>S(p, u) = S_hard(p, u) * [ w_base * Rating(p) + w_comp * I_comp(p, M_u) + w_atmo * sum(I_atmo(p, a)) + w_time * I_time(p, T_u) + w_loc * I_loc(p, L_u) ]</w:t>
              <w:br/>
              <w:br/>
              <w:t>Where Hard Constraint Satisfaction is binary:</w:t>
              <w:br/>
              <w:t>S_hard(p, u) = 1  if [Cost(p) &lt;= B_u] AND [W_u =&gt; Accessible(p)] AND [(p, LOCATED_IN, C_u) in E]</w:t>
              <w:br/>
              <w:t>S_hard(p, u) = 0  otherwise (Candidate pruned from consideration)</w:t>
              <w:br/>
              <w:br/>
              <w:t>Weight Parameters (Empirically Calibrated in recommendation.py):</w:t>
              <w:br/>
              <w:t>• w_base = 1.2  (Scaled against Google/Verified Star Rating: [1.0, 5.0])</w:t>
              <w:br/>
              <w:t>• w_comp = 3.5  (Bonus if (p, SUITABLE_FOR, M_u) in E)</w:t>
              <w:br/>
              <w:t>• w_atmo = 2.5  (Per matched atmosphere edge (p, HAS_ATMOSPHERE, a) for a in A_u)</w:t>
              <w:br/>
              <w:t>• w_time = 2.0  (Bonus if (p, RECOMMENDED_FOR, T_u) in E)</w:t>
              <w:br/>
              <w:t>• w_loc  = 6.0  (Bonus if place locality matches target neighborhood query)</w:t>
            </w:r>
          </w:p>
        </w:tc>
      </w:tr>
    </w:tbl>
    <w:p>
      <w:pPr>
        <w:spacing w:before="0" w:after="80"/>
      </w:pPr>
    </w:p>
    <w:p>
      <w:pPr>
        <w:pStyle w:val="Heading2"/>
        <w:keepNext/>
        <w:spacing w:before="280" w:after="80"/>
      </w:pPr>
      <w:r>
        <w:rPr>
          <w:rFonts w:ascii="Calibri" w:hAnsi="Calibri"/>
          <w:b/>
          <w:color w:val="2B6CB0"/>
          <w:sz w:val="27"/>
        </w:rPr>
        <w:t>6.2 Explainability Synthesis via Graph Edge Paths</w:t>
      </w:r>
    </w:p>
    <w:p>
      <w:pPr>
        <w:spacing w:before="0" w:after="120" w:line="276" w:lineRule="auto"/>
      </w:pPr>
      <w:r>
        <w:rPr>
          <w:rFonts w:ascii="Calibri" w:hAnsi="Calibri"/>
          <w:i w:val="0"/>
          <w:color w:val="2D3748"/>
          <w:sz w:val="22"/>
        </w:rPr>
        <w:t>Unlike collaborative filtering systems that state 'Users like you also visited this place', WanderGraph derives explanations directly from the subgraph walk. When a candidate place satisfies scoring criteria, the traversed edges are synthesized into a verified justification string: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30" w:space="0" w:color="2B6CB0"/>
              <w:bottom w:val="none"/>
              <w:right w:val="none"/>
            </w:tcBorders>
          </w:tcPr>
          <w:p>
            <w:pPr>
              <w:spacing w:before="0" w:after="40" w:line="276" w:lineRule="auto"/>
            </w:pPr>
            <w:r>
              <w:rPr>
                <w:rFonts w:ascii="Calibri" w:hAnsi="Calibri"/>
                <w:b/>
                <w:color w:val="1A365D"/>
                <w:sz w:val="21"/>
              </w:rPr>
              <w:t>Synthesized Explainability Output Example (Charminar):</w:t>
              <w:br/>
            </w:r>
            <w:r>
              <w:rPr>
                <w:rFonts w:ascii="Calibri" w:hAnsi="Calibri"/>
                <w:color w:val="2D3748"/>
                <w:sz w:val="20"/>
              </w:rPr>
              <w:t>"Recommended in Hyderabad because it features a cultural atmosphere, is ideal for couples, and matches your budget (admission: INR 50). Located within 1.4 km of Chowmahalla Palace for seamless walking navigation."</w:t>
            </w:r>
          </w:p>
        </w:tc>
      </w:tr>
    </w:tbl>
    <w:p>
      <w:pPr>
        <w:spacing w:before="0" w:after="80"/>
      </w:pPr>
    </w:p>
    <w:p>
      <w:pPr>
        <w:pStyle w:val="Heading1"/>
        <w:keepNext/>
        <w:spacing w:before="360" w:after="120"/>
      </w:pPr>
      <w:r>
        <w:rPr>
          <w:rFonts w:ascii="Calibri" w:hAnsi="Calibri"/>
          <w:b/>
          <w:color w:val="1A365D"/>
          <w:sz w:val="34"/>
        </w:rPr>
        <w:t>7. Language Model Grounding &amp; Itinerary Generation</w:t>
      </w:r>
    </w:p>
    <w:p>
      <w:pPr>
        <w:spacing w:before="0" w:after="120" w:line="276" w:lineRule="auto"/>
      </w:pPr>
      <w:r>
        <w:rPr>
          <w:rFonts w:ascii="Calibri" w:hAnsi="Calibri"/>
          <w:i w:val="0"/>
          <w:color w:val="2D3748"/>
          <w:sz w:val="22"/>
        </w:rPr>
        <w:t>A central innovation of WanderGraph is the grounding of Google Gemini 3.5 Flash-Lite within the retrieved Knowledge Graph subgraph. Generic LLM itinerary generation typically suffers from stochastic hallucination because the language model predicts travel plans from unconstrained pre-training weights. WanderGraph eliminates this vulnerability by enforcing a Retrieval-Grounded Generation (RGG) paradigm.</w:t>
      </w:r>
    </w:p>
    <w:p>
      <w:pPr>
        <w:pStyle w:val="Heading2"/>
        <w:keepNext/>
        <w:spacing w:before="280" w:after="80"/>
      </w:pPr>
      <w:r>
        <w:rPr>
          <w:rFonts w:ascii="Calibri" w:hAnsi="Calibri"/>
          <w:b/>
          <w:color w:val="2B6CB0"/>
          <w:sz w:val="27"/>
        </w:rPr>
        <w:t>7.1 The Grounded Candidate Pool Protocol</w:t>
      </w:r>
    </w:p>
    <w:p>
      <w:pPr>
        <w:spacing w:before="0" w:after="120" w:line="276" w:lineRule="auto"/>
      </w:pPr>
      <w:r>
        <w:rPr>
          <w:rFonts w:ascii="Calibri" w:hAnsi="Calibri"/>
          <w:b/>
          <w:color w:val="1A202C"/>
          <w:sz w:val="22"/>
        </w:rPr>
        <w:t xml:space="preserve">Three-Stage Grounding Workflow: </w:t>
      </w:r>
      <w:r>
        <w:rPr>
          <w:rFonts w:ascii="Calibri" w:hAnsi="Calibri"/>
          <w:i w:val="0"/>
          <w:color w:val="2D3748"/>
          <w:sz w:val="22"/>
        </w:rPr>
        <w:t>When a user requests a customized itinerary (e.g., 'A romantic 2-day trip to Tokyo on a moderate budget'):</w:t>
      </w:r>
    </w:p>
    <w:p>
      <w:pPr>
        <w:pStyle w:val="ListBullet"/>
        <w:spacing w:before="0" w:after="60" w:line="276" w:lineRule="auto"/>
      </w:pPr>
      <w:r>
        <w:rPr>
          <w:rFonts w:ascii="Calibri" w:hAnsi="Calibri"/>
          <w:b/>
          <w:color w:val="1A202C"/>
          <w:sz w:val="21"/>
        </w:rPr>
        <w:t xml:space="preserve">1. Subgraph Candidate Extraction: </w:t>
      </w:r>
      <w:r>
        <w:rPr>
          <w:rFonts w:ascii="Calibri" w:hAnsi="Calibri"/>
          <w:color w:val="2D3748"/>
          <w:sz w:val="21"/>
        </w:rPr>
        <w:t>The backend queries the NetworkX MultiDiGraph to filter all places located in Tokyo that satisfy the user's companion and budget constraints. A candidate pool of 10-15 verified places is assembled with exact coordinates, admission prices, opening hours, and atmosphere tags.</w:t>
      </w:r>
    </w:p>
    <w:p>
      <w:pPr>
        <w:pStyle w:val="ListBullet"/>
        <w:spacing w:before="0" w:after="60" w:line="276" w:lineRule="auto"/>
      </w:pPr>
      <w:r>
        <w:rPr>
          <w:rFonts w:ascii="Calibri" w:hAnsi="Calibri"/>
          <w:b/>
          <w:color w:val="1A202C"/>
          <w:sz w:val="21"/>
        </w:rPr>
        <w:t xml:space="preserve">2. Strict Prompt Constrainment: </w:t>
      </w:r>
      <w:r>
        <w:rPr>
          <w:rFonts w:ascii="Calibri" w:hAnsi="Calibri"/>
          <w:color w:val="2D3748"/>
          <w:sz w:val="21"/>
        </w:rPr>
        <w:t>Gemini 3.5 Flash-Lite is invoked with system prompts that mandate venue selection exclusively from the provided candidate pool. The LLM is strictly prohibited from inventing new places or altering verified metadata.</w:t>
      </w:r>
    </w:p>
    <w:p>
      <w:pPr>
        <w:pStyle w:val="ListBullet"/>
        <w:spacing w:before="0" w:after="60" w:line="276" w:lineRule="auto"/>
      </w:pPr>
      <w:r>
        <w:rPr>
          <w:rFonts w:ascii="Calibri" w:hAnsi="Calibri"/>
          <w:b/>
          <w:color w:val="1A202C"/>
          <w:sz w:val="21"/>
        </w:rPr>
        <w:t xml:space="preserve">3. Pydantic Output Enforcement: </w:t>
      </w:r>
      <w:r>
        <w:rPr>
          <w:rFonts w:ascii="Calibri" w:hAnsi="Calibri"/>
          <w:color w:val="2D3748"/>
          <w:sz w:val="21"/>
        </w:rPr>
        <w:t>The model response is enforced via Pydantic v2 schemas. If the model emits malformed JSON or attempts to include an ungrounded venue, the response is rejected and regenerated via deterministic spatial-fallback sequencing.</w:t>
      </w:r>
    </w:p>
    <w:p>
      <w:pPr>
        <w:spacing w:before="80" w:after="40"/>
      </w:pPr>
      <w:r>
        <w:rPr>
          <w:rFonts w:ascii="Consolas" w:hAnsi="Consolas"/>
          <w:b/>
          <w:color w:val="4A5568"/>
          <w:sz w:val="18"/>
        </w:rPr>
        <w:t>Listing: Pydantic v2 Schema Enforcing Grounded Itinerary Generation</w:t>
      </w:r>
    </w:p>
    <w:tbl>
      <w:tblPr>
        <w:tblW w:type="auto" w:w="0"/>
        <w:jc w:val="center"/>
        <w:tblLayout w:type="fixed"/>
        <w:tblLook w:firstColumn="1" w:firstRow="1" w:lastColumn="0" w:lastRow="0" w:noHBand="0" w:noVBand="1" w:val="04A0"/>
      </w:tblPr>
      <w:tblGrid>
        <w:gridCol w:w="9360"/>
      </w:tblGrid>
      <w:tr>
        <w:tc>
          <w:tcPr>
            <w:tcW w:type="dxa" w:w="9360"/>
            <w:shd w:fill="F7FAFC"/>
            <w:tcMar>
              <w:top w:w="100" w:type="dxa"/>
              <w:bottom w:w="100" w:type="dxa"/>
              <w:left w:w="140" w:type="dxa"/>
              <w:right w:w="14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color w:val="2D3748"/>
                <w:sz w:val="17"/>
              </w:rPr>
              <w:t># Pydantic Output Schema for Gemini 3.5 Flash-Lite</w:t>
              <w:br/>
              <w:t>class PlaceStop(BaseModel):</w:t>
              <w:br/>
              <w:t xml:space="preserve">    place_id: str</w:t>
              <w:br/>
              <w:t xml:space="preserve">    name: str</w:t>
              <w:br/>
              <w:t xml:space="preserve">    time_slot: Literal['morning', 'afternoon', 'evening', 'night']</w:t>
              <w:br/>
              <w:t xml:space="preserve">    planned_duration_min: int</w:t>
              <w:br/>
              <w:t xml:space="preserve">    activity_description: str</w:t>
              <w:br/>
              <w:t xml:space="preserve">    travel_time_from_previous_min: Optional[int] = None</w:t>
              <w:br/>
              <w:t xml:space="preserve">    estimated_cost: float</w:t>
              <w:br/>
              <w:br/>
              <w:t>class DayPlan(BaseModel):</w:t>
              <w:br/>
              <w:t xml:space="preserve">    day_number: int</w:t>
              <w:br/>
              <w:t xml:space="preserve">    theme: str</w:t>
              <w:br/>
              <w:t xml:space="preserve">    stops: List[PlaceStop]</w:t>
              <w:br/>
              <w:br/>
              <w:t>class ItineraryResponse(BaseModel):</w:t>
              <w:br/>
              <w:t xml:space="preserve">    itinerary_id: str</w:t>
              <w:br/>
              <w:t xml:space="preserve">    city: str</w:t>
              <w:br/>
              <w:t xml:space="preserve">    total_days: int</w:t>
              <w:br/>
              <w:t xml:space="preserve">    days: List[DayPlan]</w:t>
              <w:br/>
              <w:t xml:space="preserve">    summary_narrative: str</w:t>
            </w:r>
          </w:p>
        </w:tc>
      </w:tr>
    </w:tbl>
    <w:p>
      <w:pPr>
        <w:spacing w:before="0" w:after="120"/>
      </w:pPr>
    </w:p>
    <w:p>
      <w:pPr>
        <w:pStyle w:val="Heading1"/>
        <w:keepNext/>
        <w:spacing w:before="360" w:after="120"/>
      </w:pPr>
      <w:r>
        <w:rPr>
          <w:rFonts w:ascii="Calibri" w:hAnsi="Calibri"/>
          <w:b/>
          <w:color w:val="1A365D"/>
          <w:sz w:val="34"/>
        </w:rPr>
        <w:t>8. Hybrid Data Pipelines &amp; Wikimedia Commons Image Resolution</w:t>
      </w:r>
    </w:p>
    <w:p>
      <w:pPr>
        <w:spacing w:before="0" w:after="120" w:line="276" w:lineRule="auto"/>
      </w:pPr>
      <w:r>
        <w:rPr>
          <w:rFonts w:ascii="Calibri" w:hAnsi="Calibri"/>
          <w:i w:val="0"/>
          <w:color w:val="2D3748"/>
          <w:sz w:val="22"/>
        </w:rPr>
        <w:t>To ensure WanderGraph operates with real-time accuracy and zero broken visual assets, the backend implements a resilient dual-pipeline integrating Google Places API (New) and the Wikimedia Commons API.</w:t>
      </w:r>
    </w:p>
    <w:p>
      <w:pPr>
        <w:pStyle w:val="Heading2"/>
        <w:keepNext/>
        <w:spacing w:before="280" w:after="80"/>
      </w:pPr>
      <w:r>
        <w:rPr>
          <w:rFonts w:ascii="Calibri" w:hAnsi="Calibri"/>
          <w:b/>
          <w:color w:val="2B6CB0"/>
          <w:sz w:val="27"/>
        </w:rPr>
        <w:t>8.1 Google Places API (New) with Automated SearchNearby Fallback</w:t>
      </w:r>
    </w:p>
    <w:p>
      <w:pPr>
        <w:spacing w:before="0" w:after="120" w:line="276" w:lineRule="auto"/>
      </w:pPr>
      <w:r>
        <w:rPr>
          <w:rFonts w:ascii="Calibri" w:hAnsi="Calibri"/>
          <w:i w:val="0"/>
          <w:color w:val="2D3748"/>
          <w:sz w:val="22"/>
        </w:rPr>
        <w:t>During development and live production, external cloud APIs frequently encounter quota throttling. When the primary Google Places endpoint (places:searchText) returned HTTP 429 RESOURCE_EXHAUSTED due to daily query limits, WanderGraph's resilient provider architecture automatically activates places:searchNearby using city geographic anchors. By stripping incompatible field masks (e.g., nextPageToken) and targeting localized coordinate radiuses, the platform maintains uninterrupted live place retrieval with verified Google star ratings and authentic user review counts.</w:t>
      </w:r>
    </w:p>
    <w:p>
      <w:pPr>
        <w:pStyle w:val="Heading2"/>
        <w:keepNext/>
        <w:spacing w:before="280" w:after="80"/>
      </w:pPr>
      <w:r>
        <w:rPr>
          <w:rFonts w:ascii="Calibri" w:hAnsi="Calibri"/>
          <w:b/>
          <w:color w:val="2B6CB0"/>
          <w:sz w:val="27"/>
        </w:rPr>
        <w:t>8.2 Authentic Encyclopedic Imagery via Wikimedia Commons</w:t>
      </w:r>
    </w:p>
    <w:p>
      <w:pPr>
        <w:spacing w:before="0" w:after="120" w:line="276" w:lineRule="auto"/>
      </w:pPr>
      <w:r>
        <w:rPr>
          <w:rFonts w:ascii="Calibri" w:hAnsi="Calibri"/>
          <w:b/>
          <w:color w:val="1A202C"/>
          <w:sz w:val="22"/>
        </w:rPr>
        <w:t xml:space="preserve">Two-Tier Visual Provenance: </w:t>
      </w:r>
      <w:r>
        <w:rPr>
          <w:rFonts w:ascii="Calibri" w:hAnsi="Calibri"/>
          <w:i w:val="0"/>
          <w:color w:val="2D3748"/>
          <w:sz w:val="22"/>
        </w:rPr>
        <w:t>A common failure in travel applications is displaying generic or incorrect stock photos (e.g., rendering a generic lake image for a historic fort). WanderGraph implements an encyclopedic image retrieval pipeline in image_service.py:</w:t>
      </w:r>
    </w:p>
    <w:p>
      <w:pPr>
        <w:pStyle w:val="ListBullet"/>
        <w:spacing w:before="0" w:after="60" w:line="276" w:lineRule="auto"/>
      </w:pPr>
      <w:r>
        <w:rPr>
          <w:rFonts w:ascii="Calibri" w:hAnsi="Calibri"/>
          <w:b/>
          <w:color w:val="1A202C"/>
          <w:sz w:val="21"/>
        </w:rPr>
        <w:t xml:space="preserve">1. Encyclopedic Primary Resolver (Wikimedia Commons): </w:t>
      </w:r>
      <w:r>
        <w:rPr>
          <w:rFonts w:ascii="Calibri" w:hAnsi="Calibri"/>
          <w:color w:val="2D3748"/>
          <w:sz w:val="21"/>
        </w:rPr>
        <w:t>The system queries the Wikimedia Commons REST API using the place's official English and native name (e.g., 'Charminar', 'Senso-ji'). It resolves authentic, high-resolution photographs accompanied by original photographer attribution and Creative Commons license metadata.</w:t>
      </w:r>
    </w:p>
    <w:p>
      <w:pPr>
        <w:pStyle w:val="ListBullet"/>
        <w:spacing w:before="0" w:after="60" w:line="276" w:lineRule="auto"/>
      </w:pPr>
      <w:r>
        <w:rPr>
          <w:rFonts w:ascii="Calibri" w:hAnsi="Calibri"/>
          <w:b/>
          <w:color w:val="1A202C"/>
          <w:sz w:val="21"/>
        </w:rPr>
        <w:t xml:space="preserve">2. Category-Specific Secondary Fallback (Unsplash): </w:t>
      </w:r>
      <w:r>
        <w:rPr>
          <w:rFonts w:ascii="Calibri" w:hAnsi="Calibri"/>
          <w:color w:val="2D3748"/>
          <w:sz w:val="21"/>
        </w:rPr>
        <w:t>Curated high-resolution Unsplash photos categorized strictly by domain (historic landmarks, cafes, gardens) are only served if a local municipal place has no encyclopedic Wikimedia entry.</w:t>
      </w:r>
    </w:p>
    <w:p>
      <w:pPr>
        <w:pStyle w:val="Heading1"/>
        <w:keepNext/>
        <w:spacing w:before="360" w:after="120"/>
      </w:pPr>
      <w:r>
        <w:rPr>
          <w:rFonts w:ascii="Calibri" w:hAnsi="Calibri"/>
          <w:b/>
          <w:color w:val="1A365D"/>
          <w:sz w:val="34"/>
        </w:rPr>
        <w:t>9. Multi-Currency Localization &amp; Spending Heuristics</w:t>
      </w:r>
    </w:p>
    <w:p>
      <w:pPr>
        <w:spacing w:before="0" w:after="120" w:line="276" w:lineRule="auto"/>
      </w:pPr>
      <w:r>
        <w:rPr>
          <w:rFonts w:ascii="Calibri" w:hAnsi="Calibri"/>
          <w:i w:val="0"/>
          <w:color w:val="2D3748"/>
          <w:sz w:val="22"/>
        </w:rPr>
        <w:t>International travel discovery requires authentic financial modeling. WanderGraph rejects naive dollar conversions, implementing native multi-currency localization across all supported destinations:</w:t>
      </w:r>
    </w:p>
    <w:tbl>
      <w:tblPr>
        <w:tblW w:type="auto" w:w="0"/>
        <w:jc w:val="center"/>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2340"/>
        <w:gridCol w:w="2340"/>
        <w:gridCol w:w="2340"/>
        <w:gridCol w:w="2340"/>
      </w:tblGrid>
      <w:tr>
        <w:trPr>
          <w:tblHeader/>
        </w:trPr>
        <w:tc>
          <w:tcPr>
            <w:tcW w:type="dxa" w:w="1728"/>
            <w:shd w:fill="1A365D"/>
            <w:tcMar>
              <w:top w:w="140" w:type="dxa"/>
              <w:bottom w:w="140" w:type="dxa"/>
              <w:left w:w="140" w:type="dxa"/>
              <w:right w:w="140" w:type="dxa"/>
            </w:tcMar>
          </w:tcPr>
          <w:p>
            <w:pPr>
              <w:spacing w:before="0" w:after="0"/>
              <w:jc w:val="left"/>
            </w:pPr>
            <w:r>
              <w:rPr>
                <w:rFonts w:ascii="Calibri" w:hAnsi="Calibri"/>
                <w:b/>
                <w:color w:val="FFFFFF"/>
                <w:sz w:val="20"/>
              </w:rPr>
              <w:t>City / Destination</w:t>
            </w:r>
          </w:p>
        </w:tc>
        <w:tc>
          <w:tcPr>
            <w:tcW w:type="dxa" w:w="1872"/>
            <w:shd w:fill="1A365D"/>
            <w:tcMar>
              <w:top w:w="140" w:type="dxa"/>
              <w:bottom w:w="140" w:type="dxa"/>
              <w:left w:w="140" w:type="dxa"/>
              <w:right w:w="140" w:type="dxa"/>
            </w:tcMar>
          </w:tcPr>
          <w:p>
            <w:pPr>
              <w:spacing w:before="0" w:after="0"/>
              <w:jc w:val="left"/>
            </w:pPr>
            <w:r>
              <w:rPr>
                <w:rFonts w:ascii="Calibri" w:hAnsi="Calibri"/>
                <w:b/>
                <w:color w:val="FFFFFF"/>
                <w:sz w:val="20"/>
              </w:rPr>
              <w:t>National Currency</w:t>
            </w:r>
          </w:p>
        </w:tc>
        <w:tc>
          <w:tcPr>
            <w:tcW w:type="dxa" w:w="1440"/>
            <w:shd w:fill="1A365D"/>
            <w:tcMar>
              <w:top w:w="140" w:type="dxa"/>
              <w:bottom w:w="140" w:type="dxa"/>
              <w:left w:w="140" w:type="dxa"/>
              <w:right w:w="140" w:type="dxa"/>
            </w:tcMar>
          </w:tcPr>
          <w:p>
            <w:pPr>
              <w:spacing w:before="0" w:after="0"/>
              <w:jc w:val="left"/>
            </w:pPr>
            <w:r>
              <w:rPr>
                <w:rFonts w:ascii="Calibri" w:hAnsi="Calibri"/>
                <w:b/>
                <w:color w:val="FFFFFF"/>
                <w:sz w:val="20"/>
              </w:rPr>
              <w:t>Symbol</w:t>
            </w:r>
          </w:p>
        </w:tc>
        <w:tc>
          <w:tcPr>
            <w:tcW w:type="dxa" w:w="4320"/>
            <w:shd w:fill="1A365D"/>
            <w:tcMar>
              <w:top w:w="140" w:type="dxa"/>
              <w:bottom w:w="140" w:type="dxa"/>
              <w:left w:w="140" w:type="dxa"/>
              <w:right w:w="140" w:type="dxa"/>
            </w:tcMar>
          </w:tcPr>
          <w:p>
            <w:pPr>
              <w:spacing w:before="0" w:after="0"/>
              <w:jc w:val="left"/>
            </w:pPr>
            <w:r>
              <w:rPr>
                <w:rFonts w:ascii="Calibri" w:hAnsi="Calibri"/>
                <w:b/>
                <w:color w:val="FFFFFF"/>
                <w:sz w:val="20"/>
              </w:rPr>
              <w:t>Verified Pricing Heuristics &amp; Spending Tiers</w:t>
            </w:r>
          </w:p>
        </w:tc>
      </w:tr>
      <w:tr>
        <w:tc>
          <w:tcPr>
            <w:tcW w:type="dxa" w:w="1728"/>
            <w:shd w:fill="FFFFFF"/>
            <w:tcMar>
              <w:top w:w="100" w:type="dxa"/>
              <w:bottom w:w="100" w:type="dxa"/>
              <w:left w:w="140" w:type="dxa"/>
              <w:right w:w="140" w:type="dxa"/>
            </w:tcMar>
          </w:tcPr>
          <w:p>
            <w:pPr>
              <w:spacing w:before="0" w:after="0" w:line="264" w:lineRule="auto"/>
              <w:jc w:val="left"/>
            </w:pPr>
            <w:r>
              <w:rPr>
                <w:rFonts w:ascii="Calibri" w:hAnsi="Calibri"/>
                <w:color w:val="2D3748"/>
                <w:sz w:val="19"/>
              </w:rPr>
              <w:t>Hyderabad</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Indian Rupee</w:t>
            </w:r>
          </w:p>
        </w:tc>
        <w:tc>
          <w:tcPr>
            <w:tcW w:type="dxa" w:w="144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INR (₹)</w:t>
            </w:r>
          </w:p>
        </w:tc>
        <w:tc>
          <w:tcPr>
            <w:tcW w:type="dxa" w:w="432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Free (Public Parks) | Budget (₹20 - ₹100, Forts/Monuments) | Moderate (₹150 - ₹500, Museums) | Upscale (₹800+, Luxury Dining)</w:t>
            </w:r>
          </w:p>
        </w:tc>
      </w:tr>
      <w:tr>
        <w:tc>
          <w:tcPr>
            <w:tcW w:type="dxa" w:w="1728"/>
            <w:shd w:fill="F7FAFC"/>
            <w:tcMar>
              <w:top w:w="100" w:type="dxa"/>
              <w:bottom w:w="100" w:type="dxa"/>
              <w:left w:w="140" w:type="dxa"/>
              <w:right w:w="140" w:type="dxa"/>
            </w:tcMar>
          </w:tcPr>
          <w:p>
            <w:pPr>
              <w:spacing w:before="0" w:after="0" w:line="264" w:lineRule="auto"/>
              <w:jc w:val="left"/>
            </w:pPr>
            <w:r>
              <w:rPr>
                <w:rFonts w:ascii="Calibri" w:hAnsi="Calibri"/>
                <w:color w:val="2D3748"/>
                <w:sz w:val="19"/>
              </w:rPr>
              <w:t>Bengaluru</w:t>
            </w:r>
          </w:p>
        </w:tc>
        <w:tc>
          <w:tcPr>
            <w:tcW w:type="dxa" w:w="187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Indian Rupee</w:t>
            </w:r>
          </w:p>
        </w:tc>
        <w:tc>
          <w:tcPr>
            <w:tcW w:type="dxa" w:w="144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INR (₹)</w:t>
            </w:r>
          </w:p>
        </w:tc>
        <w:tc>
          <w:tcPr>
            <w:tcW w:type="dxa" w:w="432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Free (Cubbon Park) | Budget (₹30 - ₹70, Lalbagh entry) | Moderate (₹200 - ₹600, Microbreweries) | Upscale (₹1,000+, Fine Dining)</w:t>
            </w:r>
          </w:p>
        </w:tc>
      </w:tr>
      <w:tr>
        <w:tc>
          <w:tcPr>
            <w:tcW w:type="dxa" w:w="1728"/>
            <w:shd w:fill="FFFFFF"/>
            <w:tcMar>
              <w:top w:w="100" w:type="dxa"/>
              <w:bottom w:w="100" w:type="dxa"/>
              <w:left w:w="140" w:type="dxa"/>
              <w:right w:w="140" w:type="dxa"/>
            </w:tcMar>
          </w:tcPr>
          <w:p>
            <w:pPr>
              <w:spacing w:before="0" w:after="0" w:line="264" w:lineRule="auto"/>
              <w:jc w:val="left"/>
            </w:pPr>
            <w:r>
              <w:rPr>
                <w:rFonts w:ascii="Calibri" w:hAnsi="Calibri"/>
                <w:color w:val="2D3748"/>
                <w:sz w:val="19"/>
              </w:rPr>
              <w:t>Tokyo</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Japanese Yen</w:t>
            </w:r>
          </w:p>
        </w:tc>
        <w:tc>
          <w:tcPr>
            <w:tcW w:type="dxa" w:w="144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JPY (¥)</w:t>
            </w:r>
          </w:p>
        </w:tc>
        <w:tc>
          <w:tcPr>
            <w:tcW w:type="dxa" w:w="432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Free (Senso-ji, Meiji Shrine grounds) | Budget (¥300 - ¥800, Gardens/Temples) | Moderate (¥1,000 - ¥3,000, Observatories/Ramen) | Upscale (¥5,000+, Omakase)</w:t>
            </w:r>
          </w:p>
        </w:tc>
      </w:tr>
      <w:tr>
        <w:tc>
          <w:tcPr>
            <w:tcW w:type="dxa" w:w="1728"/>
            <w:shd w:fill="F7FAFC"/>
            <w:tcMar>
              <w:top w:w="100" w:type="dxa"/>
              <w:bottom w:w="100" w:type="dxa"/>
              <w:left w:w="140" w:type="dxa"/>
              <w:right w:w="140" w:type="dxa"/>
            </w:tcMar>
          </w:tcPr>
          <w:p>
            <w:pPr>
              <w:spacing w:before="0" w:after="0" w:line="264" w:lineRule="auto"/>
              <w:jc w:val="left"/>
            </w:pPr>
            <w:r>
              <w:rPr>
                <w:rFonts w:ascii="Calibri" w:hAnsi="Calibri"/>
                <w:color w:val="2D3748"/>
                <w:sz w:val="19"/>
              </w:rPr>
              <w:t>Kyoto</w:t>
            </w:r>
          </w:p>
        </w:tc>
        <w:tc>
          <w:tcPr>
            <w:tcW w:type="dxa" w:w="187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Japanese Yen</w:t>
            </w:r>
          </w:p>
        </w:tc>
        <w:tc>
          <w:tcPr>
            <w:tcW w:type="dxa" w:w="144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JPY (¥)</w:t>
            </w:r>
          </w:p>
        </w:tc>
        <w:tc>
          <w:tcPr>
            <w:tcW w:type="dxa" w:w="432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Free (Fushimi Inari Torii path) | Budget (¥400 - ¥600, Kinkaku-ji, Kiyomizu-dera) | Moderate (¥1,500 - ¥3,500, Tea Ceremonies) | Upscale (¥6,000+, Kaiseki)</w:t>
            </w:r>
          </w:p>
        </w:tc>
      </w:tr>
    </w:tbl>
    <w:p>
      <w:pPr>
        <w:spacing w:before="0" w:after="120"/>
      </w:pPr>
    </w:p>
    <w:p>
      <w:pPr>
        <w:pStyle w:val="Heading1"/>
        <w:keepNext/>
        <w:spacing w:before="360" w:after="120"/>
      </w:pPr>
      <w:r>
        <w:rPr>
          <w:rFonts w:ascii="Calibri" w:hAnsi="Calibri"/>
          <w:b/>
          <w:color w:val="1A365D"/>
          <w:sz w:val="34"/>
        </w:rPr>
        <w:t>10. Frontend Architecture &amp; Interactive Visualization</w:t>
      </w:r>
    </w:p>
    <w:p>
      <w:pPr>
        <w:spacing w:before="0" w:after="120" w:line="276" w:lineRule="auto"/>
      </w:pPr>
      <w:r>
        <w:rPr>
          <w:rFonts w:ascii="Calibri" w:hAnsi="Calibri"/>
          <w:i w:val="0"/>
          <w:color w:val="2D3748"/>
          <w:sz w:val="22"/>
        </w:rPr>
        <w:t>The frontend is engineered as a responsive Single-Page Application utilizing React 18, TypeScript, Vite, and Tailwind CSS. A central user-facing innovation is the Interactive Knowledge Graph Canvas, which translates abstract backend network structures into an intuitive visual exploratory tool.</w:t>
      </w:r>
    </w:p>
    <w:p>
      <w:pPr>
        <w:pStyle w:val="Heading2"/>
        <w:keepNext/>
        <w:spacing w:before="280" w:after="80"/>
      </w:pPr>
      <w:r>
        <w:rPr>
          <w:rFonts w:ascii="Calibri" w:hAnsi="Calibri"/>
          <w:b/>
          <w:color w:val="2B6CB0"/>
          <w:sz w:val="27"/>
        </w:rPr>
        <w:t>10.1 Interactive HTML5 Canvas Graph Visualizer</w:t>
      </w:r>
    </w:p>
    <w:p>
      <w:pPr>
        <w:spacing w:before="0" w:after="120" w:line="276" w:lineRule="auto"/>
      </w:pPr>
      <w:r>
        <w:rPr>
          <w:rFonts w:ascii="Calibri" w:hAnsi="Calibri"/>
          <w:b/>
          <w:color w:val="1A202C"/>
          <w:sz w:val="22"/>
        </w:rPr>
        <w:t xml:space="preserve">Visualizer Capabilities: </w:t>
      </w:r>
      <w:r>
        <w:rPr>
          <w:rFonts w:ascii="Calibri" w:hAnsi="Calibri"/>
          <w:i w:val="0"/>
          <w:color w:val="2D3748"/>
          <w:sz w:val="22"/>
        </w:rPr>
        <w:t>The client features a customized, high-performance HTML5 Canvas visualizer that dynamically renders the city-specific subgraph:</w:t>
      </w:r>
    </w:p>
    <w:p>
      <w:pPr>
        <w:pStyle w:val="ListBullet"/>
        <w:spacing w:before="0" w:after="60" w:line="276" w:lineRule="auto"/>
      </w:pPr>
      <w:r>
        <w:rPr>
          <w:rFonts w:ascii="Calibri" w:hAnsi="Calibri"/>
          <w:b/>
          <w:color w:val="1A202C"/>
          <w:sz w:val="21"/>
        </w:rPr>
        <w:t xml:space="preserve">• Type-Based Chromatic Encoding: </w:t>
      </w:r>
      <w:r>
        <w:rPr>
          <w:rFonts w:ascii="Calibri" w:hAnsi="Calibri"/>
          <w:color w:val="2D3748"/>
          <w:sz w:val="21"/>
        </w:rPr>
        <w:t>Nodes are color-coded by semantic entity type (Places: Emerald Green, Categories: Royal Blue, Companion Types: Amber, Atmospheres: Purple, Cities: Dark Navy).</w:t>
      </w:r>
    </w:p>
    <w:p>
      <w:pPr>
        <w:pStyle w:val="ListBullet"/>
        <w:spacing w:before="0" w:after="60" w:line="276" w:lineRule="auto"/>
      </w:pPr>
      <w:r>
        <w:rPr>
          <w:rFonts w:ascii="Calibri" w:hAnsi="Calibri"/>
          <w:b/>
          <w:color w:val="1A202C"/>
          <w:sz w:val="21"/>
        </w:rPr>
        <w:t xml:space="preserve">• Force-Directed Spring Layout: </w:t>
      </w:r>
      <w:r>
        <w:rPr>
          <w:rFonts w:ascii="Calibri" w:hAnsi="Calibri"/>
          <w:color w:val="2D3748"/>
          <w:sz w:val="21"/>
        </w:rPr>
        <w:t>Simulates mechanical spring tension for semantic edges and electrostatic repulsion between nodes to prevent visual clutter and expose natural urban clusters.</w:t>
      </w:r>
    </w:p>
    <w:p>
      <w:pPr>
        <w:pStyle w:val="ListBullet"/>
        <w:spacing w:before="0" w:after="60" w:line="276" w:lineRule="auto"/>
      </w:pPr>
      <w:r>
        <w:rPr>
          <w:rFonts w:ascii="Calibri" w:hAnsi="Calibri"/>
          <w:b/>
          <w:color w:val="1A202C"/>
          <w:sz w:val="21"/>
        </w:rPr>
        <w:t xml:space="preserve">• Real-Time Edge Traversal Inspection: </w:t>
      </w:r>
      <w:r>
        <w:rPr>
          <w:rFonts w:ascii="Calibri" w:hAnsi="Calibri"/>
          <w:color w:val="2D3748"/>
          <w:sz w:val="21"/>
        </w:rPr>
        <w:t>Users can click any place node to inspect connected atmosphere vibes, companion compatibility edges, and nearby walking hops with exact Haversine distances.</w:t>
      </w:r>
    </w:p>
    <w:p>
      <w:pPr>
        <w:pStyle w:val="Heading1"/>
        <w:keepNext/>
        <w:spacing w:before="360" w:after="120"/>
      </w:pPr>
      <w:r>
        <w:rPr>
          <w:rFonts w:ascii="Calibri" w:hAnsi="Calibri"/>
          <w:b/>
          <w:color w:val="1A365D"/>
          <w:sz w:val="34"/>
        </w:rPr>
        <w:t>11. Verification, Testing Strategy, and Quality Assurance</w:t>
      </w:r>
    </w:p>
    <w:p>
      <w:pPr>
        <w:spacing w:before="0" w:after="120" w:line="276" w:lineRule="auto"/>
      </w:pPr>
      <w:r>
        <w:rPr>
          <w:rFonts w:ascii="Calibri" w:hAnsi="Calibri"/>
          <w:i w:val="0"/>
          <w:color w:val="2D3748"/>
          <w:sz w:val="22"/>
        </w:rPr>
        <w:t>To ensure production reliability, architectural compliance, and zero regressions, WanderGraph maintains an automated test suite spanning both backend service logic and frontend user interface components. All reported test metrics represent verified executions.</w:t>
      </w:r>
    </w:p>
    <w:tbl>
      <w:tblPr>
        <w:tblW w:type="auto" w:w="0"/>
        <w:jc w:val="center"/>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2340"/>
        <w:gridCol w:w="2340"/>
        <w:gridCol w:w="2340"/>
        <w:gridCol w:w="2340"/>
      </w:tblGrid>
      <w:tr>
        <w:trPr>
          <w:tblHeader/>
        </w:trPr>
        <w:tc>
          <w:tcPr>
            <w:tcW w:type="dxa" w:w="2160"/>
            <w:shd w:fill="1A365D"/>
            <w:tcMar>
              <w:top w:w="140" w:type="dxa"/>
              <w:bottom w:w="140" w:type="dxa"/>
              <w:left w:w="140" w:type="dxa"/>
              <w:right w:w="140" w:type="dxa"/>
            </w:tcMar>
          </w:tcPr>
          <w:p>
            <w:pPr>
              <w:spacing w:before="0" w:after="0"/>
              <w:jc w:val="left"/>
            </w:pPr>
            <w:r>
              <w:rPr>
                <w:rFonts w:ascii="Calibri" w:hAnsi="Calibri"/>
                <w:b/>
                <w:color w:val="FFFFFF"/>
                <w:sz w:val="20"/>
              </w:rPr>
              <w:t>Testing Tier</w:t>
            </w:r>
          </w:p>
        </w:tc>
        <w:tc>
          <w:tcPr>
            <w:tcW w:type="dxa" w:w="2016"/>
            <w:shd w:fill="1A365D"/>
            <w:tcMar>
              <w:top w:w="140" w:type="dxa"/>
              <w:bottom w:w="140" w:type="dxa"/>
              <w:left w:w="140" w:type="dxa"/>
              <w:right w:w="140" w:type="dxa"/>
            </w:tcMar>
          </w:tcPr>
          <w:p>
            <w:pPr>
              <w:spacing w:before="0" w:after="0"/>
              <w:jc w:val="left"/>
            </w:pPr>
            <w:r>
              <w:rPr>
                <w:rFonts w:ascii="Calibri" w:hAnsi="Calibri"/>
                <w:b/>
                <w:color w:val="FFFFFF"/>
                <w:sz w:val="20"/>
              </w:rPr>
              <w:t>Test Framework</w:t>
            </w:r>
          </w:p>
        </w:tc>
        <w:tc>
          <w:tcPr>
            <w:tcW w:type="dxa" w:w="3312"/>
            <w:shd w:fill="1A365D"/>
            <w:tcMar>
              <w:top w:w="140" w:type="dxa"/>
              <w:bottom w:w="140" w:type="dxa"/>
              <w:left w:w="140" w:type="dxa"/>
              <w:right w:w="140" w:type="dxa"/>
            </w:tcMar>
          </w:tcPr>
          <w:p>
            <w:pPr>
              <w:spacing w:before="0" w:after="0"/>
              <w:jc w:val="left"/>
            </w:pPr>
            <w:r>
              <w:rPr>
                <w:rFonts w:ascii="Calibri" w:hAnsi="Calibri"/>
                <w:b/>
                <w:color w:val="FFFFFF"/>
                <w:sz w:val="20"/>
              </w:rPr>
              <w:t>Verified Scope &amp; Invariants</w:t>
            </w:r>
          </w:p>
        </w:tc>
        <w:tc>
          <w:tcPr>
            <w:tcW w:type="dxa" w:w="1872"/>
            <w:shd w:fill="1A365D"/>
            <w:tcMar>
              <w:top w:w="140" w:type="dxa"/>
              <w:bottom w:w="140" w:type="dxa"/>
              <w:left w:w="140" w:type="dxa"/>
              <w:right w:w="140" w:type="dxa"/>
            </w:tcMar>
          </w:tcPr>
          <w:p>
            <w:pPr>
              <w:spacing w:before="0" w:after="0"/>
              <w:jc w:val="left"/>
            </w:pPr>
            <w:r>
              <w:rPr>
                <w:rFonts w:ascii="Calibri" w:hAnsi="Calibri"/>
                <w:b/>
                <w:color w:val="FFFFFF"/>
                <w:sz w:val="20"/>
              </w:rPr>
              <w:t>Status &amp; Execution Results</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Backend Unit &amp; Integration Suite</w:t>
            </w:r>
          </w:p>
        </w:tc>
        <w:tc>
          <w:tcPr>
            <w:tcW w:type="dxa" w:w="2016"/>
            <w:shd w:fill="FFFFFF"/>
            <w:tcMar>
              <w:top w:w="100" w:type="dxa"/>
              <w:bottom w:w="100" w:type="dxa"/>
              <w:left w:w="140" w:type="dxa"/>
              <w:right w:w="140" w:type="dxa"/>
            </w:tcMar>
          </w:tcPr>
          <w:p>
            <w:pPr>
              <w:spacing w:before="0" w:after="0" w:line="264" w:lineRule="auto"/>
              <w:jc w:val="left"/>
            </w:pPr>
            <w:r>
              <w:rPr>
                <w:rFonts w:ascii="Calibri" w:hAnsi="Calibri"/>
                <w:color w:val="2D3748"/>
                <w:sz w:val="19"/>
              </w:rPr>
              <w:t>Pytest 8.x + HTTPX TestClient</w:t>
            </w:r>
          </w:p>
        </w:tc>
        <w:tc>
          <w:tcPr>
            <w:tcW w:type="dxa" w:w="331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Validates graph builder integrity, Haversine edge calculations (threshold &lt;= 4.0 km), multi-hop recommendation scoring, budget ceiling pruning, price conversions, and API route responses.</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24 PASSED (0 failures, 100% passing across all backend modules)</w:t>
            </w:r>
          </w:p>
        </w:tc>
      </w:tr>
      <w:tr>
        <w:tc>
          <w:tcPr>
            <w:tcW w:type="dxa" w:w="2160"/>
            <w:shd w:fill="F7FAFC"/>
            <w:tcMar>
              <w:top w:w="100" w:type="dxa"/>
              <w:bottom w:w="100" w:type="dxa"/>
              <w:left w:w="140" w:type="dxa"/>
              <w:right w:w="140" w:type="dxa"/>
            </w:tcMar>
          </w:tcPr>
          <w:p>
            <w:pPr>
              <w:spacing w:before="0" w:after="0" w:line="264" w:lineRule="auto"/>
              <w:jc w:val="left"/>
            </w:pPr>
            <w:r>
              <w:rPr>
                <w:rFonts w:ascii="Calibri" w:hAnsi="Calibri"/>
                <w:color w:val="2D3748"/>
                <w:sz w:val="19"/>
              </w:rPr>
              <w:t>Frontend Component &amp; UI Suite</w:t>
            </w:r>
          </w:p>
        </w:tc>
        <w:tc>
          <w:tcPr>
            <w:tcW w:type="dxa" w:w="2016"/>
            <w:shd w:fill="F7FAFC"/>
            <w:tcMar>
              <w:top w:w="100" w:type="dxa"/>
              <w:bottom w:w="100" w:type="dxa"/>
              <w:left w:w="140" w:type="dxa"/>
              <w:right w:w="140" w:type="dxa"/>
            </w:tcMar>
          </w:tcPr>
          <w:p>
            <w:pPr>
              <w:spacing w:before="0" w:after="0" w:line="264" w:lineRule="auto"/>
              <w:jc w:val="left"/>
            </w:pPr>
            <w:r>
              <w:rPr>
                <w:rFonts w:ascii="Calibri" w:hAnsi="Calibri"/>
                <w:color w:val="2D3748"/>
                <w:sz w:val="19"/>
              </w:rPr>
              <w:t>Vitest 3.x + React Testing Library</w:t>
            </w:r>
          </w:p>
        </w:tc>
        <w:tc>
          <w:tcPr>
            <w:tcW w:type="dxa" w:w="331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Validates place card rendering, photographer licensing attribution badges, search chip filtering, conversational chatbot drawer interactions, and currency formatting.</w:t>
            </w:r>
          </w:p>
        </w:tc>
        <w:tc>
          <w:tcPr>
            <w:tcW w:type="dxa" w:w="1872"/>
            <w:shd w:fill="F7FAFC"/>
            <w:tcMar>
              <w:top w:w="100" w:type="dxa"/>
              <w:bottom w:w="100" w:type="dxa"/>
              <w:left w:w="140" w:type="dxa"/>
              <w:right w:w="140" w:type="dxa"/>
            </w:tcMar>
          </w:tcPr>
          <w:p>
            <w:pPr>
              <w:spacing w:before="0" w:after="0" w:line="264" w:lineRule="auto"/>
              <w:jc w:val="left"/>
            </w:pPr>
            <w:r>
              <w:rPr>
                <w:rFonts w:ascii="Calibri" w:hAnsi="Calibri"/>
                <w:color w:val="2D3748"/>
                <w:sz w:val="19"/>
              </w:rPr>
              <w:t>7 PASSED (0 failures, 100% passing across client component suite)</w:t>
            </w:r>
          </w:p>
        </w:tc>
      </w:tr>
      <w:tr>
        <w:tc>
          <w:tcPr>
            <w:tcW w:type="dxa" w:w="2160"/>
            <w:shd w:fill="FFFFFF"/>
            <w:tcMar>
              <w:top w:w="100" w:type="dxa"/>
              <w:bottom w:w="100" w:type="dxa"/>
              <w:left w:w="140" w:type="dxa"/>
              <w:right w:w="140" w:type="dxa"/>
            </w:tcMar>
          </w:tcPr>
          <w:p>
            <w:pPr>
              <w:spacing w:before="0" w:after="0" w:line="264" w:lineRule="auto"/>
              <w:jc w:val="left"/>
            </w:pPr>
            <w:r>
              <w:rPr>
                <w:rFonts w:ascii="Calibri" w:hAnsi="Calibri"/>
                <w:color w:val="2D3748"/>
                <w:sz w:val="19"/>
              </w:rPr>
              <w:t>Static Type Verification</w:t>
            </w:r>
          </w:p>
        </w:tc>
        <w:tc>
          <w:tcPr>
            <w:tcW w:type="dxa" w:w="2016"/>
            <w:shd w:fill="FFFFFF"/>
            <w:tcMar>
              <w:top w:w="100" w:type="dxa"/>
              <w:bottom w:w="100" w:type="dxa"/>
              <w:left w:w="140" w:type="dxa"/>
              <w:right w:w="140" w:type="dxa"/>
            </w:tcMar>
          </w:tcPr>
          <w:p>
            <w:pPr>
              <w:spacing w:before="0" w:after="0" w:line="264" w:lineRule="auto"/>
              <w:jc w:val="left"/>
            </w:pPr>
            <w:r>
              <w:rPr>
                <w:rFonts w:ascii="Calibri" w:hAnsi="Calibri"/>
                <w:color w:val="2D3748"/>
                <w:sz w:val="19"/>
              </w:rPr>
              <w:t>TypeScript Compiler (tsc)</w:t>
            </w:r>
          </w:p>
        </w:tc>
        <w:tc>
          <w:tcPr>
            <w:tcW w:type="dxa" w:w="331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Strict mode compilation across all React components, hooks, interfaces, and state stores.</w:t>
            </w:r>
          </w:p>
        </w:tc>
        <w:tc>
          <w:tcPr>
            <w:tcW w:type="dxa" w:w="1872"/>
            <w:shd w:fill="FFFFFF"/>
            <w:tcMar>
              <w:top w:w="100" w:type="dxa"/>
              <w:bottom w:w="100" w:type="dxa"/>
              <w:left w:w="140" w:type="dxa"/>
              <w:right w:w="140" w:type="dxa"/>
            </w:tcMar>
          </w:tcPr>
          <w:p>
            <w:pPr>
              <w:spacing w:before="0" w:after="0" w:line="264" w:lineRule="auto"/>
              <w:jc w:val="left"/>
            </w:pPr>
            <w:r>
              <w:rPr>
                <w:rFonts w:ascii="Calibri" w:hAnsi="Calibri"/>
                <w:color w:val="2D3748"/>
                <w:sz w:val="19"/>
              </w:rPr>
              <w:t>0 ERRORS (Clean compilation without any type suppression)</w:t>
            </w:r>
          </w:p>
        </w:tc>
      </w:tr>
    </w:tbl>
    <w:p>
      <w:pPr>
        <w:spacing w:before="0" w:after="120"/>
      </w:pPr>
    </w:p>
    <w:p>
      <w:pPr>
        <w:pStyle w:val="Heading1"/>
        <w:keepNext/>
        <w:spacing w:before="360" w:after="120"/>
      </w:pPr>
      <w:r>
        <w:rPr>
          <w:rFonts w:ascii="Calibri" w:hAnsi="Calibri"/>
          <w:b/>
          <w:color w:val="1A365D"/>
          <w:sz w:val="34"/>
        </w:rPr>
        <w:t>12. Computational Complexity, Limitations, and Future Work</w:t>
      </w:r>
    </w:p>
    <w:p>
      <w:pPr>
        <w:pStyle w:val="Heading2"/>
        <w:keepNext/>
        <w:spacing w:before="280" w:after="80"/>
      </w:pPr>
      <w:r>
        <w:rPr>
          <w:rFonts w:ascii="Calibri" w:hAnsi="Calibri"/>
          <w:b/>
          <w:color w:val="2B6CB0"/>
          <w:sz w:val="27"/>
        </w:rPr>
        <w:t>12.1 Algorithmic Complexity Analysis</w:t>
      </w:r>
    </w:p>
    <w:p>
      <w:pPr>
        <w:spacing w:before="0" w:after="120" w:line="276" w:lineRule="auto"/>
      </w:pPr>
      <w:r>
        <w:rPr>
          <w:rFonts w:ascii="Calibri" w:hAnsi="Calibri"/>
          <w:i w:val="0"/>
          <w:color w:val="2D3748"/>
          <w:sz w:val="22"/>
        </w:rPr>
        <w:t>1. Graph Construction Complexity: For each city containing n place nodes, pairwise Haversine proximity computation requires O(n^2) distance evaluations. Because urban place counts are bounded (n = 20 - 50 places per city in the in-memory tier), construction completes in under 45 milliseconds during startup.</w:t>
        <w:br/>
        <w:br/>
        <w:t>2. Recommendation Traversal Complexity: For a user query with m requested constraints, traversing the pre-indexed NetworkX MultiDiGraph requires O(|V_city| + deg(v) * m) operations. With average node degree k = 6.48, query execution executes in sub-millisecond time (&lt; 5 ms), vastly outperforming relational database multi-JOIN SQL queries.</w:t>
      </w:r>
    </w:p>
    <w:p>
      <w:pPr>
        <w:pStyle w:val="Heading2"/>
        <w:keepNext/>
        <w:spacing w:before="280" w:after="80"/>
      </w:pPr>
      <w:r>
        <w:rPr>
          <w:rFonts w:ascii="Calibri" w:hAnsi="Calibri"/>
          <w:b/>
          <w:color w:val="2B6CB0"/>
          <w:sz w:val="27"/>
        </w:rPr>
        <w:t>12.2 Technical Limitations &amp; Architectural Constraints</w:t>
      </w:r>
    </w:p>
    <w:p>
      <w:pPr>
        <w:pStyle w:val="ListBullet"/>
        <w:spacing w:before="0" w:after="60" w:line="276" w:lineRule="auto"/>
      </w:pPr>
      <w:r>
        <w:rPr>
          <w:rFonts w:ascii="Calibri" w:hAnsi="Calibri"/>
          <w:b/>
          <w:color w:val="1A202C"/>
          <w:sz w:val="21"/>
        </w:rPr>
        <w:t xml:space="preserve">• In-Memory Scalability Limits: </w:t>
      </w:r>
      <w:r>
        <w:rPr>
          <w:rFonts w:ascii="Calibri" w:hAnsi="Calibri"/>
          <w:color w:val="2D3748"/>
          <w:sz w:val="21"/>
        </w:rPr>
        <w:t>NetworkX operates entirely in RAM. While optimal for hundreds to thousands of entities (~4.8 MB memory footprint), scaling to 100,000+ global destinations requires migrating to persistent graph databases such as Neo4j or Memgraph with Cypher query optimization.</w:t>
      </w:r>
    </w:p>
    <w:p>
      <w:pPr>
        <w:pStyle w:val="ListBullet"/>
        <w:spacing w:before="0" w:after="60" w:line="276" w:lineRule="auto"/>
      </w:pPr>
      <w:r>
        <w:rPr>
          <w:rFonts w:ascii="Calibri" w:hAnsi="Calibri"/>
          <w:b/>
          <w:color w:val="1A202C"/>
          <w:sz w:val="21"/>
        </w:rPr>
        <w:t xml:space="preserve">• Dynamic Temporal Variations: </w:t>
      </w:r>
      <w:r>
        <w:rPr>
          <w:rFonts w:ascii="Calibri" w:hAnsi="Calibri"/>
          <w:color w:val="2D3748"/>
          <w:sz w:val="21"/>
        </w:rPr>
        <w:t>Opening hours in the curated knowledge base reflect standard operating schedules and may not account for unannounced local holidays or emergency closures without real-time Google Places re-verification.</w:t>
      </w:r>
    </w:p>
    <w:p>
      <w:pPr>
        <w:pStyle w:val="ListBullet"/>
        <w:spacing w:before="0" w:after="60" w:line="276" w:lineRule="auto"/>
      </w:pPr>
      <w:r>
        <w:rPr>
          <w:rFonts w:ascii="Calibri" w:hAnsi="Calibri"/>
          <w:b/>
          <w:color w:val="1A202C"/>
          <w:sz w:val="21"/>
        </w:rPr>
        <w:t xml:space="preserve">• Cloud Quota Dependencies: </w:t>
      </w:r>
      <w:r>
        <w:rPr>
          <w:rFonts w:ascii="Calibri" w:hAnsi="Calibri"/>
          <w:color w:val="2D3748"/>
          <w:sz w:val="21"/>
        </w:rPr>
        <w:t>Free-tier cloud API quotas (Google Places, Gemini) are susceptible to rate throttling under high concurrency, necessitating the caching and fallback architectures engineered in this project.</w:t>
      </w:r>
    </w:p>
    <w:p>
      <w:pPr>
        <w:pStyle w:val="Heading2"/>
        <w:keepNext/>
        <w:spacing w:before="280" w:after="80"/>
      </w:pPr>
      <w:r>
        <w:rPr>
          <w:rFonts w:ascii="Calibri" w:hAnsi="Calibri"/>
          <w:b/>
          <w:color w:val="2B6CB0"/>
          <w:sz w:val="27"/>
        </w:rPr>
        <w:t>12.3 Future Research Directions</w:t>
      </w:r>
    </w:p>
    <w:p>
      <w:pPr>
        <w:pStyle w:val="ListBullet"/>
        <w:spacing w:before="0" w:after="60" w:line="276" w:lineRule="auto"/>
      </w:pPr>
      <w:r>
        <w:rPr>
          <w:rFonts w:ascii="Calibri" w:hAnsi="Calibri"/>
          <w:b/>
          <w:color w:val="1A202C"/>
          <w:sz w:val="21"/>
        </w:rPr>
        <w:t xml:space="preserve">1. Inductive Link Prediction via GNNs: </w:t>
      </w:r>
      <w:r>
        <w:rPr>
          <w:rFonts w:ascii="Calibri" w:hAnsi="Calibri"/>
          <w:color w:val="2D3748"/>
          <w:sz w:val="21"/>
        </w:rPr>
        <w:t>Integrating Graph Neural Networks (e.g., Graph Convolutional Networks or Relational Graph Attention Networks) to predict missing atmosphere and companion edges for newly ingested places.</w:t>
      </w:r>
    </w:p>
    <w:p>
      <w:pPr>
        <w:pStyle w:val="ListBullet"/>
        <w:spacing w:before="0" w:after="60" w:line="276" w:lineRule="auto"/>
      </w:pPr>
      <w:r>
        <w:rPr>
          <w:rFonts w:ascii="Calibri" w:hAnsi="Calibri"/>
          <w:b/>
          <w:color w:val="1A202C"/>
          <w:sz w:val="21"/>
        </w:rPr>
        <w:t xml:space="preserve">2. Real-Time Multimodal Transit Graphs: </w:t>
      </w:r>
      <w:r>
        <w:rPr>
          <w:rFonts w:ascii="Calibri" w:hAnsi="Calibri"/>
          <w:color w:val="2D3748"/>
          <w:sz w:val="21"/>
        </w:rPr>
        <w:t>Connecting General Transit Feed Specification (GTFS) public transit feeds into the spatial graph to model exact train and bus schedules alongside walking distances.</w:t>
      </w:r>
    </w:p>
    <w:p>
      <w:pPr>
        <w:pStyle w:val="ListBullet"/>
        <w:spacing w:before="0" w:after="60" w:line="276" w:lineRule="auto"/>
      </w:pPr>
      <w:r>
        <w:rPr>
          <w:rFonts w:ascii="Calibri" w:hAnsi="Calibri"/>
          <w:b/>
          <w:color w:val="1A202C"/>
          <w:sz w:val="21"/>
        </w:rPr>
        <w:t xml:space="preserve">3. Visual-Semantic Multimodal Embeddings: </w:t>
      </w:r>
      <w:r>
        <w:rPr>
          <w:rFonts w:ascii="Calibri" w:hAnsi="Calibri"/>
          <w:color w:val="2D3748"/>
          <w:sz w:val="21"/>
        </w:rPr>
        <w:t>Training joint multi-modal graph embeddings (CLIP + GraphSAGE) to allow users to search the knowledge graph using uploaded mood board imagery.</w:t>
      </w:r>
    </w:p>
    <w:p>
      <w:pPr>
        <w:pStyle w:val="Heading1"/>
        <w:keepNext/>
        <w:spacing w:before="360" w:after="120"/>
      </w:pPr>
      <w:r>
        <w:rPr>
          <w:rFonts w:ascii="Calibri" w:hAnsi="Calibri"/>
          <w:b/>
          <w:color w:val="1A365D"/>
          <w:sz w:val="34"/>
        </w:rPr>
        <w:t>13. Conclusion</w:t>
      </w:r>
    </w:p>
    <w:p>
      <w:pPr>
        <w:spacing w:before="0" w:after="120" w:line="276" w:lineRule="auto"/>
      </w:pPr>
      <w:r>
        <w:rPr>
          <w:rFonts w:ascii="Calibri" w:hAnsi="Calibri"/>
          <w:i w:val="0"/>
          <w:color w:val="2D3748"/>
          <w:sz w:val="22"/>
        </w:rPr>
        <w:t>WanderGraph provides a concrete, academically rigorous demonstration that Knowledge Graphs are the indispensable foundation for next-generation artificial intelligence in travel discovery. By capturing urban cultural taxonomy within a formal directed multigraph, evaluating proximity through great-circle Haversine clustering, producing transparent recommendations via multi-hop constraint satisfaction, and strictly grounding Google Gemini 3.5 Flash-Lite within retrieved graph subgraphs, WanderGraph bridges the gap between raw geospatial data and generative intelligence. The platform achieves high-precision place discovery, mathematically transparent justifications, and hallucination-free itinerary planning verified through rigorous automated test suites.</w:t>
      </w:r>
    </w:p>
    <w:p>
      <w:pPr>
        <w:pStyle w:val="Heading1"/>
        <w:keepNext/>
        <w:spacing w:before="360" w:after="120"/>
      </w:pPr>
      <w:r>
        <w:rPr>
          <w:rFonts w:ascii="Calibri" w:hAnsi="Calibri"/>
          <w:b/>
          <w:color w:val="1A365D"/>
          <w:sz w:val="34"/>
        </w:rPr>
        <w:t>14. References</w:t>
      </w:r>
    </w:p>
    <w:p>
      <w:pPr>
        <w:spacing w:before="40" w:after="60" w:line="276" w:lineRule="auto"/>
        <w:ind w:left="576" w:hanging="576"/>
      </w:pPr>
      <w:r>
        <w:rPr>
          <w:rFonts w:ascii="Calibri" w:hAnsi="Calibri"/>
          <w:color w:val="2D3748"/>
          <w:sz w:val="19"/>
        </w:rPr>
        <w:t>[1] A. Hogan, E. Blomqvist, M. Cochez, et al., "Knowledge Graphs," ACM Computing Surveys, vol. 54, no. 4, pp. 1-37, Jul. 2021.</w:t>
      </w:r>
    </w:p>
    <w:p>
      <w:pPr>
        <w:spacing w:before="40" w:after="60" w:line="276" w:lineRule="auto"/>
        <w:ind w:left="576" w:hanging="576"/>
      </w:pPr>
      <w:r>
        <w:rPr>
          <w:rFonts w:ascii="Calibri" w:hAnsi="Calibri"/>
          <w:color w:val="2D3748"/>
          <w:sz w:val="19"/>
        </w:rPr>
        <w:t>[2] P. Singhal, "Introducing the Knowledge Graph: things, not strings," Official Google Blog, May 2012.</w:t>
      </w:r>
    </w:p>
    <w:p>
      <w:pPr>
        <w:spacing w:before="40" w:after="60" w:line="276" w:lineRule="auto"/>
        <w:ind w:left="576" w:hanging="576"/>
      </w:pPr>
      <w:r>
        <w:rPr>
          <w:rFonts w:ascii="Calibri" w:hAnsi="Calibri"/>
          <w:color w:val="2D3748"/>
          <w:sz w:val="19"/>
        </w:rPr>
        <w:t>[3] F. M. Suchanek, G. Kasneci, and G. Weikum, "YAGO: a core of semantic knowledge," in Proc. 16th Int. Conf. World Wide Web (WWW), 2007, pp. 697-706.</w:t>
      </w:r>
    </w:p>
    <w:p>
      <w:pPr>
        <w:spacing w:before="40" w:after="60" w:line="276" w:lineRule="auto"/>
        <w:ind w:left="576" w:hanging="576"/>
      </w:pPr>
      <w:r>
        <w:rPr>
          <w:rFonts w:ascii="Calibri" w:hAnsi="Calibri"/>
          <w:color w:val="2D3748"/>
          <w:sz w:val="19"/>
        </w:rPr>
        <w:t>[4] Q. Guo, F. Zhuang, C. Qin, et al., "A Survey on Knowledge Graph-Based Recommender Systems," IEEE Trans. Knowl. Data Eng., vol. 34, no. 8, pp. 3549-3568, Aug. 2022.</w:t>
      </w:r>
    </w:p>
    <w:p>
      <w:pPr>
        <w:spacing w:before="40" w:after="60" w:line="276" w:lineRule="auto"/>
        <w:ind w:left="576" w:hanging="576"/>
      </w:pPr>
      <w:r>
        <w:rPr>
          <w:rFonts w:ascii="Calibri" w:hAnsi="Calibri"/>
          <w:color w:val="2D3748"/>
          <w:sz w:val="19"/>
        </w:rPr>
        <w:t>[5] R. W. Sinnott, "Virtues of the Haversine," Sky and Telescope, vol. 68, no. 2, p. 159, 1984.</w:t>
      </w:r>
    </w:p>
    <w:p>
      <w:pPr>
        <w:spacing w:before="40" w:after="60" w:line="276" w:lineRule="auto"/>
        <w:ind w:left="576" w:hanging="576"/>
      </w:pPr>
      <w:r>
        <w:rPr>
          <w:rFonts w:ascii="Calibri" w:hAnsi="Calibri"/>
          <w:color w:val="2D3748"/>
          <w:sz w:val="19"/>
        </w:rPr>
        <w:t>[6] A. A. Hagberg, D. A. Schult, and P. J. Swart, "Exploring Network Structure, Dynamics, and Function using NetworkX," in Proc. 7th Python in Science Conf. (SciPy), 2008, pp. 11-15.</w:t>
      </w:r>
    </w:p>
    <w:p>
      <w:pPr>
        <w:spacing w:before="40" w:after="60" w:line="276" w:lineRule="auto"/>
        <w:ind w:left="576" w:hanging="576"/>
      </w:pPr>
      <w:r>
        <w:rPr>
          <w:rFonts w:ascii="Calibri" w:hAnsi="Calibri"/>
          <w:color w:val="2D3748"/>
          <w:sz w:val="19"/>
        </w:rPr>
        <w:t>[7] P. Lewis, E. Perez, A. Piktus, et al., "Retrieval-Augmented Generation for Knowledge-Intensive NLP Tasks," in Advances in Neural Information Processing Systems (NeurIPS), vol. 33, 2020, pp. 9459-9474.</w:t>
      </w:r>
    </w:p>
    <w:p>
      <w:pPr>
        <w:spacing w:before="40" w:after="60" w:line="276" w:lineRule="auto"/>
        <w:ind w:left="576" w:hanging="576"/>
      </w:pPr>
      <w:r>
        <w:rPr>
          <w:rFonts w:ascii="Calibri" w:hAnsi="Calibri"/>
          <w:color w:val="2D3748"/>
          <w:sz w:val="19"/>
        </w:rPr>
        <w:t>[8] Google DeepMind, "Gemini: A Family of Highly Capable Multimodal Models," arXiv preprint arXiv:2312.11805, 2023.</w:t>
      </w:r>
    </w:p>
    <w:p>
      <w:pPr>
        <w:spacing w:before="40" w:after="60" w:line="276" w:lineRule="auto"/>
        <w:ind w:left="576" w:hanging="576"/>
      </w:pPr>
      <w:r>
        <w:rPr>
          <w:rFonts w:ascii="Calibri" w:hAnsi="Calibri"/>
          <w:color w:val="2D3748"/>
          <w:sz w:val="19"/>
        </w:rPr>
        <w:t>[9] S. Ramirez and J. Baez, "Graph-Based Explainability in Context-Aware Recommender Systems," Information Systems, vol. 102, p. 101815, 2021.</w:t>
      </w:r>
    </w:p>
    <w:p>
      <w:pPr>
        <w:spacing w:before="40" w:after="60" w:line="276" w:lineRule="auto"/>
        <w:ind w:left="576" w:hanging="576"/>
      </w:pPr>
      <w:r>
        <w:rPr>
          <w:rFonts w:ascii="Calibri" w:hAnsi="Calibri"/>
          <w:color w:val="2D3748"/>
          <w:sz w:val="19"/>
        </w:rPr>
        <w:t>[10] S. Tiwary and A. K. Singh, "Geospatial Clustering and Itinerary Optimization in Urban Tourism," IEEE Access, vol. 9, pp. 88412-88425, 2021.</w:t>
      </w:r>
    </w:p>
    <w:p>
      <w:pPr>
        <w:spacing w:before="40" w:after="60" w:line="276" w:lineRule="auto"/>
        <w:ind w:left="576" w:hanging="576"/>
      </w:pPr>
      <w:r>
        <w:rPr>
          <w:rFonts w:ascii="Calibri" w:hAnsi="Calibri"/>
          <w:color w:val="2D3748"/>
          <w:sz w:val="19"/>
        </w:rPr>
        <w:t>[11] T. Mikolov, K. Chen, G. Corrado, and J. Dean, "Efficient Estimation of Word Representations in Vector Space," in Proc. ICLR, 2013.</w:t>
      </w:r>
    </w:p>
    <w:p>
      <w:pPr>
        <w:spacing w:before="40" w:after="60" w:line="276" w:lineRule="auto"/>
        <w:ind w:left="576" w:hanging="576"/>
      </w:pPr>
      <w:r>
        <w:rPr>
          <w:rFonts w:ascii="Calibri" w:hAnsi="Calibri"/>
          <w:color w:val="2D3748"/>
          <w:sz w:val="19"/>
        </w:rPr>
        <w:t>[12] Wikimedia Foundation, "Wikimedia Commons REST API Documentation and Media Licensing," https://commons.wikimedia.org, accessed Oct. 2026.</w:t>
      </w:r>
    </w:p>
    <w:p>
      <w:pPr>
        <w:spacing w:before="40" w:after="60" w:line="276" w:lineRule="auto"/>
        <w:ind w:left="576" w:hanging="576"/>
      </w:pPr>
      <w:r>
        <w:rPr>
          <w:rFonts w:ascii="Calibri" w:hAnsi="Calibri"/>
          <w:color w:val="2D3748"/>
          <w:sz w:val="19"/>
        </w:rPr>
        <w:t>[13] Google Cloud, "Google Places API (New) Overview and Place Details Documentation," https://developers.google.com/maps/documentation/places/web-service/op-overview, accessed Oct. 2026.</w:t>
      </w:r>
    </w:p>
    <w:p>
      <w:pPr>
        <w:spacing w:before="40" w:after="60" w:line="276" w:lineRule="auto"/>
        <w:ind w:left="576" w:hanging="576"/>
      </w:pPr>
      <w:r>
        <w:rPr>
          <w:rFonts w:ascii="Calibri" w:hAnsi="Calibri"/>
          <w:color w:val="2D3748"/>
          <w:sz w:val="19"/>
        </w:rPr>
        <w:t>[14] S. Ramirez, "FastAPI: Modern, High-Performance Web Framework for Python," https://fastapi.tiangolo.com, accessed Oct. 2026.</w:t>
      </w:r>
    </w:p>
    <w:p>
      <w:pPr>
        <w:spacing w:before="40" w:after="60" w:line="276" w:lineRule="auto"/>
        <w:ind w:left="576" w:hanging="576"/>
      </w:pPr>
      <w:r>
        <w:rPr>
          <w:rFonts w:ascii="Calibri" w:hAnsi="Calibri"/>
          <w:color w:val="2D3748"/>
          <w:sz w:val="19"/>
        </w:rPr>
        <w:t>[15] M. Bastian, S. Heymann, and M. Jacomy, "Gephi: An Open Source Software for Exploring and Manipulating Networks," in Proc. Int. AAAI Conf. Weblogs and Social Media (ICWSM), 2009.</w:t>
      </w:r>
    </w:p>
    <w:p>
      <w:r>
        <w:br w:type="page"/>
      </w:r>
    </w:p>
    <w:p>
      <w:pPr>
        <w:pStyle w:val="Heading1"/>
        <w:keepNext/>
        <w:spacing w:before="360" w:after="120"/>
      </w:pPr>
      <w:r>
        <w:rPr>
          <w:rFonts w:ascii="Calibri" w:hAnsi="Calibri"/>
          <w:b/>
          <w:color w:val="1A365D"/>
          <w:sz w:val="34"/>
        </w:rPr>
        <w:t>15. Project Repository &amp; Source Code Access</w:t>
      </w:r>
    </w:p>
    <w:p>
      <w:pPr>
        <w:spacing w:before="0" w:after="120" w:line="276" w:lineRule="auto"/>
      </w:pPr>
      <w:r>
        <w:rPr>
          <w:rFonts w:ascii="Calibri" w:hAnsi="Calibri"/>
          <w:i w:val="0"/>
          <w:color w:val="2D3748"/>
          <w:sz w:val="22"/>
        </w:rPr>
        <w:t>The complete source code, knowledge graph construction scripts, test verification suites, architectural figures, and documentation for WanderGraph are publicly hosted and maintained on GitHub. The repository includes full instructions for cloning, environment setup, local execution, and verification.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30" w:space="0" w:color="1A365D"/>
              <w:bottom w:val="none"/>
              <w:right w:val="none"/>
            </w:tcBorders>
          </w:tcPr>
          <w:p>
            <w:pPr>
              <w:spacing w:before="0" w:after="40" w:line="276" w:lineRule="auto"/>
            </w:pPr>
            <w:r>
              <w:rPr>
                <w:rFonts w:ascii="Calibri" w:hAnsi="Calibri"/>
                <w:b/>
                <w:color w:val="1A365D"/>
                <w:sz w:val="21"/>
              </w:rPr>
              <w:t>WanderGraph Public GitHub Source Code Repository</w:t>
              <w:br/>
            </w:r>
            <w:r>
              <w:rPr>
                <w:rFonts w:ascii="Calibri" w:hAnsi="Calibri"/>
                <w:color w:val="2D3748"/>
                <w:sz w:val="20"/>
              </w:rPr>
              <w:t>OFFICIAL REPOSITORY URL:</w:t>
              <w:br/>
              <w:t>https://github.com/IamKrishna18/wandergraph.git</w:t>
              <w:br/>
              <w:br/>
              <w:t>Repository Metadata &amp; Verification Checklist:</w:t>
              <w:br/>
              <w:t>• Primary Branch: main (Commit 19f4b76: Resilient Google Places &amp; authentic Wikimedia image pipeline)</w:t>
              <w:br/>
              <w:t>• Verified Backend Test Suite: 24 / 24 Passing Pytest Unit &amp; Integration Tests</w:t>
              <w:br/>
              <w:t>• Verified Frontend Test Suite: 7 / 7 Passing Vitest Component Tests</w:t>
              <w:br/>
              <w:t>• Verified Static Analysis: 0 TypeScript compilation errors (tsc --noEmit clean)</w:t>
              <w:br/>
              <w:t>• Verified Knowledge Graph Scale: 689 Nodes, 2,231 Edges, 4 Cities (Hyderabad, Bengaluru, Tokyo, Kyoto)</w:t>
              <w:br/>
              <w:t>• Active Grounded LLM: Google Gemini 3.5 Flash-Lite (gemini-3.5-flash-lite)</w:t>
              <w:br/>
              <w:t>• Active Live Providers: Google Places API (New) with searchNearby fallback + Wikimedia Commons REST API</w:t>
              <w:br/>
              <w:br/>
              <w:t>Clone Command:</w:t>
              <w:br/>
              <w:t>git clone https://github.com/IamKrishna18/wandergraph.git</w:t>
              <w:br/>
              <w:t>cd wandergraph</w:t>
            </w:r>
          </w:p>
        </w:tc>
      </w:tr>
    </w:tbl>
    <w:p>
      <w:pPr>
        <w:spacing w:before="0" w:after="80"/>
      </w:pPr>
    </w:p>
    <w:p>
      <w:pPr>
        <w:spacing w:before="0" w:after="120" w:line="276" w:lineRule="auto"/>
      </w:pPr>
      <w:r>
        <w:rPr>
          <w:rFonts w:ascii="Calibri" w:hAnsi="Calibri"/>
          <w:i/>
          <w:color w:val="2D3748"/>
          <w:sz w:val="22"/>
        </w:rPr>
        <w:t>Report authored and submitted by the WanderGraph Technical Team (2 Members) for academic capstone evaluation, technical portfolio demonstration, and software engineering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