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4"/>
          <w:szCs w:val="44"/>
        </w:rPr>
        <w:t xml:space="preserve">Telco Customer Churn</w:t>
      </w:r>
    </w:p>
    <w:p>
      <w:pPr>
        <w:spacing w:after="400"/>
        <w:jc w:val="center"/>
      </w:pPr>
      <w:r>
        <w:rPr>
          <w:color w:val="555555"/>
          <w:sz w:val="28"/>
          <w:szCs w:val="28"/>
        </w:rPr>
        <w:t xml:space="preserve">Exploratory Data Analysis — Project Report</w:t>
      </w:r>
    </w:p>
    <w:p>
      <w:pPr>
        <w:pStyle w:val="Heading1"/>
        <w:spacing w:after="150" w:before="300"/>
      </w:pPr>
      <w:r>
        <w:t xml:space="preserve">1. Introduction</w:t>
      </w:r>
    </w:p>
    <w:p>
      <w:pPr>
        <w:spacing w:after="120"/>
      </w:pPr>
      <w:r>
        <w:t xml:space="preserve">This project performs exploratory data analysis (EDA) on the Telco Customer Churn dataset, containing 7,043 customer records, using Python, Pandas, Matplotlib, and Seaborn. It investigates how tenure, contract type, payment method, and add-on services relate to customer churn.</w:t>
      </w:r>
    </w:p>
    <w:p>
      <w:pPr>
        <w:pStyle w:val="Heading1"/>
        <w:spacing w:after="150" w:before="300"/>
      </w:pPr>
      <w:r>
        <w:t xml:space="preserve">2. Purpose of the Project</w:t>
      </w:r>
    </w:p>
    <w:p>
      <w:pPr>
        <w:spacing w:after="120"/>
      </w:pPr>
      <w:r>
        <w:t xml:space="preserve">The aim is to identify which customer attributes and subscribed services are most strongly associated with churn, helping to understand what drives customers to leave and what factors are linked to retention.</w:t>
      </w:r>
    </w:p>
    <w:p>
      <w:pPr>
        <w:pStyle w:val="Heading1"/>
        <w:spacing w:after="150" w:before="300"/>
      </w:pPr>
      <w:r>
        <w:t xml:space="preserve">3. About the Dataset</w:t>
      </w:r>
    </w:p>
    <w:p>
      <w:pPr>
        <w:spacing w:after="120"/>
      </w:pPr>
      <w:r>
        <w:t xml:space="preserve">The dataset (Telco-Customer-Churn.csv) contains 7,043 rows and 21 original columns of customer records, with one additional engineered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5395" w:val="clear"/>
          </w:tcPr>
          <w:p>
            <w:r>
              <w:rPr>
                <w:b/>
                <w:bCs/>
                <w:color w:val="FFFFFF"/>
                <w:sz w:val="20"/>
                <w:szCs w:val="20"/>
              </w:rPr>
              <w:t xml:space="preserve">Column</w:t>
            </w:r>
          </w:p>
        </w:tc>
        <w:tc>
          <w:tcPr>
            <w:tcW w:type="dxa" w:w="5400"/>
            <w:shd w:fill="2E5395" w:val="clear"/>
          </w:tcPr>
          <w:p>
            <w:r>
              <w:rPr>
                <w:b/>
                <w:bCs/>
                <w:color w:val="FFFFFF"/>
                <w:sz w:val="20"/>
                <w:szCs w:val="20"/>
              </w:rPr>
              <w:t xml:space="preserve">Description</w:t>
            </w:r>
          </w:p>
        </w:tc>
      </w:tr>
      <w:tr>
        <w:tc>
          <w:tcPr>
            <w:tcW w:type="dxa" w:w="3600"/>
            <w:shd w:fill="FFFFFF" w:val="clear"/>
          </w:tcPr>
          <w:p>
            <w:r>
              <w:rPr>
                <w:sz w:val="20"/>
                <w:szCs w:val="20"/>
              </w:rPr>
              <w:t xml:space="preserve">customerID</w:t>
            </w:r>
          </w:p>
        </w:tc>
        <w:tc>
          <w:tcPr>
            <w:tcW w:type="dxa" w:w="5400"/>
            <w:shd w:fill="FFFFFF" w:val="clear"/>
          </w:tcPr>
          <w:p>
            <w:r>
              <w:rPr>
                <w:sz w:val="20"/>
                <w:szCs w:val="20"/>
              </w:rPr>
              <w:t xml:space="preserve">Unique customer identifier</w:t>
            </w:r>
          </w:p>
        </w:tc>
      </w:tr>
      <w:tr>
        <w:tc>
          <w:tcPr>
            <w:tcW w:type="dxa" w:w="3600"/>
            <w:shd w:fill="F2F6FC" w:val="clear"/>
          </w:tcPr>
          <w:p>
            <w:r>
              <w:rPr>
                <w:sz w:val="20"/>
                <w:szCs w:val="20"/>
              </w:rPr>
              <w:t xml:space="preserve">gender</w:t>
            </w:r>
          </w:p>
        </w:tc>
        <w:tc>
          <w:tcPr>
            <w:tcW w:type="dxa" w:w="5400"/>
            <w:shd w:fill="F2F6FC" w:val="clear"/>
          </w:tcPr>
          <w:p>
            <w:r>
              <w:rPr>
                <w:sz w:val="20"/>
                <w:szCs w:val="20"/>
              </w:rPr>
              <w:t xml:space="preserve">Customer's gender</w:t>
            </w:r>
          </w:p>
        </w:tc>
      </w:tr>
      <w:tr>
        <w:tc>
          <w:tcPr>
            <w:tcW w:type="dxa" w:w="3600"/>
            <w:shd w:fill="FFFFFF" w:val="clear"/>
          </w:tcPr>
          <w:p>
            <w:r>
              <w:rPr>
                <w:sz w:val="20"/>
                <w:szCs w:val="20"/>
              </w:rPr>
              <w:t xml:space="preserve">SeniorCitizen</w:t>
            </w:r>
          </w:p>
        </w:tc>
        <w:tc>
          <w:tcPr>
            <w:tcW w:type="dxa" w:w="5400"/>
            <w:shd w:fill="FFFFFF" w:val="clear"/>
          </w:tcPr>
          <w:p>
            <w:r>
              <w:rPr>
                <w:sz w:val="20"/>
                <w:szCs w:val="20"/>
              </w:rPr>
              <w:t xml:space="preserve">Whether the customer is a senior citizen (0/1)</w:t>
            </w:r>
          </w:p>
        </w:tc>
      </w:tr>
      <w:tr>
        <w:tc>
          <w:tcPr>
            <w:tcW w:type="dxa" w:w="3600"/>
            <w:shd w:fill="F2F6FC" w:val="clear"/>
          </w:tcPr>
          <w:p>
            <w:r>
              <w:rPr>
                <w:sz w:val="20"/>
                <w:szCs w:val="20"/>
              </w:rPr>
              <w:t xml:space="preserve">Partner / Dependents</w:t>
            </w:r>
          </w:p>
        </w:tc>
        <w:tc>
          <w:tcPr>
            <w:tcW w:type="dxa" w:w="5400"/>
            <w:shd w:fill="F2F6FC" w:val="clear"/>
          </w:tcPr>
          <w:p>
            <w:r>
              <w:rPr>
                <w:sz w:val="20"/>
                <w:szCs w:val="20"/>
              </w:rPr>
              <w:t xml:space="preserve">Whether the customer has a partner / dependents</w:t>
            </w:r>
          </w:p>
        </w:tc>
      </w:tr>
      <w:tr>
        <w:tc>
          <w:tcPr>
            <w:tcW w:type="dxa" w:w="3600"/>
            <w:shd w:fill="FFFFFF" w:val="clear"/>
          </w:tcPr>
          <w:p>
            <w:r>
              <w:rPr>
                <w:sz w:val="20"/>
                <w:szCs w:val="20"/>
              </w:rPr>
              <w:t xml:space="preserve">tenure</w:t>
            </w:r>
          </w:p>
        </w:tc>
        <w:tc>
          <w:tcPr>
            <w:tcW w:type="dxa" w:w="5400"/>
            <w:shd w:fill="FFFFFF" w:val="clear"/>
          </w:tcPr>
          <w:p>
            <w:r>
              <w:rPr>
                <w:sz w:val="20"/>
                <w:szCs w:val="20"/>
              </w:rPr>
              <w:t xml:space="preserve">Number of months the customer has stayed</w:t>
            </w:r>
          </w:p>
        </w:tc>
      </w:tr>
      <w:tr>
        <w:tc>
          <w:tcPr>
            <w:tcW w:type="dxa" w:w="3600"/>
            <w:shd w:fill="F2F6FC" w:val="clear"/>
          </w:tcPr>
          <w:p>
            <w:r>
              <w:rPr>
                <w:sz w:val="20"/>
                <w:szCs w:val="20"/>
              </w:rPr>
              <w:t xml:space="preserve">PhoneService / MultipleLines</w:t>
            </w:r>
          </w:p>
        </w:tc>
        <w:tc>
          <w:tcPr>
            <w:tcW w:type="dxa" w:w="5400"/>
            <w:shd w:fill="F2F6FC" w:val="clear"/>
          </w:tcPr>
          <w:p>
            <w:r>
              <w:rPr>
                <w:sz w:val="20"/>
                <w:szCs w:val="20"/>
              </w:rPr>
              <w:t xml:space="preserve">Phone service and multiple-line status</w:t>
            </w:r>
          </w:p>
        </w:tc>
      </w:tr>
      <w:tr>
        <w:tc>
          <w:tcPr>
            <w:tcW w:type="dxa" w:w="3600"/>
            <w:shd w:fill="FFFFFF" w:val="clear"/>
          </w:tcPr>
          <w:p>
            <w:r>
              <w:rPr>
                <w:sz w:val="20"/>
                <w:szCs w:val="20"/>
              </w:rPr>
              <w:t xml:space="preserve">InternetService</w:t>
            </w:r>
          </w:p>
        </w:tc>
        <w:tc>
          <w:tcPr>
            <w:tcW w:type="dxa" w:w="5400"/>
            <w:shd w:fill="FFFFFF" w:val="clear"/>
          </w:tcPr>
          <w:p>
            <w:r>
              <w:rPr>
                <w:sz w:val="20"/>
                <w:szCs w:val="20"/>
              </w:rPr>
              <w:t xml:space="preserve">Type of internet service</w:t>
            </w:r>
          </w:p>
        </w:tc>
      </w:tr>
      <w:tr>
        <w:tc>
          <w:tcPr>
            <w:tcW w:type="dxa" w:w="3600"/>
            <w:shd w:fill="F2F6FC" w:val="clear"/>
          </w:tcPr>
          <w:p>
            <w:r>
              <w:rPr>
                <w:sz w:val="20"/>
                <w:szCs w:val="20"/>
              </w:rPr>
              <w:t xml:space="preserve">OnlineSecurity / OnlineBackup / DeviceProtection / TechSupport</w:t>
            </w:r>
          </w:p>
        </w:tc>
        <w:tc>
          <w:tcPr>
            <w:tcW w:type="dxa" w:w="5400"/>
            <w:shd w:fill="F2F6FC" w:val="clear"/>
          </w:tcPr>
          <w:p>
            <w:r>
              <w:rPr>
                <w:sz w:val="20"/>
                <w:szCs w:val="20"/>
              </w:rPr>
              <w:t xml:space="preserve">Add-on service subscriptions</w:t>
            </w:r>
          </w:p>
        </w:tc>
      </w:tr>
      <w:tr>
        <w:tc>
          <w:tcPr>
            <w:tcW w:type="dxa" w:w="3600"/>
            <w:shd w:fill="FFFFFF" w:val="clear"/>
          </w:tcPr>
          <w:p>
            <w:r>
              <w:rPr>
                <w:sz w:val="20"/>
                <w:szCs w:val="20"/>
              </w:rPr>
              <w:t xml:space="preserve">StreamingTV / StreamingMovies</w:t>
            </w:r>
          </w:p>
        </w:tc>
        <w:tc>
          <w:tcPr>
            <w:tcW w:type="dxa" w:w="5400"/>
            <w:shd w:fill="FFFFFF" w:val="clear"/>
          </w:tcPr>
          <w:p>
            <w:r>
              <w:rPr>
                <w:sz w:val="20"/>
                <w:szCs w:val="20"/>
              </w:rPr>
              <w:t xml:space="preserve">Streaming service subscriptions</w:t>
            </w:r>
          </w:p>
        </w:tc>
      </w:tr>
      <w:tr>
        <w:tc>
          <w:tcPr>
            <w:tcW w:type="dxa" w:w="3600"/>
            <w:shd w:fill="F2F6FC" w:val="clear"/>
          </w:tcPr>
          <w:p>
            <w:r>
              <w:rPr>
                <w:sz w:val="20"/>
                <w:szCs w:val="20"/>
              </w:rPr>
              <w:t xml:space="preserve">Contract</w:t>
            </w:r>
          </w:p>
        </w:tc>
        <w:tc>
          <w:tcPr>
            <w:tcW w:type="dxa" w:w="5400"/>
            <w:shd w:fill="F2F6FC" w:val="clear"/>
          </w:tcPr>
          <w:p>
            <w:r>
              <w:rPr>
                <w:sz w:val="20"/>
                <w:szCs w:val="20"/>
              </w:rPr>
              <w:t xml:space="preserve">Contract type (Month-to-month, One year, Two year)</w:t>
            </w:r>
          </w:p>
        </w:tc>
      </w:tr>
      <w:tr>
        <w:tc>
          <w:tcPr>
            <w:tcW w:type="dxa" w:w="3600"/>
            <w:shd w:fill="FFFFFF" w:val="clear"/>
          </w:tcPr>
          <w:p>
            <w:r>
              <w:rPr>
                <w:sz w:val="20"/>
                <w:szCs w:val="20"/>
              </w:rPr>
              <w:t xml:space="preserve">PaperlessBilling / PaymentMethod</w:t>
            </w:r>
          </w:p>
        </w:tc>
        <w:tc>
          <w:tcPr>
            <w:tcW w:type="dxa" w:w="5400"/>
            <w:shd w:fill="FFFFFF" w:val="clear"/>
          </w:tcPr>
          <w:p>
            <w:r>
              <w:rPr>
                <w:sz w:val="20"/>
                <w:szCs w:val="20"/>
              </w:rPr>
              <w:t xml:space="preserve">Billing and payment details</w:t>
            </w:r>
          </w:p>
        </w:tc>
      </w:tr>
      <w:tr>
        <w:tc>
          <w:tcPr>
            <w:tcW w:type="dxa" w:w="3600"/>
            <w:shd w:fill="F2F6FC" w:val="clear"/>
          </w:tcPr>
          <w:p>
            <w:r>
              <w:rPr>
                <w:sz w:val="20"/>
                <w:szCs w:val="20"/>
              </w:rPr>
              <w:t xml:space="preserve">MonthlyCharges / TotalCharges</w:t>
            </w:r>
          </w:p>
        </w:tc>
        <w:tc>
          <w:tcPr>
            <w:tcW w:type="dxa" w:w="5400"/>
            <w:shd w:fill="F2F6FC" w:val="clear"/>
          </w:tcPr>
          <w:p>
            <w:r>
              <w:rPr>
                <w:sz w:val="20"/>
                <w:szCs w:val="20"/>
              </w:rPr>
              <w:t xml:space="preserve">Monthly and total amount charged</w:t>
            </w:r>
          </w:p>
        </w:tc>
      </w:tr>
      <w:tr>
        <w:tc>
          <w:tcPr>
            <w:tcW w:type="dxa" w:w="3600"/>
            <w:shd w:fill="FFFFFF" w:val="clear"/>
          </w:tcPr>
          <w:p>
            <w:r>
              <w:rPr>
                <w:sz w:val="20"/>
                <w:szCs w:val="20"/>
              </w:rPr>
              <w:t xml:space="preserve">Churn</w:t>
            </w:r>
          </w:p>
        </w:tc>
        <w:tc>
          <w:tcPr>
            <w:tcW w:type="dxa" w:w="5400"/>
            <w:shd w:fill="FFFFFF" w:val="clear"/>
          </w:tcPr>
          <w:p>
            <w:r>
              <w:rPr>
                <w:sz w:val="20"/>
                <w:szCs w:val="20"/>
              </w:rPr>
              <w:t xml:space="preserve">Whether the customer churned (target variable)</w:t>
            </w:r>
          </w:p>
        </w:tc>
      </w:tr>
      <w:tr>
        <w:tc>
          <w:tcPr>
            <w:tcW w:type="dxa" w:w="3600"/>
            <w:shd w:fill="F2F6FC" w:val="clear"/>
          </w:tcPr>
          <w:p>
            <w:r>
              <w:rPr>
                <w:sz w:val="20"/>
                <w:szCs w:val="20"/>
              </w:rPr>
              <w:t xml:space="preserve">tenure_bin (engineered)</w:t>
            </w:r>
          </w:p>
        </w:tc>
        <w:tc>
          <w:tcPr>
            <w:tcW w:type="dxa" w:w="5400"/>
            <w:shd w:fill="F2F6FC" w:val="clear"/>
          </w:tcPr>
          <w:p>
            <w:r>
              <w:rPr>
                <w:sz w:val="20"/>
                <w:szCs w:val="20"/>
              </w:rPr>
              <w:t xml:space="preserve">Tenure grouped into bins (0-20, 20-35, 35-50, 50-100 months)</w:t>
            </w:r>
          </w:p>
        </w:tc>
      </w:tr>
    </w:tbl>
    <w:p>
      <w:pPr>
        <w:spacing w:after="120"/>
      </w:pPr>
      <w:r>
        <w:t xml:space="preserve">Data quality: no missing values were found in any of the 21 original columns.</w:t>
      </w:r>
    </w:p>
    <w:p>
      <w:pPr>
        <w:pStyle w:val="Heading1"/>
        <w:spacing w:after="150" w:before="300"/>
      </w:pPr>
      <w:r>
        <w:t xml:space="preserve">4. Approach</w:t>
      </w:r>
    </w:p>
    <w:p>
      <w:pPr>
        <w:pStyle w:val="ListParagraph"/>
        <w:numPr>
          <w:ilvl w:val="0"/>
          <w:numId w:val="2"/>
        </w:numPr>
        <w:spacing w:after="60"/>
      </w:pPr>
      <w:r>
        <w:t xml:space="preserve">Load the CSV file into a Pandas DataFrame and inspect shape, dtypes, info(), and missing values.</w:t>
      </w:r>
    </w:p>
    <w:p>
      <w:pPr>
        <w:pStyle w:val="ListParagraph"/>
        <w:numPr>
          <w:ilvl w:val="0"/>
          <w:numId w:val="2"/>
        </w:numPr>
        <w:spacing w:after="60"/>
      </w:pPr>
      <w:r>
        <w:t xml:space="preserve">Explore demographic distributions - SeniorCitizen, gender, PaymentMethod, Dependents - visualized with pie charts.</w:t>
      </w:r>
    </w:p>
    <w:p>
      <w:pPr>
        <w:pStyle w:val="ListParagraph"/>
        <w:numPr>
          <w:ilvl w:val="0"/>
          <w:numId w:val="2"/>
        </w:numPr>
        <w:spacing w:after="60"/>
      </w:pPr>
      <w:r>
        <w:t xml:space="preserve">Encode the Churn target variable from Yes/No to binary 1/0.</w:t>
      </w:r>
    </w:p>
    <w:p>
      <w:pPr>
        <w:pStyle w:val="ListParagraph"/>
        <w:numPr>
          <w:ilvl w:val="0"/>
          <w:numId w:val="2"/>
        </w:numPr>
        <w:spacing w:after="60"/>
      </w:pPr>
      <w:r>
        <w:t xml:space="preserve">Bin tenure into four groups (0-20, 20-35, 35-50, 50-100 months) using pd.cut().</w:t>
      </w:r>
    </w:p>
    <w:p>
      <w:pPr>
        <w:pStyle w:val="ListParagraph"/>
        <w:numPr>
          <w:ilvl w:val="0"/>
          <w:numId w:val="2"/>
        </w:numPr>
        <w:spacing w:after="60"/>
      </w:pPr>
      <w:r>
        <w:t xml:space="preserve">Group churn counts by tenure_bin to analyze how churn risk changes with customer loyalty.</w:t>
      </w:r>
    </w:p>
    <w:p>
      <w:pPr>
        <w:pStyle w:val="ListParagraph"/>
        <w:numPr>
          <w:ilvl w:val="0"/>
          <w:numId w:val="2"/>
        </w:numPr>
        <w:spacing w:after="60"/>
      </w:pPr>
      <w:r>
        <w:t xml:space="preserve">Group churn counts by Contract type to compare retention across contract lengths.</w:t>
      </w:r>
    </w:p>
    <w:p>
      <w:pPr>
        <w:pStyle w:val="ListParagraph"/>
        <w:numPr>
          <w:ilvl w:val="0"/>
          <w:numId w:val="2"/>
        </w:numPr>
        <w:spacing w:after="60"/>
      </w:pPr>
      <w:r>
        <w:t xml:space="preserve">Group OnlineSecurity and TechSupport by Churn to compare service uptake between churned and retained customers.</w:t>
      </w:r>
    </w:p>
    <w:p>
      <w:pPr>
        <w:pStyle w:val="ListParagraph"/>
        <w:numPr>
          <w:ilvl w:val="0"/>
          <w:numId w:val="2"/>
        </w:numPr>
        <w:spacing w:after="60"/>
      </w:pPr>
      <w:r>
        <w:t xml:space="preserve">Map six add-on service columns to numeric flags and compute their correlation with Churn, visualized as heatmaps.</w:t>
      </w:r>
    </w:p>
    <w:p>
      <w:pPr>
        <w:pStyle w:val="Heading1"/>
        <w:spacing w:after="150" w:before="300"/>
      </w:pPr>
      <w:r>
        <w:t xml:space="preserve">5. Key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00"/>
      </w:tblGrid>
      <w:tr>
        <w:tc>
          <w:tcPr>
            <w:tcW w:type="dxa" w:w="400"/>
            <w:shd w:fill="2E5395" w:val="clear"/>
          </w:tcPr>
          <w:p>
            <w:r>
              <w:rPr>
                <w:b/>
                <w:bCs/>
                <w:color w:val="FFFFFF"/>
                <w:sz w:val="20"/>
                <w:szCs w:val="20"/>
              </w:rPr>
              <w:t xml:space="preserve">#</w:t>
            </w:r>
          </w:p>
        </w:tc>
        <w:tc>
          <w:tcPr>
            <w:tcW w:type="dxa" w:w="4200"/>
            <w:shd w:fill="2E5395" w:val="clear"/>
          </w:tcPr>
          <w:p>
            <w:r>
              <w:rPr>
                <w:b/>
                <w:bCs/>
                <w:color w:val="FFFFFF"/>
                <w:sz w:val="20"/>
                <w:szCs w:val="20"/>
              </w:rPr>
              <w:t xml:space="preserve">Question</w:t>
            </w:r>
          </w:p>
        </w:tc>
        <w:tc>
          <w:tcPr>
            <w:tcW w:type="dxa" w:w="4400"/>
            <w:shd w:fill="2E5395" w:val="clear"/>
          </w:tcPr>
          <w:p>
            <w:r>
              <w:rPr>
                <w:b/>
                <w:bCs/>
                <w:color w:val="FFFFFF"/>
                <w:sz w:val="20"/>
                <w:szCs w:val="20"/>
              </w:rPr>
              <w:t xml:space="preserve">Finding</w:t>
            </w:r>
          </w:p>
        </w:tc>
      </w:tr>
      <w:tr>
        <w:tc>
          <w:tcPr>
            <w:tcW w:type="dxa" w:w="400"/>
            <w:shd w:fill="FFFFFF" w:val="clear"/>
          </w:tcPr>
          <w:p>
            <w:r>
              <w:rPr>
                <w:sz w:val="20"/>
                <w:szCs w:val="20"/>
              </w:rPr>
              <w:t xml:space="preserve">1</w:t>
            </w:r>
          </w:p>
        </w:tc>
        <w:tc>
          <w:tcPr>
            <w:tcW w:type="dxa" w:w="4200"/>
            <w:shd w:fill="FFFFFF" w:val="clear"/>
          </w:tcPr>
          <w:p>
            <w:r>
              <w:rPr>
                <w:sz w:val="20"/>
                <w:szCs w:val="20"/>
              </w:rPr>
              <w:t xml:space="preserve">Dataset shape</w:t>
            </w:r>
          </w:p>
        </w:tc>
        <w:tc>
          <w:tcPr>
            <w:tcW w:type="dxa" w:w="4400"/>
            <w:shd w:fill="FFFFFF" w:val="clear"/>
          </w:tcPr>
          <w:p>
            <w:r>
              <w:rPr>
                <w:sz w:val="20"/>
                <w:szCs w:val="20"/>
              </w:rPr>
              <w:t xml:space="preserve">7,043 rows x 21 columns, no missing values</w:t>
            </w:r>
          </w:p>
        </w:tc>
      </w:tr>
      <w:tr>
        <w:tc>
          <w:tcPr>
            <w:tcW w:type="dxa" w:w="400"/>
            <w:shd w:fill="F2F6FC" w:val="clear"/>
          </w:tcPr>
          <w:p>
            <w:r>
              <w:rPr>
                <w:sz w:val="20"/>
                <w:szCs w:val="20"/>
              </w:rPr>
              <w:t xml:space="preserve">2</w:t>
            </w:r>
          </w:p>
        </w:tc>
        <w:tc>
          <w:tcPr>
            <w:tcW w:type="dxa" w:w="4200"/>
            <w:shd w:fill="F2F6FC" w:val="clear"/>
          </w:tcPr>
          <w:p>
            <w:r>
              <w:rPr>
                <w:sz w:val="20"/>
                <w:szCs w:val="20"/>
              </w:rPr>
              <w:t xml:space="preserve">Senior citizens in dataset</w:t>
            </w:r>
          </w:p>
        </w:tc>
        <w:tc>
          <w:tcPr>
            <w:tcW w:type="dxa" w:w="4400"/>
            <w:shd w:fill="F2F6FC" w:val="clear"/>
          </w:tcPr>
          <w:p>
            <w:r>
              <w:rPr>
                <w:sz w:val="20"/>
                <w:szCs w:val="20"/>
              </w:rPr>
              <w:t xml:space="preserve">1,142 (16.2%) senior citizens, 5,901 non-senior</w:t>
            </w:r>
          </w:p>
        </w:tc>
      </w:tr>
      <w:tr>
        <w:tc>
          <w:tcPr>
            <w:tcW w:type="dxa" w:w="400"/>
            <w:shd w:fill="FFFFFF" w:val="clear"/>
          </w:tcPr>
          <w:p>
            <w:r>
              <w:rPr>
                <w:sz w:val="20"/>
                <w:szCs w:val="20"/>
              </w:rPr>
              <w:t xml:space="preserve">3</w:t>
            </w:r>
          </w:p>
        </w:tc>
        <w:tc>
          <w:tcPr>
            <w:tcW w:type="dxa" w:w="4200"/>
            <w:shd w:fill="FFFFFF" w:val="clear"/>
          </w:tcPr>
          <w:p>
            <w:r>
              <w:rPr>
                <w:sz w:val="20"/>
                <w:szCs w:val="20"/>
              </w:rPr>
              <w:t xml:space="preserve">Most common payment method</w:t>
            </w:r>
          </w:p>
        </w:tc>
        <w:tc>
          <w:tcPr>
            <w:tcW w:type="dxa" w:w="4400"/>
            <w:shd w:fill="FFFFFF" w:val="clear"/>
          </w:tcPr>
          <w:p>
            <w:r>
              <w:rPr>
                <w:sz w:val="20"/>
                <w:szCs w:val="20"/>
              </w:rPr>
              <w:t xml:space="preserve">Electronic check (2,365), then Mailed check, Bank transfer, Credit card</w:t>
            </w:r>
          </w:p>
        </w:tc>
      </w:tr>
      <w:tr>
        <w:tc>
          <w:tcPr>
            <w:tcW w:type="dxa" w:w="400"/>
            <w:shd w:fill="F2F6FC" w:val="clear"/>
          </w:tcPr>
          <w:p>
            <w:r>
              <w:rPr>
                <w:sz w:val="20"/>
                <w:szCs w:val="20"/>
              </w:rPr>
              <w:t xml:space="preserve">4</w:t>
            </w:r>
          </w:p>
        </w:tc>
        <w:tc>
          <w:tcPr>
            <w:tcW w:type="dxa" w:w="4200"/>
            <w:shd w:fill="F2F6FC" w:val="clear"/>
          </w:tcPr>
          <w:p>
            <w:r>
              <w:rPr>
                <w:sz w:val="20"/>
                <w:szCs w:val="20"/>
              </w:rPr>
              <w:t xml:space="preserve">Gender split</w:t>
            </w:r>
          </w:p>
        </w:tc>
        <w:tc>
          <w:tcPr>
            <w:tcW w:type="dxa" w:w="4400"/>
            <w:shd w:fill="F2F6FC" w:val="clear"/>
          </w:tcPr>
          <w:p>
            <w:r>
              <w:rPr>
                <w:sz w:val="20"/>
                <w:szCs w:val="20"/>
              </w:rPr>
              <w:t xml:space="preserve">3,555 Male, 3,488 Female</w:t>
            </w:r>
          </w:p>
        </w:tc>
      </w:tr>
      <w:tr>
        <w:tc>
          <w:tcPr>
            <w:tcW w:type="dxa" w:w="400"/>
            <w:shd w:fill="FFFFFF" w:val="clear"/>
          </w:tcPr>
          <w:p>
            <w:r>
              <w:rPr>
                <w:sz w:val="20"/>
                <w:szCs w:val="20"/>
              </w:rPr>
              <w:t xml:space="preserve">5</w:t>
            </w:r>
          </w:p>
        </w:tc>
        <w:tc>
          <w:tcPr>
            <w:tcW w:type="dxa" w:w="4200"/>
            <w:shd w:fill="FFFFFF" w:val="clear"/>
          </w:tcPr>
          <w:p>
            <w:r>
              <w:rPr>
                <w:sz w:val="20"/>
                <w:szCs w:val="20"/>
              </w:rPr>
              <w:t xml:space="preserve">Tenure bin distribution</w:t>
            </w:r>
          </w:p>
        </w:tc>
        <w:tc>
          <w:tcPr>
            <w:tcW w:type="dxa" w:w="4400"/>
            <w:shd w:fill="FFFFFF" w:val="clear"/>
          </w:tcPr>
          <w:p>
            <w:r>
              <w:rPr>
                <w:sz w:val="20"/>
                <w:szCs w:val="20"/>
              </w:rPr>
              <w:t xml:space="preserve">0-20 months: 2,867; 50-100 months: 2,105; 20-35 months: 1,114; 35-50 months: 946</w:t>
            </w:r>
          </w:p>
        </w:tc>
      </w:tr>
      <w:tr>
        <w:tc>
          <w:tcPr>
            <w:tcW w:type="dxa" w:w="400"/>
            <w:shd w:fill="F2F6FC" w:val="clear"/>
          </w:tcPr>
          <w:p>
            <w:r>
              <w:rPr>
                <w:sz w:val="20"/>
                <w:szCs w:val="20"/>
              </w:rPr>
              <w:t xml:space="preserve">6</w:t>
            </w:r>
          </w:p>
        </w:tc>
        <w:tc>
          <w:tcPr>
            <w:tcW w:type="dxa" w:w="4200"/>
            <w:shd w:fill="F2F6FC" w:val="clear"/>
          </w:tcPr>
          <w:p>
            <w:r>
              <w:rPr>
                <w:sz w:val="20"/>
                <w:szCs w:val="20"/>
              </w:rPr>
              <w:t xml:space="preserve">Churn rate by tenure bin</w:t>
            </w:r>
          </w:p>
        </w:tc>
        <w:tc>
          <w:tcPr>
            <w:tcW w:type="dxa" w:w="4400"/>
            <w:shd w:fill="F2F6FC" w:val="clear"/>
          </w:tcPr>
          <w:p>
            <w:r>
              <w:rPr>
                <w:sz w:val="20"/>
                <w:szCs w:val="20"/>
              </w:rPr>
              <w:t xml:space="preserve">0-20mo: 43.6% churn; 20-35mo: 22.4%; 35-50mo: 19.0%; 50-100mo: 8.9%</w:t>
            </w:r>
          </w:p>
        </w:tc>
      </w:tr>
      <w:tr>
        <w:tc>
          <w:tcPr>
            <w:tcW w:type="dxa" w:w="400"/>
            <w:shd w:fill="FFFFFF" w:val="clear"/>
          </w:tcPr>
          <w:p>
            <w:r>
              <w:rPr>
                <w:sz w:val="20"/>
                <w:szCs w:val="20"/>
              </w:rPr>
              <w:t xml:space="preserve">7</w:t>
            </w:r>
          </w:p>
        </w:tc>
        <w:tc>
          <w:tcPr>
            <w:tcW w:type="dxa" w:w="4200"/>
            <w:shd w:fill="FFFFFF" w:val="clear"/>
          </w:tcPr>
          <w:p>
            <w:r>
              <w:rPr>
                <w:sz w:val="20"/>
                <w:szCs w:val="20"/>
              </w:rPr>
              <w:t xml:space="preserve">Churn rate by contract type</w:t>
            </w:r>
          </w:p>
        </w:tc>
        <w:tc>
          <w:tcPr>
            <w:tcW w:type="dxa" w:w="4400"/>
            <w:shd w:fill="FFFFFF" w:val="clear"/>
          </w:tcPr>
          <w:p>
            <w:r>
              <w:rPr>
                <w:sz w:val="20"/>
                <w:szCs w:val="20"/>
              </w:rPr>
              <w:t xml:space="preserve">Month-to-month: ~42.7%; One year: ~11.3%; Two year: ~2.8%</w:t>
            </w:r>
          </w:p>
        </w:tc>
      </w:tr>
      <w:tr>
        <w:tc>
          <w:tcPr>
            <w:tcW w:type="dxa" w:w="400"/>
            <w:shd w:fill="F2F6FC" w:val="clear"/>
          </w:tcPr>
          <w:p>
            <w:r>
              <w:rPr>
                <w:sz w:val="20"/>
                <w:szCs w:val="20"/>
              </w:rPr>
              <w:t xml:space="preserve">8</w:t>
            </w:r>
          </w:p>
        </w:tc>
        <w:tc>
          <w:tcPr>
            <w:tcW w:type="dxa" w:w="4200"/>
            <w:shd w:fill="F2F6FC" w:val="clear"/>
          </w:tcPr>
          <w:p>
            <w:r>
              <w:rPr>
                <w:sz w:val="20"/>
                <w:szCs w:val="20"/>
              </w:rPr>
              <w:t xml:space="preserve">OnlineSecurity vs. churn</w:t>
            </w:r>
          </w:p>
        </w:tc>
        <w:tc>
          <w:tcPr>
            <w:tcW w:type="dxa" w:w="4400"/>
            <w:shd w:fill="F2F6FC" w:val="clear"/>
          </w:tcPr>
          <w:p>
            <w:r>
              <w:rPr>
                <w:sz w:val="20"/>
                <w:szCs w:val="20"/>
              </w:rPr>
              <w:t xml:space="preserve">Non-subscribers churn more (1,461 of 'No') than subscribers (295 of 'Yes')</w:t>
            </w:r>
          </w:p>
        </w:tc>
      </w:tr>
      <w:tr>
        <w:tc>
          <w:tcPr>
            <w:tcW w:type="dxa" w:w="400"/>
            <w:shd w:fill="FFFFFF" w:val="clear"/>
          </w:tcPr>
          <w:p>
            <w:r>
              <w:rPr>
                <w:sz w:val="20"/>
                <w:szCs w:val="20"/>
              </w:rPr>
              <w:t xml:space="preserve">9</w:t>
            </w:r>
          </w:p>
        </w:tc>
        <w:tc>
          <w:tcPr>
            <w:tcW w:type="dxa" w:w="4200"/>
            <w:shd w:fill="FFFFFF" w:val="clear"/>
          </w:tcPr>
          <w:p>
            <w:r>
              <w:rPr>
                <w:sz w:val="20"/>
                <w:szCs w:val="20"/>
              </w:rPr>
              <w:t xml:space="preserve">TechSupport vs. churn</w:t>
            </w:r>
          </w:p>
        </w:tc>
        <w:tc>
          <w:tcPr>
            <w:tcW w:type="dxa" w:w="4400"/>
            <w:shd w:fill="FFFFFF" w:val="clear"/>
          </w:tcPr>
          <w:p>
            <w:r>
              <w:rPr>
                <w:sz w:val="20"/>
                <w:szCs w:val="20"/>
              </w:rPr>
              <w:t xml:space="preserve">Non-subscribers churn more (1,446 of 'No') than subscribers (310 of 'Yes')</w:t>
            </w:r>
          </w:p>
        </w:tc>
      </w:tr>
      <w:tr>
        <w:tc>
          <w:tcPr>
            <w:tcW w:type="dxa" w:w="400"/>
            <w:shd w:fill="F2F6FC" w:val="clear"/>
          </w:tcPr>
          <w:p>
            <w:r>
              <w:rPr>
                <w:sz w:val="20"/>
                <w:szCs w:val="20"/>
              </w:rPr>
              <w:t xml:space="preserve">10</w:t>
            </w:r>
          </w:p>
        </w:tc>
        <w:tc>
          <w:tcPr>
            <w:tcW w:type="dxa" w:w="4200"/>
            <w:shd w:fill="F2F6FC" w:val="clear"/>
          </w:tcPr>
          <w:p>
            <w:r>
              <w:rPr>
                <w:sz w:val="20"/>
                <w:szCs w:val="20"/>
              </w:rPr>
              <w:t xml:space="preserve">Strongest negative correlation with churn</w:t>
            </w:r>
          </w:p>
        </w:tc>
        <w:tc>
          <w:tcPr>
            <w:tcW w:type="dxa" w:w="4400"/>
            <w:shd w:fill="F2F6FC" w:val="clear"/>
          </w:tcPr>
          <w:p>
            <w:r>
              <w:rPr>
                <w:sz w:val="20"/>
                <w:szCs w:val="20"/>
              </w:rPr>
              <w:t xml:space="preserve">OnlineSecurity (r ~ -0.17), TechSupport (r ~ -0.16)</w:t>
            </w:r>
          </w:p>
        </w:tc>
      </w:tr>
      <w:tr>
        <w:tc>
          <w:tcPr>
            <w:tcW w:type="dxa" w:w="400"/>
            <w:shd w:fill="FFFFFF" w:val="clear"/>
          </w:tcPr>
          <w:p>
            <w:r>
              <w:rPr>
                <w:sz w:val="20"/>
                <w:szCs w:val="20"/>
              </w:rPr>
              <w:t xml:space="preserve">11</w:t>
            </w:r>
          </w:p>
        </w:tc>
        <w:tc>
          <w:tcPr>
            <w:tcW w:type="dxa" w:w="4200"/>
            <w:shd w:fill="FFFFFF" w:val="clear"/>
          </w:tcPr>
          <w:p>
            <w:r>
              <w:rPr>
                <w:sz w:val="20"/>
                <w:szCs w:val="20"/>
              </w:rPr>
              <w:t xml:space="preserve">Strongest positive correlation with churn</w:t>
            </w:r>
          </w:p>
        </w:tc>
        <w:tc>
          <w:tcPr>
            <w:tcW w:type="dxa" w:w="4400"/>
            <w:shd w:fill="FFFFFF" w:val="clear"/>
          </w:tcPr>
          <w:p>
            <w:r>
              <w:rPr>
                <w:sz w:val="20"/>
                <w:szCs w:val="20"/>
              </w:rPr>
              <w:t xml:space="preserve">StreamingTV (r ~ 0.06), StreamingMovies (r ~ 0.06)</w:t>
            </w:r>
          </w:p>
        </w:tc>
      </w:tr>
    </w:tbl>
    <w:p>
      <w:pPr>
        <w:pStyle w:val="Heading1"/>
        <w:spacing w:after="150" w:before="300"/>
      </w:pPr>
      <w:r>
        <w:t xml:space="preserve">6. Notebook Notes - Known Issues</w:t>
      </w:r>
    </w:p>
    <w:p>
      <w:pPr>
        <w:spacing w:after="120"/>
      </w:pPr>
      <w:r>
        <w:t xml:space="preserve">An early attempt at the service-correlation analysis tried to re-map the Churn column from Yes/No strings using churn['Churn'].map({'Yes': 1, 'No': 0}), but Churn had already been converted to binary 0/1 earlier in the notebook via np.where(). Since there were no 'Yes'/'No' strings left to map, every value returned NaN, and the resulting correlation output was empty. This was corrected later in the notebook by using the existing binary Churn column directly (temp['Churn'] = churn['Churn']), after which the correlation calculation worked as intended. Both the broken attempt and the working fix remain in the notebook for reference and as a useful debugging example.</w:t>
      </w:r>
    </w:p>
    <w:p>
      <w:pPr>
        <w:pStyle w:val="Heading1"/>
        <w:spacing w:after="150" w:before="300"/>
      </w:pPr>
      <w:r>
        <w:t xml:space="preserve">7. Sample Code</w:t>
      </w:r>
    </w:p>
    <w:p>
      <w:pPr>
        <w:spacing w:after="120"/>
      </w:pPr>
      <w:r>
        <w:t xml:space="preserve">Example: encoding the Churn target variable.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churn['Churn'] = np.where(churn.Churn == 'Yes', 1, 0)</w:t>
      </w:r>
    </w:p>
    <w:p>
      <w:pPr>
        <w:spacing w:after="120"/>
      </w:pPr>
      <w:r>
        <w:t xml:space="preserve">Example: binning tenure and analyzing churn by tenure group.</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churn['tenure_bin'] = pd.cut(churn['tenure'], bins=[0, 20, 35, 50, 100])</w:t>
      </w:r>
      <w:r>
        <w:rPr>
          <w:rFonts w:ascii="Consolas" w:cs="Consolas" w:eastAsia="Consolas" w:hAnsi="Consolas"/>
          <w:sz w:val="18"/>
          <w:szCs w:val="18"/>
        </w:rPr>
        <w:br/>
        <w:t xml:space="preserve">churn.groupby('tenure_bin')['Churn'].value_counts()</w:t>
      </w:r>
    </w:p>
    <w:p>
      <w:pPr>
        <w:spacing w:after="120"/>
      </w:pPr>
      <w:r>
        <w:t xml:space="preserve">Example: churn by contract type.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churn.groupby('Contract')['Churn'].value_counts()</w:t>
      </w:r>
    </w:p>
    <w:p>
      <w:pPr>
        <w:spacing w:after="120"/>
      </w:pPr>
      <w:r>
        <w:t xml:space="preserve">Example: correctly correlating add-on services with the already-binary Churn column (fixed version).</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bool_cols = ['OnlineSecurity', 'OnlineBackup', 'DeviceProtection',</w:t>
      </w:r>
      <w:r>
        <w:rPr>
          <w:rFonts w:ascii="Consolas" w:cs="Consolas" w:eastAsia="Consolas" w:hAnsi="Consolas"/>
          <w:sz w:val="18"/>
          <w:szCs w:val="18"/>
        </w:rPr>
        <w:br/>
        <w:t xml:space="preserve">             'TechSupport', 'StreamingTV', 'StreamingMovies']</w:t>
      </w:r>
      <w:r>
        <w:rPr>
          <w:rFonts w:ascii="Consolas" w:cs="Consolas" w:eastAsia="Consolas" w:hAnsi="Consolas"/>
          <w:sz w:val="18"/>
          <w:szCs w:val="18"/>
        </w:rPr>
        <w:br/>
        <w:t xml:space="preserve">temp = churn[bool_cols].replace({'Yes': 1, 'No': 0, 'No internet service': 0})</w:t>
      </w:r>
      <w:r>
        <w:rPr>
          <w:rFonts w:ascii="Consolas" w:cs="Consolas" w:eastAsia="Consolas" w:hAnsi="Consolas"/>
          <w:sz w:val="18"/>
          <w:szCs w:val="18"/>
        </w:rPr>
        <w:br/>
        <w:t xml:space="preserve">temp = temp.infer_objects(copy=False).astype(int)</w:t>
      </w:r>
      <w:r>
        <w:rPr>
          <w:rFonts w:ascii="Consolas" w:cs="Consolas" w:eastAsia="Consolas" w:hAnsi="Consolas"/>
          <w:sz w:val="18"/>
          <w:szCs w:val="18"/>
        </w:rPr>
        <w:br/>
        <w:t xml:space="preserve">temp['Churn'] = churn['Churn']</w:t>
      </w:r>
      <w:r>
        <w:rPr>
          <w:rFonts w:ascii="Consolas" w:cs="Consolas" w:eastAsia="Consolas" w:hAnsi="Consolas"/>
          <w:sz w:val="18"/>
          <w:szCs w:val="18"/>
        </w:rPr>
        <w:br/>
        <w:t xml:space="preserve">print(temp.corr()['Churn'].drop('Churn').sort_values())</w:t>
      </w:r>
    </w:p>
    <w:p>
      <w:pPr>
        <w:pStyle w:val="Heading1"/>
        <w:spacing w:after="150" w:before="300"/>
      </w:pPr>
      <w:r>
        <w:t xml:space="preserve">8. Tools Used</w:t>
      </w:r>
    </w:p>
    <w:p>
      <w:pPr>
        <w:pStyle w:val="ListParagraph"/>
        <w:numPr>
          <w:ilvl w:val="0"/>
          <w:numId w:val="2"/>
        </w:numPr>
        <w:spacing w:after="60"/>
      </w:pPr>
      <w:r>
        <w:t xml:space="preserve">Python</w:t>
      </w:r>
    </w:p>
    <w:p>
      <w:pPr>
        <w:pStyle w:val="ListParagraph"/>
        <w:numPr>
          <w:ilvl w:val="0"/>
          <w:numId w:val="2"/>
        </w:numPr>
        <w:spacing w:after="60"/>
      </w:pPr>
      <w:r>
        <w:t xml:space="preserve">Pandas - data cleaning, encoding, binning, and aggregation</w:t>
      </w:r>
    </w:p>
    <w:p>
      <w:pPr>
        <w:pStyle w:val="ListParagraph"/>
        <w:numPr>
          <w:ilvl w:val="0"/>
          <w:numId w:val="2"/>
        </w:numPr>
        <w:spacing w:after="60"/>
      </w:pPr>
      <w:r>
        <w:t xml:space="preserve">NumPy - numerical operations and conditional encoding</w:t>
      </w:r>
    </w:p>
    <w:p>
      <w:pPr>
        <w:pStyle w:val="ListParagraph"/>
        <w:numPr>
          <w:ilvl w:val="0"/>
          <w:numId w:val="2"/>
        </w:numPr>
        <w:spacing w:after="60"/>
      </w:pPr>
      <w:r>
        <w:t xml:space="preserve">Matplotlib and Seaborn - visualization (pie charts, correlation heatmaps)</w:t>
      </w:r>
    </w:p>
    <w:p>
      <w:pPr>
        <w:pStyle w:val="ListParagraph"/>
        <w:numPr>
          <w:ilvl w:val="0"/>
          <w:numId w:val="2"/>
        </w:numPr>
        <w:spacing w:after="60"/>
      </w:pPr>
      <w:r>
        <w:t xml:space="preserve">Jupyter Notebook - documenting code, outputs, and explanations</w:t>
      </w:r>
    </w:p>
    <w:p>
      <w:pPr>
        <w:pStyle w:val="Heading1"/>
        <w:spacing w:after="150" w:before="300"/>
      </w:pPr>
      <w:r>
        <w:t xml:space="preserve">9. Conclusion</w:t>
      </w:r>
    </w:p>
    <w:p>
      <w:pPr>
        <w:spacing w:after="120"/>
      </w:pPr>
      <w:r>
        <w:t xml:space="preserve">This project identifies tenure, contract type, and add-on service subscriptions as the strongest drivers of customer churn in the Telco dataset. Short-tenure, month-to-month customers churn at dramatically higher rates than long-tenure customers on two-year contracts, and customers without protective services like Online Security or Tech Support are far more likely to leave. These findings suggest that encouraging longer contract commitments and promoting security/support add-ons could be effective retention strategies - and the notebook's debugging trail around the Churn correlation calculation is a useful reminder to verify a column's current encoding before re-mapping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2026-10-03T07:58:26.410Z</dcterms:created>
  <dcterms:modified xsi:type="dcterms:W3CDTF">2026-10-03T07:58:26.419Z</dcterms:modified>
</cp:coreProperties>
</file>

<file path=docProps/custom.xml><?xml version="1.0" encoding="utf-8"?>
<Properties xmlns="http://schemas.openxmlformats.org/officeDocument/2006/custom-properties" xmlns:vt="http://schemas.openxmlformats.org/officeDocument/2006/docPropsVTypes"/>
</file>