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2E5395"/>
          <w:sz w:val="38"/>
          <w:szCs w:val="38"/>
        </w:rPr>
        <w:t xml:space="preserve">Univariate, Bivariate &amp; Multivariate Analysis</w:t>
      </w:r>
    </w:p>
    <w:p>
      <w:pPr>
        <w:spacing w:after="400"/>
        <w:jc w:val="center"/>
      </w:pPr>
      <w:r>
        <w:rPr>
          <w:color w:val="555555"/>
          <w:sz w:val="28"/>
          <w:szCs w:val="28"/>
        </w:rPr>
        <w:t xml:space="preserve">Walmart Sales Data — Project Report</w:t>
      </w:r>
    </w:p>
    <w:p>
      <w:pPr>
        <w:pStyle w:val="Heading1"/>
        <w:spacing w:after="150" w:before="300"/>
      </w:pPr>
      <w:r>
        <w:t xml:space="preserve">1. Introduction</w:t>
      </w:r>
    </w:p>
    <w:p>
      <w:pPr>
        <w:spacing w:after="120"/>
      </w:pPr>
      <w:r>
        <w:t xml:space="preserve">This project applies univariate, bivariate, and multivariate exploratory analysis techniques to a 1,000-row Walmart-style sales dataset, using Python, Pandas, and Matplotlib. It focuses on building a range of visualizations - histograms, bar charts, pie charts, and scatter plots - to understand single-variable distributions, two-variable relationships, and category-wise breakdowns.</w:t>
      </w:r>
    </w:p>
    <w:p>
      <w:pPr>
        <w:pStyle w:val="Heading1"/>
        <w:spacing w:after="150" w:before="300"/>
      </w:pPr>
      <w:r>
        <w:t xml:space="preserve">2. Purpose of the Project</w:t>
      </w:r>
    </w:p>
    <w:p>
      <w:pPr>
        <w:spacing w:after="120"/>
      </w:pPr>
      <w:r>
        <w:t xml:space="preserve">The aim is to practice the three foundational types of exploratory data analysis on a single, consistent dataset: analyzing individual variables in isolation (univariate), analyzing the relationship between two variables (bivariate), and analyzing a variable broken down across categorical groupings (multivariate).</w:t>
      </w:r>
    </w:p>
    <w:p>
      <w:pPr>
        <w:pStyle w:val="Heading1"/>
        <w:spacing w:after="150" w:before="300"/>
      </w:pPr>
      <w:r>
        <w:t xml:space="preserve">3. About the Dataset</w:t>
      </w:r>
    </w:p>
    <w:p>
      <w:pPr>
        <w:spacing w:after="120"/>
      </w:pPr>
      <w:r>
        <w:t xml:space="preserve">The dataset (9-univariate-bivariate-multivariate.csv) contains 1,000 rows and 17 columns of sales transaction records, with several columns renamed to snake_case for consistency.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00"/>
      </w:tblGrid>
      <w:tr>
        <w:tc>
          <w:tcPr>
            <w:tcW w:type="dxa" w:w="2200"/>
            <w:shd w:fill="2E5395" w:val="clear"/>
          </w:tcPr>
          <w:p>
            <w:r>
              <w:rPr>
                <w:b/>
                <w:bCs/>
                <w:color w:val="FFFFFF"/>
                <w:sz w:val="20"/>
                <w:szCs w:val="20"/>
              </w:rPr>
              <w:t xml:space="preserve">Column</w:t>
            </w:r>
          </w:p>
        </w:tc>
        <w:tc>
          <w:tcPr>
            <w:tcW w:type="dxa" w:w="2000"/>
            <w:shd w:fill="2E5395" w:val="clear"/>
          </w:tcPr>
          <w:p>
            <w:r>
              <w:rPr>
                <w:b/>
                <w:bCs/>
                <w:color w:val="FFFFFF"/>
                <w:sz w:val="20"/>
                <w:szCs w:val="20"/>
              </w:rPr>
              <w:t xml:space="preserve">Renamed To</w:t>
            </w:r>
          </w:p>
        </w:tc>
        <w:tc>
          <w:tcPr>
            <w:tcW w:type="dxa" w:w="4800"/>
            <w:shd w:fill="2E5395" w:val="clear"/>
          </w:tcPr>
          <w:p>
            <w:r>
              <w:rPr>
                <w:b/>
                <w:bCs/>
                <w:color w:val="FFFFFF"/>
                <w:sz w:val="20"/>
                <w:szCs w:val="20"/>
              </w:rPr>
              <w:t xml:space="preserve">Description</w:t>
            </w:r>
          </w:p>
        </w:tc>
      </w:tr>
      <w:tr>
        <w:tc>
          <w:tcPr>
            <w:tcW w:type="dxa" w:w="2200"/>
            <w:shd w:fill="FFFFFF" w:val="clear"/>
          </w:tcPr>
          <w:p>
            <w:r>
              <w:rPr>
                <w:sz w:val="20"/>
                <w:szCs w:val="20"/>
              </w:rPr>
              <w:t xml:space="preserve">Invoice ID</w:t>
            </w:r>
          </w:p>
        </w:tc>
        <w:tc>
          <w:tcPr>
            <w:tcW w:type="dxa" w:w="2000"/>
            <w:shd w:fill="FFFFFF" w:val="clear"/>
          </w:tcPr>
          <w:p>
            <w:r>
              <w:rPr>
                <w:sz w:val="20"/>
                <w:szCs w:val="20"/>
              </w:rPr>
              <w:t xml:space="preserve">invoiceID</w:t>
            </w:r>
          </w:p>
        </w:tc>
        <w:tc>
          <w:tcPr>
            <w:tcW w:type="dxa" w:w="4800"/>
            <w:shd w:fill="FFFFFF" w:val="clear"/>
          </w:tcPr>
          <w:p>
            <w:r>
              <w:rPr>
                <w:sz w:val="20"/>
                <w:szCs w:val="20"/>
              </w:rPr>
              <w:t xml:space="preserve">Unique invoice number</w:t>
            </w:r>
          </w:p>
        </w:tc>
      </w:tr>
      <w:tr>
        <w:tc>
          <w:tcPr>
            <w:tcW w:type="dxa" w:w="2200"/>
            <w:shd w:fill="F2F6FC" w:val="clear"/>
          </w:tcPr>
          <w:p>
            <w:r>
              <w:rPr>
                <w:sz w:val="20"/>
                <w:szCs w:val="20"/>
              </w:rPr>
              <w:t xml:space="preserve">Branch</w:t>
            </w:r>
          </w:p>
        </w:tc>
        <w:tc>
          <w:tcPr>
            <w:tcW w:type="dxa" w:w="2000"/>
            <w:shd w:fill="F2F6FC" w:val="clear"/>
          </w:tcPr>
          <w:p>
            <w:r>
              <w:rPr>
                <w:sz w:val="20"/>
                <w:szCs w:val="20"/>
              </w:rPr>
              <w:t xml:space="preserve">-</w:t>
            </w:r>
          </w:p>
        </w:tc>
        <w:tc>
          <w:tcPr>
            <w:tcW w:type="dxa" w:w="4800"/>
            <w:shd w:fill="F2F6FC" w:val="clear"/>
          </w:tcPr>
          <w:p>
            <w:r>
              <w:rPr>
                <w:sz w:val="20"/>
                <w:szCs w:val="20"/>
              </w:rPr>
              <w:t xml:space="preserve">Branch (A, B, C)</w:t>
            </w:r>
          </w:p>
        </w:tc>
      </w:tr>
      <w:tr>
        <w:tc>
          <w:tcPr>
            <w:tcW w:type="dxa" w:w="2200"/>
            <w:shd w:fill="FFFFFF" w:val="clear"/>
          </w:tcPr>
          <w:p>
            <w:r>
              <w:rPr>
                <w:sz w:val="20"/>
                <w:szCs w:val="20"/>
              </w:rPr>
              <w:t xml:space="preserve">City</w:t>
            </w:r>
          </w:p>
        </w:tc>
        <w:tc>
          <w:tcPr>
            <w:tcW w:type="dxa" w:w="2000"/>
            <w:shd w:fill="FFFFFF" w:val="clear"/>
          </w:tcPr>
          <w:p>
            <w:r>
              <w:rPr>
                <w:sz w:val="20"/>
                <w:szCs w:val="20"/>
              </w:rPr>
              <w:t xml:space="preserve">-</w:t>
            </w:r>
          </w:p>
        </w:tc>
        <w:tc>
          <w:tcPr>
            <w:tcW w:type="dxa" w:w="4800"/>
            <w:shd w:fill="FFFFFF" w:val="clear"/>
          </w:tcPr>
          <w:p>
            <w:r>
              <w:rPr>
                <w:sz w:val="20"/>
                <w:szCs w:val="20"/>
              </w:rPr>
              <w:t xml:space="preserve">City of the branch</w:t>
            </w:r>
          </w:p>
        </w:tc>
      </w:tr>
      <w:tr>
        <w:tc>
          <w:tcPr>
            <w:tcW w:type="dxa" w:w="2200"/>
            <w:shd w:fill="F2F6FC" w:val="clear"/>
          </w:tcPr>
          <w:p>
            <w:r>
              <w:rPr>
                <w:sz w:val="20"/>
                <w:szCs w:val="20"/>
              </w:rPr>
              <w:t xml:space="preserve">Customer type</w:t>
            </w:r>
          </w:p>
        </w:tc>
        <w:tc>
          <w:tcPr>
            <w:tcW w:type="dxa" w:w="2000"/>
            <w:shd w:fill="F2F6FC" w:val="clear"/>
          </w:tcPr>
          <w:p>
            <w:r>
              <w:rPr>
                <w:sz w:val="20"/>
                <w:szCs w:val="20"/>
              </w:rPr>
              <w:t xml:space="preserve">customertype</w:t>
            </w:r>
          </w:p>
        </w:tc>
        <w:tc>
          <w:tcPr>
            <w:tcW w:type="dxa" w:w="4800"/>
            <w:shd w:fill="F2F6FC" w:val="clear"/>
          </w:tcPr>
          <w:p>
            <w:r>
              <w:rPr>
                <w:sz w:val="20"/>
                <w:szCs w:val="20"/>
              </w:rPr>
              <w:t xml:space="preserve">Member or Normal</w:t>
            </w:r>
          </w:p>
        </w:tc>
      </w:tr>
      <w:tr>
        <w:tc>
          <w:tcPr>
            <w:tcW w:type="dxa" w:w="2200"/>
            <w:shd w:fill="FFFFFF" w:val="clear"/>
          </w:tcPr>
          <w:p>
            <w:r>
              <w:rPr>
                <w:sz w:val="20"/>
                <w:szCs w:val="20"/>
              </w:rPr>
              <w:t xml:space="preserve">Gender</w:t>
            </w:r>
          </w:p>
        </w:tc>
        <w:tc>
          <w:tcPr>
            <w:tcW w:type="dxa" w:w="2000"/>
            <w:shd w:fill="FFFFFF" w:val="clear"/>
          </w:tcPr>
          <w:p>
            <w:r>
              <w:rPr>
                <w:sz w:val="20"/>
                <w:szCs w:val="20"/>
              </w:rPr>
              <w:t xml:space="preserve">-</w:t>
            </w:r>
          </w:p>
        </w:tc>
        <w:tc>
          <w:tcPr>
            <w:tcW w:type="dxa" w:w="4800"/>
            <w:shd w:fill="FFFFFF" w:val="clear"/>
          </w:tcPr>
          <w:p>
            <w:r>
              <w:rPr>
                <w:sz w:val="20"/>
                <w:szCs w:val="20"/>
              </w:rPr>
              <w:t xml:space="preserve">Gender of the customer</w:t>
            </w:r>
          </w:p>
        </w:tc>
      </w:tr>
      <w:tr>
        <w:tc>
          <w:tcPr>
            <w:tcW w:type="dxa" w:w="2200"/>
            <w:shd w:fill="F2F6FC" w:val="clear"/>
          </w:tcPr>
          <w:p>
            <w:r>
              <w:rPr>
                <w:sz w:val="20"/>
                <w:szCs w:val="20"/>
              </w:rPr>
              <w:t xml:space="preserve">Product line</w:t>
            </w:r>
          </w:p>
        </w:tc>
        <w:tc>
          <w:tcPr>
            <w:tcW w:type="dxa" w:w="2000"/>
            <w:shd w:fill="F2F6FC" w:val="clear"/>
          </w:tcPr>
          <w:p>
            <w:r>
              <w:rPr>
                <w:sz w:val="20"/>
                <w:szCs w:val="20"/>
              </w:rPr>
              <w:t xml:space="preserve">product_line</w:t>
            </w:r>
          </w:p>
        </w:tc>
        <w:tc>
          <w:tcPr>
            <w:tcW w:type="dxa" w:w="4800"/>
            <w:shd w:fill="F2F6FC" w:val="clear"/>
          </w:tcPr>
          <w:p>
            <w:r>
              <w:rPr>
                <w:sz w:val="20"/>
                <w:szCs w:val="20"/>
              </w:rPr>
              <w:t xml:space="preserve">Product category</w:t>
            </w:r>
          </w:p>
        </w:tc>
      </w:tr>
      <w:tr>
        <w:tc>
          <w:tcPr>
            <w:tcW w:type="dxa" w:w="2200"/>
            <w:shd w:fill="FFFFFF" w:val="clear"/>
          </w:tcPr>
          <w:p>
            <w:r>
              <w:rPr>
                <w:sz w:val="20"/>
                <w:szCs w:val="20"/>
              </w:rPr>
              <w:t xml:space="preserve">Unit price</w:t>
            </w:r>
          </w:p>
        </w:tc>
        <w:tc>
          <w:tcPr>
            <w:tcW w:type="dxa" w:w="2000"/>
            <w:shd w:fill="FFFFFF" w:val="clear"/>
          </w:tcPr>
          <w:p>
            <w:r>
              <w:rPr>
                <w:sz w:val="20"/>
                <w:szCs w:val="20"/>
              </w:rPr>
              <w:t xml:space="preserve">unit_price</w:t>
            </w:r>
          </w:p>
        </w:tc>
        <w:tc>
          <w:tcPr>
            <w:tcW w:type="dxa" w:w="4800"/>
            <w:shd w:fill="FFFFFF" w:val="clear"/>
          </w:tcPr>
          <w:p>
            <w:r>
              <w:rPr>
                <w:sz w:val="20"/>
                <w:szCs w:val="20"/>
              </w:rPr>
              <w:t xml:space="preserve">Price per unit</w:t>
            </w:r>
          </w:p>
        </w:tc>
      </w:tr>
      <w:tr>
        <w:tc>
          <w:tcPr>
            <w:tcW w:type="dxa" w:w="2200"/>
            <w:shd w:fill="F2F6FC" w:val="clear"/>
          </w:tcPr>
          <w:p>
            <w:r>
              <w:rPr>
                <w:sz w:val="20"/>
                <w:szCs w:val="20"/>
              </w:rPr>
              <w:t xml:space="preserve">Quantity</w:t>
            </w:r>
          </w:p>
        </w:tc>
        <w:tc>
          <w:tcPr>
            <w:tcW w:type="dxa" w:w="2000"/>
            <w:shd w:fill="F2F6FC" w:val="clear"/>
          </w:tcPr>
          <w:p>
            <w:r>
              <w:rPr>
                <w:sz w:val="20"/>
                <w:szCs w:val="20"/>
              </w:rPr>
              <w:t xml:space="preserve">-</w:t>
            </w:r>
          </w:p>
        </w:tc>
        <w:tc>
          <w:tcPr>
            <w:tcW w:type="dxa" w:w="4800"/>
            <w:shd w:fill="F2F6FC" w:val="clear"/>
          </w:tcPr>
          <w:p>
            <w:r>
              <w:rPr>
                <w:sz w:val="20"/>
                <w:szCs w:val="20"/>
              </w:rPr>
              <w:t xml:space="preserve">Number of units purchased</w:t>
            </w:r>
          </w:p>
        </w:tc>
      </w:tr>
      <w:tr>
        <w:tc>
          <w:tcPr>
            <w:tcW w:type="dxa" w:w="2200"/>
            <w:shd w:fill="FFFFFF" w:val="clear"/>
          </w:tcPr>
          <w:p>
            <w:r>
              <w:rPr>
                <w:sz w:val="20"/>
                <w:szCs w:val="20"/>
              </w:rPr>
              <w:t xml:space="preserve">Tax 5%</w:t>
            </w:r>
          </w:p>
        </w:tc>
        <w:tc>
          <w:tcPr>
            <w:tcW w:type="dxa" w:w="2000"/>
            <w:shd w:fill="FFFFFF" w:val="clear"/>
          </w:tcPr>
          <w:p>
            <w:r>
              <w:rPr>
                <w:sz w:val="20"/>
                <w:szCs w:val="20"/>
              </w:rPr>
              <w:t xml:space="preserve">tax_5</w:t>
            </w:r>
          </w:p>
        </w:tc>
        <w:tc>
          <w:tcPr>
            <w:tcW w:type="dxa" w:w="4800"/>
            <w:shd w:fill="FFFFFF" w:val="clear"/>
          </w:tcPr>
          <w:p>
            <w:r>
              <w:rPr>
                <w:sz w:val="20"/>
                <w:szCs w:val="20"/>
              </w:rPr>
              <w:t xml:space="preserve">5% tax on the transaction</w:t>
            </w:r>
          </w:p>
        </w:tc>
      </w:tr>
      <w:tr>
        <w:tc>
          <w:tcPr>
            <w:tcW w:type="dxa" w:w="2200"/>
            <w:shd w:fill="F2F6FC" w:val="clear"/>
          </w:tcPr>
          <w:p>
            <w:r>
              <w:rPr>
                <w:sz w:val="20"/>
                <w:szCs w:val="20"/>
              </w:rPr>
              <w:t xml:space="preserve">Total</w:t>
            </w:r>
          </w:p>
        </w:tc>
        <w:tc>
          <w:tcPr>
            <w:tcW w:type="dxa" w:w="2000"/>
            <w:shd w:fill="F2F6FC" w:val="clear"/>
          </w:tcPr>
          <w:p>
            <w:r>
              <w:rPr>
                <w:sz w:val="20"/>
                <w:szCs w:val="20"/>
              </w:rPr>
              <w:t xml:space="preserve">-</w:t>
            </w:r>
          </w:p>
        </w:tc>
        <w:tc>
          <w:tcPr>
            <w:tcW w:type="dxa" w:w="4800"/>
            <w:shd w:fill="F2F6FC" w:val="clear"/>
          </w:tcPr>
          <w:p>
            <w:r>
              <w:rPr>
                <w:sz w:val="20"/>
                <w:szCs w:val="20"/>
              </w:rPr>
              <w:t xml:space="preserve">Total price including tax</w:t>
            </w:r>
          </w:p>
        </w:tc>
      </w:tr>
      <w:tr>
        <w:tc>
          <w:tcPr>
            <w:tcW w:type="dxa" w:w="2200"/>
            <w:shd w:fill="FFFFFF" w:val="clear"/>
          </w:tcPr>
          <w:p>
            <w:r>
              <w:rPr>
                <w:sz w:val="20"/>
                <w:szCs w:val="20"/>
              </w:rPr>
              <w:t xml:space="preserve">cogs</w:t>
            </w:r>
          </w:p>
        </w:tc>
        <w:tc>
          <w:tcPr>
            <w:tcW w:type="dxa" w:w="2000"/>
            <w:shd w:fill="FFFFFF" w:val="clear"/>
          </w:tcPr>
          <w:p>
            <w:r>
              <w:rPr>
                <w:sz w:val="20"/>
                <w:szCs w:val="20"/>
              </w:rPr>
              <w:t xml:space="preserve">-</w:t>
            </w:r>
          </w:p>
        </w:tc>
        <w:tc>
          <w:tcPr>
            <w:tcW w:type="dxa" w:w="4800"/>
            <w:shd w:fill="FFFFFF" w:val="clear"/>
          </w:tcPr>
          <w:p>
            <w:r>
              <w:rPr>
                <w:sz w:val="20"/>
                <w:szCs w:val="20"/>
              </w:rPr>
              <w:t xml:space="preserve">Cost of goods sold</w:t>
            </w:r>
          </w:p>
        </w:tc>
      </w:tr>
      <w:tr>
        <w:tc>
          <w:tcPr>
            <w:tcW w:type="dxa" w:w="2200"/>
            <w:shd w:fill="F2F6FC" w:val="clear"/>
          </w:tcPr>
          <w:p>
            <w:r>
              <w:rPr>
                <w:sz w:val="20"/>
                <w:szCs w:val="20"/>
              </w:rPr>
              <w:t xml:space="preserve">gross income</w:t>
            </w:r>
          </w:p>
        </w:tc>
        <w:tc>
          <w:tcPr>
            <w:tcW w:type="dxa" w:w="2000"/>
            <w:shd w:fill="F2F6FC" w:val="clear"/>
          </w:tcPr>
          <w:p>
            <w:r>
              <w:rPr>
                <w:sz w:val="20"/>
                <w:szCs w:val="20"/>
              </w:rPr>
              <w:t xml:space="preserve">gross_income</w:t>
            </w:r>
          </w:p>
        </w:tc>
        <w:tc>
          <w:tcPr>
            <w:tcW w:type="dxa" w:w="4800"/>
            <w:shd w:fill="F2F6FC" w:val="clear"/>
          </w:tcPr>
          <w:p>
            <w:r>
              <w:rPr>
                <w:sz w:val="20"/>
                <w:szCs w:val="20"/>
              </w:rPr>
              <w:t xml:space="preserve">Gross income earned</w:t>
            </w:r>
          </w:p>
        </w:tc>
      </w:tr>
      <w:tr>
        <w:tc>
          <w:tcPr>
            <w:tcW w:type="dxa" w:w="2200"/>
            <w:shd w:fill="FFFFFF" w:val="clear"/>
          </w:tcPr>
          <w:p>
            <w:r>
              <w:rPr>
                <w:sz w:val="20"/>
                <w:szCs w:val="20"/>
              </w:rPr>
              <w:t xml:space="preserve">Rating</w:t>
            </w:r>
          </w:p>
        </w:tc>
        <w:tc>
          <w:tcPr>
            <w:tcW w:type="dxa" w:w="2000"/>
            <w:shd w:fill="FFFFFF" w:val="clear"/>
          </w:tcPr>
          <w:p>
            <w:r>
              <w:rPr>
                <w:sz w:val="20"/>
                <w:szCs w:val="20"/>
              </w:rPr>
              <w:t xml:space="preserve">-</w:t>
            </w:r>
          </w:p>
        </w:tc>
        <w:tc>
          <w:tcPr>
            <w:tcW w:type="dxa" w:w="4800"/>
            <w:shd w:fill="FFFFFF" w:val="clear"/>
          </w:tcPr>
          <w:p>
            <w:r>
              <w:rPr>
                <w:sz w:val="20"/>
                <w:szCs w:val="20"/>
              </w:rPr>
              <w:t xml:space="preserve">Customer's rating (1-10)</w:t>
            </w:r>
          </w:p>
        </w:tc>
      </w:tr>
    </w:tbl>
    <w:p>
      <w:pPr>
        <w:spacing w:after="120"/>
      </w:pPr>
      <w:r>
        <w:t xml:space="preserve">Data quality: no missing values were found - all 17 columns have 1,000 non-null entries.</w:t>
      </w:r>
    </w:p>
    <w:p>
      <w:pPr>
        <w:pStyle w:val="Heading1"/>
        <w:spacing w:after="150" w:before="300"/>
      </w:pPr>
      <w:r>
        <w:t xml:space="preserve">4. Approach</w:t>
      </w:r>
    </w:p>
    <w:p>
      <w:pPr>
        <w:pStyle w:val="ListParagraph"/>
        <w:numPr>
          <w:ilvl w:val="0"/>
          <w:numId w:val="2"/>
        </w:numPr>
        <w:spacing w:after="60"/>
      </w:pPr>
      <w:r>
        <w:t xml:space="preserve">Load the CSV file into a Pandas DataFrame and inspect head, tail, shape, columns, and info().</w:t>
      </w:r>
    </w:p>
    <w:p>
      <w:pPr>
        <w:pStyle w:val="ListParagraph"/>
        <w:numPr>
          <w:ilvl w:val="0"/>
          <w:numId w:val="2"/>
        </w:numPr>
        <w:spacing w:after="60"/>
      </w:pPr>
      <w:r>
        <w:t xml:space="preserve">Rename key columns to snake_case for easier, more consistent access.</w:t>
      </w:r>
    </w:p>
    <w:p>
      <w:pPr>
        <w:pStyle w:val="ListParagraph"/>
        <w:numPr>
          <w:ilvl w:val="0"/>
          <w:numId w:val="2"/>
        </w:numPr>
        <w:spacing w:after="60"/>
      </w:pPr>
      <w:r>
        <w:t xml:space="preserve">Univariate analysis: histograms of cogs and Total; value counts and charts for customertype, Rating, City, and product_line.</w:t>
      </w:r>
    </w:p>
    <w:p>
      <w:pPr>
        <w:pStyle w:val="ListParagraph"/>
        <w:numPr>
          <w:ilvl w:val="0"/>
          <w:numId w:val="2"/>
        </w:numPr>
        <w:spacing w:after="60"/>
      </w:pPr>
      <w:r>
        <w:t xml:space="preserve">Bivariate analysis: scatter plots of cogs vs. Total and gross_income vs. Rating.</w:t>
      </w:r>
    </w:p>
    <w:p>
      <w:pPr>
        <w:pStyle w:val="ListParagraph"/>
        <w:numPr>
          <w:ilvl w:val="0"/>
          <w:numId w:val="2"/>
        </w:numPr>
        <w:spacing w:after="60"/>
      </w:pPr>
      <w:r>
        <w:t xml:space="preserve">Grouped/multivariate analysis: bar and pie charts of Total, gross_income, and Quantity broken down by Branch, Gender, product_line, City, customertype, and Payment.</w:t>
      </w:r>
    </w:p>
    <w:p>
      <w:pPr>
        <w:pStyle w:val="ListParagraph"/>
        <w:numPr>
          <w:ilvl w:val="0"/>
          <w:numId w:val="2"/>
        </w:numPr>
        <w:spacing w:after="60"/>
      </w:pPr>
      <w:r>
        <w:t xml:space="preserve">Aggregation: groupby() on product_line and unit_price to rank categories and analyze price-based trends.</w:t>
      </w:r>
    </w:p>
    <w:p>
      <w:pPr>
        <w:pStyle w:val="ListParagraph"/>
        <w:numPr>
          <w:ilvl w:val="0"/>
          <w:numId w:val="2"/>
        </w:numPr>
        <w:spacing w:after="60"/>
      </w:pPr>
      <w:r>
        <w:t xml:space="preserve">Filtering: count invoices for specific combinations, e.g. Fashion accessories purchased by female customers.</w:t>
      </w:r>
    </w:p>
    <w:p>
      <w:pPr>
        <w:pStyle w:val="Heading1"/>
        <w:spacing w:after="150" w:before="300"/>
      </w:pPr>
      <w:r>
        <w:t xml:space="preserve">5. Key Findings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4400"/>
      </w:tblGrid>
      <w:tr>
        <w:tc>
          <w:tcPr>
            <w:tcW w:type="dxa" w:w="400"/>
            <w:shd w:fill="2E5395" w:val="clear"/>
          </w:tcPr>
          <w:p>
            <w:r>
              <w:rPr>
                <w:b/>
                <w:bCs/>
                <w:color w:val="FFFFFF"/>
                <w:sz w:val="20"/>
                <w:szCs w:val="20"/>
              </w:rPr>
              <w:t xml:space="preserve">#</w:t>
            </w:r>
          </w:p>
        </w:tc>
        <w:tc>
          <w:tcPr>
            <w:tcW w:type="dxa" w:w="4200"/>
            <w:shd w:fill="2E5395" w:val="clear"/>
          </w:tcPr>
          <w:p>
            <w:r>
              <w:rPr>
                <w:b/>
                <w:bCs/>
                <w:color w:val="FFFFFF"/>
                <w:sz w:val="20"/>
                <w:szCs w:val="20"/>
              </w:rPr>
              <w:t xml:space="preserve">Question</w:t>
            </w:r>
          </w:p>
        </w:tc>
        <w:tc>
          <w:tcPr>
            <w:tcW w:type="dxa" w:w="4400"/>
            <w:shd w:fill="2E5395" w:val="clear"/>
          </w:tcPr>
          <w:p>
            <w:r>
              <w:rPr>
                <w:b/>
                <w:bCs/>
                <w:color w:val="FFFFFF"/>
                <w:sz w:val="20"/>
                <w:szCs w:val="20"/>
              </w:rPr>
              <w:t xml:space="preserve">Finding</w:t>
            </w:r>
          </w:p>
        </w:tc>
      </w:tr>
      <w:tr>
        <w:tc>
          <w:tcPr>
            <w:tcW w:type="dxa" w:w="400"/>
            <w:shd w:fill="FFFFFF" w:val="clear"/>
          </w:tcPr>
          <w:p>
            <w:r>
              <w:rPr>
                <w:sz w:val="20"/>
                <w:szCs w:val="20"/>
              </w:rPr>
              <w:t xml:space="preserve">1</w:t>
            </w:r>
          </w:p>
        </w:tc>
        <w:tc>
          <w:tcPr>
            <w:tcW w:type="dxa" w:w="4200"/>
            <w:shd w:fill="FFFFFF" w:val="clear"/>
          </w:tcPr>
          <w:p>
            <w:r>
              <w:rPr>
                <w:sz w:val="20"/>
                <w:szCs w:val="20"/>
              </w:rPr>
              <w:t xml:space="preserve">Dataset shape</w:t>
            </w:r>
          </w:p>
        </w:tc>
        <w:tc>
          <w:tcPr>
            <w:tcW w:type="dxa" w:w="4400"/>
            <w:shd w:fill="FFFFFF" w:val="clear"/>
          </w:tcPr>
          <w:p>
            <w:r>
              <w:rPr>
                <w:sz w:val="20"/>
                <w:szCs w:val="20"/>
              </w:rPr>
              <w:t xml:space="preserve">1,000 rows x 17 columns, no missing values</w:t>
            </w:r>
          </w:p>
        </w:tc>
      </w:tr>
      <w:tr>
        <w:tc>
          <w:tcPr>
            <w:tcW w:type="dxa" w:w="400"/>
            <w:shd w:fill="F2F6FC" w:val="clear"/>
          </w:tcPr>
          <w:p>
            <w:r>
              <w:rPr>
                <w:sz w:val="20"/>
                <w:szCs w:val="20"/>
              </w:rPr>
              <w:t xml:space="preserve">2</w:t>
            </w:r>
          </w:p>
        </w:tc>
        <w:tc>
          <w:tcPr>
            <w:tcW w:type="dxa" w:w="4200"/>
            <w:shd w:fill="F2F6FC" w:val="clear"/>
          </w:tcPr>
          <w:p>
            <w:r>
              <w:rPr>
                <w:sz w:val="20"/>
                <w:szCs w:val="20"/>
              </w:rPr>
              <w:t xml:space="preserve">Total sales by branch</w:t>
            </w:r>
          </w:p>
        </w:tc>
        <w:tc>
          <w:tcPr>
            <w:tcW w:type="dxa" w:w="4400"/>
            <w:shd w:fill="F2F6FC" w:val="clear"/>
          </w:tcPr>
          <w:p>
            <w:r>
              <w:rPr>
                <w:sz w:val="20"/>
                <w:szCs w:val="20"/>
              </w:rPr>
              <w:t xml:space="preserve">Visualized via bar chart (Branch vs. Total)</w:t>
            </w:r>
          </w:p>
        </w:tc>
      </w:tr>
      <w:tr>
        <w:tc>
          <w:tcPr>
            <w:tcW w:type="dxa" w:w="400"/>
            <w:shd w:fill="FFFFFF" w:val="clear"/>
          </w:tcPr>
          <w:p>
            <w:r>
              <w:rPr>
                <w:sz w:val="20"/>
                <w:szCs w:val="20"/>
              </w:rPr>
              <w:t xml:space="preserve">3</w:t>
            </w:r>
          </w:p>
        </w:tc>
        <w:tc>
          <w:tcPr>
            <w:tcW w:type="dxa" w:w="4200"/>
            <w:shd w:fill="FFFFFF" w:val="clear"/>
          </w:tcPr>
          <w:p>
            <w:r>
              <w:rPr>
                <w:sz w:val="20"/>
                <w:szCs w:val="20"/>
              </w:rPr>
              <w:t xml:space="preserve">Sales by payment method</w:t>
            </w:r>
          </w:p>
        </w:tc>
        <w:tc>
          <w:tcPr>
            <w:tcW w:type="dxa" w:w="4400"/>
            <w:shd w:fill="FFFFFF" w:val="clear"/>
          </w:tcPr>
          <w:p>
            <w:r>
              <w:rPr>
                <w:sz w:val="20"/>
                <w:szCs w:val="20"/>
              </w:rPr>
              <w:t xml:space="preserve">Visualized via pie chart of summed Total per Payment method</w:t>
            </w:r>
          </w:p>
        </w:tc>
      </w:tr>
      <w:tr>
        <w:tc>
          <w:tcPr>
            <w:tcW w:type="dxa" w:w="400"/>
            <w:shd w:fill="F2F6FC" w:val="clear"/>
          </w:tcPr>
          <w:p>
            <w:r>
              <w:rPr>
                <w:sz w:val="20"/>
                <w:szCs w:val="20"/>
              </w:rPr>
              <w:t xml:space="preserve">4</w:t>
            </w:r>
          </w:p>
        </w:tc>
        <w:tc>
          <w:tcPr>
            <w:tcW w:type="dxa" w:w="4200"/>
            <w:shd w:fill="F2F6FC" w:val="clear"/>
          </w:tcPr>
          <w:p>
            <w:r>
              <w:rPr>
                <w:sz w:val="20"/>
                <w:szCs w:val="20"/>
              </w:rPr>
              <w:t xml:space="preserve">COGS vs. Total relationship</w:t>
            </w:r>
          </w:p>
        </w:tc>
        <w:tc>
          <w:tcPr>
            <w:tcW w:type="dxa" w:w="4400"/>
            <w:shd w:fill="F2F6FC" w:val="clear"/>
          </w:tcPr>
          <w:p>
            <w:r>
              <w:rPr>
                <w:sz w:val="20"/>
                <w:szCs w:val="20"/>
              </w:rPr>
              <w:t xml:space="preserve">Visualized via scatter/line plot - strong positive relationship, as expected</w:t>
            </w:r>
          </w:p>
        </w:tc>
      </w:tr>
      <w:tr>
        <w:tc>
          <w:tcPr>
            <w:tcW w:type="dxa" w:w="400"/>
            <w:shd w:fill="FFFFFF" w:val="clear"/>
          </w:tcPr>
          <w:p>
            <w:r>
              <w:rPr>
                <w:sz w:val="20"/>
                <w:szCs w:val="20"/>
              </w:rPr>
              <w:t xml:space="preserve">5</w:t>
            </w:r>
          </w:p>
        </w:tc>
        <w:tc>
          <w:tcPr>
            <w:tcW w:type="dxa" w:w="4200"/>
            <w:shd w:fill="FFFFFF" w:val="clear"/>
          </w:tcPr>
          <w:p>
            <w:r>
              <w:rPr>
                <w:sz w:val="20"/>
                <w:szCs w:val="20"/>
              </w:rPr>
              <w:t xml:space="preserve">Gross income by gender</w:t>
            </w:r>
          </w:p>
        </w:tc>
        <w:tc>
          <w:tcPr>
            <w:tcW w:type="dxa" w:w="4400"/>
            <w:shd w:fill="FFFFFF" w:val="clear"/>
          </w:tcPr>
          <w:p>
            <w:r>
              <w:rPr>
                <w:sz w:val="20"/>
                <w:szCs w:val="20"/>
              </w:rPr>
              <w:t xml:space="preserve">Visualized via bar chart (Gender vs. gross_income)</w:t>
            </w:r>
          </w:p>
        </w:tc>
      </w:tr>
      <w:tr>
        <w:tc>
          <w:tcPr>
            <w:tcW w:type="dxa" w:w="400"/>
            <w:shd w:fill="F2F6FC" w:val="clear"/>
          </w:tcPr>
          <w:p>
            <w:r>
              <w:rPr>
                <w:sz w:val="20"/>
                <w:szCs w:val="20"/>
              </w:rPr>
              <w:t xml:space="preserve">6</w:t>
            </w:r>
          </w:p>
        </w:tc>
        <w:tc>
          <w:tcPr>
            <w:tcW w:type="dxa" w:w="4200"/>
            <w:shd w:fill="F2F6FC" w:val="clear"/>
          </w:tcPr>
          <w:p>
            <w:r>
              <w:rPr>
                <w:sz w:val="20"/>
                <w:szCs w:val="20"/>
              </w:rPr>
              <w:t xml:space="preserve">Gross income by product line</w:t>
            </w:r>
          </w:p>
        </w:tc>
        <w:tc>
          <w:tcPr>
            <w:tcW w:type="dxa" w:w="4400"/>
            <w:shd w:fill="F2F6FC" w:val="clear"/>
          </w:tcPr>
          <w:p>
            <w:r>
              <w:rPr>
                <w:sz w:val="20"/>
                <w:szCs w:val="20"/>
              </w:rPr>
              <w:t xml:space="preserve">Visualized via bar chart (product_line vs. gross_income)</w:t>
            </w:r>
          </w:p>
        </w:tc>
      </w:tr>
      <w:tr>
        <w:tc>
          <w:tcPr>
            <w:tcW w:type="dxa" w:w="400"/>
            <w:shd w:fill="FFFFFF" w:val="clear"/>
          </w:tcPr>
          <w:p>
            <w:r>
              <w:rPr>
                <w:sz w:val="20"/>
                <w:szCs w:val="20"/>
              </w:rPr>
              <w:t xml:space="preserve">7</w:t>
            </w:r>
          </w:p>
        </w:tc>
        <w:tc>
          <w:tcPr>
            <w:tcW w:type="dxa" w:w="4200"/>
            <w:shd w:fill="FFFFFF" w:val="clear"/>
          </w:tcPr>
          <w:p>
            <w:r>
              <w:rPr>
                <w:sz w:val="20"/>
                <w:szCs w:val="20"/>
              </w:rPr>
              <w:t xml:space="preserve">Rating by city</w:t>
            </w:r>
          </w:p>
        </w:tc>
        <w:tc>
          <w:tcPr>
            <w:tcW w:type="dxa" w:w="4400"/>
            <w:shd w:fill="FFFFFF" w:val="clear"/>
          </w:tcPr>
          <w:p>
            <w:r>
              <w:rPr>
                <w:sz w:val="20"/>
                <w:szCs w:val="20"/>
              </w:rPr>
              <w:t xml:space="preserve">Visualized via bar chart (City vs. Rating)</w:t>
            </w:r>
          </w:p>
        </w:tc>
      </w:tr>
      <w:tr>
        <w:tc>
          <w:tcPr>
            <w:tcW w:type="dxa" w:w="400"/>
            <w:shd w:fill="F2F6FC" w:val="clear"/>
          </w:tcPr>
          <w:p>
            <w:r>
              <w:rPr>
                <w:sz w:val="20"/>
                <w:szCs w:val="20"/>
              </w:rPr>
              <w:t xml:space="preserve">8</w:t>
            </w:r>
          </w:p>
        </w:tc>
        <w:tc>
          <w:tcPr>
            <w:tcW w:type="dxa" w:w="4200"/>
            <w:shd w:fill="F2F6FC" w:val="clear"/>
          </w:tcPr>
          <w:p>
            <w:r>
              <w:rPr>
                <w:sz w:val="20"/>
                <w:szCs w:val="20"/>
              </w:rPr>
              <w:t xml:space="preserve">Total sales by customer type</w:t>
            </w:r>
          </w:p>
        </w:tc>
        <w:tc>
          <w:tcPr>
            <w:tcW w:type="dxa" w:w="4400"/>
            <w:shd w:fill="F2F6FC" w:val="clear"/>
          </w:tcPr>
          <w:p>
            <w:r>
              <w:rPr>
                <w:sz w:val="20"/>
                <w:szCs w:val="20"/>
              </w:rPr>
              <w:t xml:space="preserve">Visualized via bar chart (customertype vs. Total)</w:t>
            </w:r>
          </w:p>
        </w:tc>
      </w:tr>
      <w:tr>
        <w:tc>
          <w:tcPr>
            <w:tcW w:type="dxa" w:w="400"/>
            <w:shd w:fill="FFFFFF" w:val="clear"/>
          </w:tcPr>
          <w:p>
            <w:r>
              <w:rPr>
                <w:sz w:val="20"/>
                <w:szCs w:val="20"/>
              </w:rPr>
              <w:t xml:space="preserve">9</w:t>
            </w:r>
          </w:p>
        </w:tc>
        <w:tc>
          <w:tcPr>
            <w:tcW w:type="dxa" w:w="4200"/>
            <w:shd w:fill="FFFFFF" w:val="clear"/>
          </w:tcPr>
          <w:p>
            <w:r>
              <w:rPr>
                <w:sz w:val="20"/>
                <w:szCs w:val="20"/>
              </w:rPr>
              <w:t xml:space="preserve">Product lines with highest unit price sum</w:t>
            </w:r>
          </w:p>
        </w:tc>
        <w:tc>
          <w:tcPr>
            <w:tcW w:type="dxa" w:w="4400"/>
            <w:shd w:fill="FFFFFF" w:val="clear"/>
          </w:tcPr>
          <w:p>
            <w:r>
              <w:rPr>
                <w:sz w:val="20"/>
                <w:szCs w:val="20"/>
              </w:rPr>
              <w:t xml:space="preserve">Fashion accessories (10,173.35), Food and beverages (9,745.54)</w:t>
            </w:r>
          </w:p>
        </w:tc>
      </w:tr>
      <w:tr>
        <w:tc>
          <w:tcPr>
            <w:tcW w:type="dxa" w:w="400"/>
            <w:shd w:fill="F2F6FC" w:val="clear"/>
          </w:tcPr>
          <w:p>
            <w:r>
              <w:rPr>
                <w:sz w:val="20"/>
                <w:szCs w:val="20"/>
              </w:rPr>
              <w:t xml:space="preserve">10</w:t>
            </w:r>
          </w:p>
        </w:tc>
        <w:tc>
          <w:tcPr>
            <w:tcW w:type="dxa" w:w="4200"/>
            <w:shd w:fill="F2F6FC" w:val="clear"/>
          </w:tcPr>
          <w:p>
            <w:r>
              <w:rPr>
                <w:sz w:val="20"/>
                <w:szCs w:val="20"/>
              </w:rPr>
              <w:t xml:space="preserve">Fashion Accessories invoices by female customers</w:t>
            </w:r>
          </w:p>
        </w:tc>
        <w:tc>
          <w:tcPr>
            <w:tcW w:type="dxa" w:w="4400"/>
            <w:shd w:fill="F2F6FC" w:val="clear"/>
          </w:tcPr>
          <w:p>
            <w:r>
              <w:rPr>
                <w:sz w:val="20"/>
                <w:szCs w:val="20"/>
              </w:rPr>
              <w:t xml:space="preserve">96 out of 178 total (about 54%)</w:t>
            </w:r>
          </w:p>
        </w:tc>
      </w:tr>
      <w:tr>
        <w:tc>
          <w:tcPr>
            <w:tcW w:type="dxa" w:w="400"/>
            <w:shd w:fill="FFFFFF" w:val="clear"/>
          </w:tcPr>
          <w:p>
            <w:r>
              <w:rPr>
                <w:sz w:val="20"/>
                <w:szCs w:val="20"/>
              </w:rPr>
              <w:t xml:space="preserve">11</w:t>
            </w:r>
          </w:p>
        </w:tc>
        <w:tc>
          <w:tcPr>
            <w:tcW w:type="dxa" w:w="4200"/>
            <w:shd w:fill="FFFFFF" w:val="clear"/>
          </w:tcPr>
          <w:p>
            <w:r>
              <w:rPr>
                <w:sz w:val="20"/>
                <w:szCs w:val="20"/>
              </w:rPr>
              <w:t xml:space="preserve">Total quantity sold by product line</w:t>
            </w:r>
          </w:p>
        </w:tc>
        <w:tc>
          <w:tcPr>
            <w:tcW w:type="dxa" w:w="4400"/>
            <w:shd w:fill="FFFFFF" w:val="clear"/>
          </w:tcPr>
          <w:p>
            <w:r>
              <w:rPr>
                <w:sz w:val="20"/>
                <w:szCs w:val="20"/>
              </w:rPr>
              <w:t xml:space="preserve">Visualized via bar chart across all 6 product lines</w:t>
            </w:r>
          </w:p>
        </w:tc>
      </w:tr>
      <w:tr>
        <w:tc>
          <w:tcPr>
            <w:tcW w:type="dxa" w:w="400"/>
            <w:shd w:fill="F2F6FC" w:val="clear"/>
          </w:tcPr>
          <w:p>
            <w:r>
              <w:rPr>
                <w:sz w:val="20"/>
                <w:szCs w:val="20"/>
              </w:rPr>
              <w:t xml:space="preserve">12</w:t>
            </w:r>
          </w:p>
        </w:tc>
        <w:tc>
          <w:tcPr>
            <w:tcW w:type="dxa" w:w="4200"/>
            <w:shd w:fill="F2F6FC" w:val="clear"/>
          </w:tcPr>
          <w:p>
            <w:r>
              <w:rPr>
                <w:sz w:val="20"/>
                <w:szCs w:val="20"/>
              </w:rPr>
              <w:t xml:space="preserve">Rating frequency distribution</w:t>
            </w:r>
          </w:p>
        </w:tc>
        <w:tc>
          <w:tcPr>
            <w:tcW w:type="dxa" w:w="4400"/>
            <w:shd w:fill="F2F6FC" w:val="clear"/>
          </w:tcPr>
          <w:p>
            <w:r>
              <w:rPr>
                <w:sz w:val="20"/>
                <w:szCs w:val="20"/>
              </w:rPr>
              <w:t xml:space="preserve">Visualized via bar chart of Rating value counts</w:t>
            </w:r>
          </w:p>
        </w:tc>
      </w:tr>
      <w:tr>
        <w:tc>
          <w:tcPr>
            <w:tcW w:type="dxa" w:w="400"/>
            <w:shd w:fill="FFFFFF" w:val="clear"/>
          </w:tcPr>
          <w:p>
            <w:r>
              <w:rPr>
                <w:sz w:val="20"/>
                <w:szCs w:val="20"/>
              </w:rPr>
              <w:t xml:space="preserve">13</w:t>
            </w:r>
          </w:p>
        </w:tc>
        <w:tc>
          <w:tcPr>
            <w:tcW w:type="dxa" w:w="4200"/>
            <w:shd w:fill="FFFFFF" w:val="clear"/>
          </w:tcPr>
          <w:p>
            <w:r>
              <w:rPr>
                <w:sz w:val="20"/>
                <w:szCs w:val="20"/>
              </w:rPr>
              <w:t xml:space="preserve">Gross income vs. Rating relationship</w:t>
            </w:r>
          </w:p>
        </w:tc>
        <w:tc>
          <w:tcPr>
            <w:tcW w:type="dxa" w:w="4400"/>
            <w:shd w:fill="FFFFFF" w:val="clear"/>
          </w:tcPr>
          <w:p>
            <w:r>
              <w:rPr>
                <w:sz w:val="20"/>
                <w:szCs w:val="20"/>
              </w:rPr>
              <w:t xml:space="preserve">Visualized via scatter plot</w:t>
            </w:r>
          </w:p>
        </w:tc>
      </w:tr>
      <w:tr>
        <w:tc>
          <w:tcPr>
            <w:tcW w:type="dxa" w:w="400"/>
            <w:shd w:fill="F2F6FC" w:val="clear"/>
          </w:tcPr>
          <w:p>
            <w:r>
              <w:rPr>
                <w:sz w:val="20"/>
                <w:szCs w:val="20"/>
              </w:rPr>
              <w:t xml:space="preserve">14</w:t>
            </w:r>
          </w:p>
        </w:tc>
        <w:tc>
          <w:tcPr>
            <w:tcW w:type="dxa" w:w="4200"/>
            <w:shd w:fill="F2F6FC" w:val="clear"/>
          </w:tcPr>
          <w:p>
            <w:r>
              <w:rPr>
                <w:sz w:val="20"/>
                <w:szCs w:val="20"/>
              </w:rPr>
              <w:t xml:space="preserve">Sales distribution by city</w:t>
            </w:r>
          </w:p>
        </w:tc>
        <w:tc>
          <w:tcPr>
            <w:tcW w:type="dxa" w:w="4400"/>
            <w:shd w:fill="F2F6FC" w:val="clear"/>
          </w:tcPr>
          <w:p>
            <w:r>
              <w:rPr>
                <w:sz w:val="20"/>
                <w:szCs w:val="20"/>
              </w:rPr>
              <w:t xml:space="preserve">Visualized via pie chart</w:t>
            </w:r>
          </w:p>
        </w:tc>
      </w:tr>
      <w:tr>
        <w:tc>
          <w:tcPr>
            <w:tcW w:type="dxa" w:w="400"/>
            <w:shd w:fill="FFFFFF" w:val="clear"/>
          </w:tcPr>
          <w:p>
            <w:r>
              <w:rPr>
                <w:sz w:val="20"/>
                <w:szCs w:val="20"/>
              </w:rPr>
              <w:t xml:space="preserve">15</w:t>
            </w:r>
          </w:p>
        </w:tc>
        <w:tc>
          <w:tcPr>
            <w:tcW w:type="dxa" w:w="4200"/>
            <w:shd w:fill="FFFFFF" w:val="clear"/>
          </w:tcPr>
          <w:p>
            <w:r>
              <w:rPr>
                <w:sz w:val="20"/>
                <w:szCs w:val="20"/>
              </w:rPr>
              <w:t xml:space="preserve">Product line distribution by invoice count</w:t>
            </w:r>
          </w:p>
        </w:tc>
        <w:tc>
          <w:tcPr>
            <w:tcW w:type="dxa" w:w="4400"/>
            <w:shd w:fill="FFFFFF" w:val="clear"/>
          </w:tcPr>
          <w:p>
            <w:r>
              <w:rPr>
                <w:sz w:val="20"/>
                <w:szCs w:val="20"/>
              </w:rPr>
              <w:t xml:space="preserve">Visualized via pie chart</w:t>
            </w:r>
          </w:p>
        </w:tc>
      </w:tr>
    </w:tbl>
    <w:p>
      <w:pPr>
        <w:pStyle w:val="Heading1"/>
        <w:spacing w:after="150" w:before="300"/>
      </w:pPr>
      <w:r>
        <w:t xml:space="preserve">6. Notebook Notes - Known Issues</w:t>
      </w:r>
    </w:p>
    <w:p>
      <w:pPr>
        <w:spacing w:after="120"/>
      </w:pPr>
      <w:r>
        <w:t xml:space="preserve">Two cells in the original notebook contain minor bugs, documented here for transparency:</w:t>
      </w:r>
    </w:p>
    <w:p>
      <w:pPr>
        <w:pStyle w:val="ListParagraph"/>
        <w:numPr>
          <w:ilvl w:val="0"/>
          <w:numId w:val="2"/>
        </w:numPr>
        <w:spacing w:after="60"/>
      </w:pPr>
      <w:r>
        <w:t xml:space="preserve">In the COGS vs. Total scatter plot and the branch sales bar chart, pl.xlabel and pl.ylabel were assigned string values directly (e.g. pl.xlabel = "cogs") instead of being called as functions (pl.xlabel("cogs")). This does not set the axis label.</w:t>
      </w:r>
    </w:p>
    <w:p>
      <w:pPr>
        <w:pStyle w:val="ListParagraph"/>
        <w:numPr>
          <w:ilvl w:val="0"/>
          <w:numId w:val="2"/>
        </w:numPr>
        <w:spacing w:after="60"/>
      </w:pPr>
      <w:r>
        <w:t xml:space="preserve">In the 'Product Line Quantity Analysis' cell, pl.bar() was called with a Series (value_counts() of product_line) as x and a single summed number (Quantity.sum()) as y, which are dimensionally incompatible and will not produce the intended chart.</w:t>
      </w:r>
    </w:p>
    <w:p>
      <w:pPr>
        <w:pStyle w:val="Heading1"/>
        <w:spacing w:after="150" w:before="300"/>
      </w:pPr>
      <w:r>
        <w:t xml:space="preserve">7. Sample Code</w:t>
      </w:r>
    </w:p>
    <w:p>
      <w:pPr>
        <w:spacing w:after="120"/>
      </w:pPr>
      <w:r>
        <w:t xml:space="preserve">Example: renaming columns to snake_case.</w:t>
      </w:r>
    </w:p>
    <w:p>
      <w:pPr>
        <w:pBdr>
          <w:top w:val="single" w:color="CCCCCC" w:sz="2"/>
          <w:bottom w:val="single" w:color="CCCCCC" w:sz="2"/>
          <w:left w:val="single" w:color="CCCCCC" w:sz="2"/>
          <w:right w:val="single" w:color="CCCCCC" w:sz="2"/>
        </w:pBdr>
        <w:shd w:fill="F2F2F2" w:val="clear"/>
        <w:spacing w:after="120"/>
      </w:pPr>
      <w:r>
        <w:rPr>
          <w:rFonts w:ascii="Consolas" w:cs="Consolas" w:eastAsia="Consolas" w:hAnsi="Consolas"/>
          <w:sz w:val="18"/>
          <w:szCs w:val="18"/>
        </w:rPr>
        <w:t xml:space="preserve">df.rename(columns={'Product line': 'product_line'}, inplace=True)</w:t>
      </w:r>
      <w:r>
        <w:rPr>
          <w:rFonts w:ascii="Consolas" w:cs="Consolas" w:eastAsia="Consolas" w:hAnsi="Consolas"/>
          <w:sz w:val="18"/>
          <w:szCs w:val="18"/>
        </w:rPr>
        <w:br/>
        <w:t xml:space="preserve">df.rename(columns={'Customer type': 'customertype'}, inplace=True)</w:t>
      </w:r>
      <w:r>
        <w:rPr>
          <w:rFonts w:ascii="Consolas" w:cs="Consolas" w:eastAsia="Consolas" w:hAnsi="Consolas"/>
          <w:sz w:val="18"/>
          <w:szCs w:val="18"/>
        </w:rPr>
        <w:br/>
        <w:t xml:space="preserve">df.rename(columns={'gross income': 'gross_income'}, inplace=True)</w:t>
      </w:r>
    </w:p>
    <w:p>
      <w:pPr>
        <w:spacing w:after="120"/>
      </w:pPr>
      <w:r>
        <w:t xml:space="preserve">Example: bivariate scatter-style plot of COGS vs. Total.</w:t>
      </w:r>
    </w:p>
    <w:p>
      <w:pPr>
        <w:pBdr>
          <w:top w:val="single" w:color="CCCCCC" w:sz="2"/>
          <w:bottom w:val="single" w:color="CCCCCC" w:sz="2"/>
          <w:left w:val="single" w:color="CCCCCC" w:sz="2"/>
          <w:right w:val="single" w:color="CCCCCC" w:sz="2"/>
        </w:pBdr>
        <w:shd w:fill="F2F2F2" w:val="clear"/>
        <w:spacing w:after="120"/>
      </w:pPr>
      <w:r>
        <w:rPr>
          <w:rFonts w:ascii="Consolas" w:cs="Consolas" w:eastAsia="Consolas" w:hAnsi="Consolas"/>
          <w:sz w:val="18"/>
          <w:szCs w:val="18"/>
        </w:rPr>
        <w:t xml:space="preserve">pl.plot(df.cogs, df.Total, 'g', marker='.', markersize=0.5)</w:t>
      </w:r>
      <w:r>
        <w:rPr>
          <w:rFonts w:ascii="Consolas" w:cs="Consolas" w:eastAsia="Consolas" w:hAnsi="Consolas"/>
          <w:sz w:val="18"/>
          <w:szCs w:val="18"/>
        </w:rPr>
        <w:br/>
        <w:t xml:space="preserve">pl.xlabel('cogs')</w:t>
      </w:r>
      <w:r>
        <w:rPr>
          <w:rFonts w:ascii="Consolas" w:cs="Consolas" w:eastAsia="Consolas" w:hAnsi="Consolas"/>
          <w:sz w:val="18"/>
          <w:szCs w:val="18"/>
        </w:rPr>
        <w:br/>
        <w:t xml:space="preserve">pl.ylabel('Total')</w:t>
      </w:r>
      <w:r>
        <w:rPr>
          <w:rFonts w:ascii="Consolas" w:cs="Consolas" w:eastAsia="Consolas" w:hAnsi="Consolas"/>
          <w:sz w:val="18"/>
          <w:szCs w:val="18"/>
        </w:rPr>
        <w:br/>
        <w:t xml:space="preserve">pl.show()</w:t>
      </w:r>
    </w:p>
    <w:p>
      <w:pPr>
        <w:spacing w:after="120"/>
      </w:pPr>
      <w:r>
        <w:t xml:space="preserve">Example: product lines ranked by summed unit price.</w:t>
      </w:r>
    </w:p>
    <w:p>
      <w:pPr>
        <w:pBdr>
          <w:top w:val="single" w:color="CCCCCC" w:sz="2"/>
          <w:bottom w:val="single" w:color="CCCCCC" w:sz="2"/>
          <w:left w:val="single" w:color="CCCCCC" w:sz="2"/>
          <w:right w:val="single" w:color="CCCCCC" w:sz="2"/>
        </w:pBdr>
        <w:shd w:fill="F2F2F2" w:val="clear"/>
        <w:spacing w:after="120"/>
      </w:pPr>
      <w:r>
        <w:rPr>
          <w:rFonts w:ascii="Consolas" w:cs="Consolas" w:eastAsia="Consolas" w:hAnsi="Consolas"/>
          <w:sz w:val="18"/>
          <w:szCs w:val="18"/>
        </w:rPr>
        <w:t xml:space="preserve">highest_product = file.groupby('product_line')['unit_price'].sum()</w:t>
      </w:r>
      <w:r>
        <w:rPr>
          <w:rFonts w:ascii="Consolas" w:cs="Consolas" w:eastAsia="Consolas" w:hAnsi="Consolas"/>
          <w:sz w:val="18"/>
          <w:szCs w:val="18"/>
        </w:rPr>
        <w:br/>
        <w:t xml:space="preserve">highest_product.sort_values(ascending=False)</w:t>
      </w:r>
    </w:p>
    <w:p>
      <w:pPr>
        <w:spacing w:after="120"/>
      </w:pPr>
      <w:r>
        <w:t xml:space="preserve">Example: filtering for Fashion Accessories purchases by female customers.</w:t>
      </w:r>
    </w:p>
    <w:p>
      <w:pPr>
        <w:pBdr>
          <w:top w:val="single" w:color="CCCCCC" w:sz="2"/>
          <w:bottom w:val="single" w:color="CCCCCC" w:sz="2"/>
          <w:left w:val="single" w:color="CCCCCC" w:sz="2"/>
          <w:right w:val="single" w:color="CCCCCC" w:sz="2"/>
        </w:pBdr>
        <w:shd w:fill="F2F2F2" w:val="clear"/>
        <w:spacing w:after="120"/>
      </w:pPr>
      <w:r>
        <w:rPr>
          <w:rFonts w:ascii="Consolas" w:cs="Consolas" w:eastAsia="Consolas" w:hAnsi="Consolas"/>
          <w:sz w:val="18"/>
          <w:szCs w:val="18"/>
        </w:rPr>
        <w:t xml:space="preserve">file.invoiceID[(file.product_line == "Fashion accessories") &amp; (file.Gender == "Female")].count()</w:t>
      </w:r>
    </w:p>
    <w:p>
      <w:pPr>
        <w:pStyle w:val="Heading1"/>
        <w:spacing w:after="150" w:before="300"/>
      </w:pPr>
      <w:r>
        <w:t xml:space="preserve">8. Tools Used</w:t>
      </w:r>
    </w:p>
    <w:p>
      <w:pPr>
        <w:pStyle w:val="ListParagraph"/>
        <w:numPr>
          <w:ilvl w:val="0"/>
          <w:numId w:val="2"/>
        </w:numPr>
        <w:spacing w:after="60"/>
      </w:pPr>
      <w:r>
        <w:t xml:space="preserve">Python</w:t>
      </w:r>
    </w:p>
    <w:p>
      <w:pPr>
        <w:pStyle w:val="ListParagraph"/>
        <w:numPr>
          <w:ilvl w:val="0"/>
          <w:numId w:val="2"/>
        </w:numPr>
        <w:spacing w:after="60"/>
      </w:pPr>
      <w:r>
        <w:t xml:space="preserve">Pandas - data loading, renaming, filtering, and aggregation</w:t>
      </w:r>
    </w:p>
    <w:p>
      <w:pPr>
        <w:pStyle w:val="ListParagraph"/>
        <w:numPr>
          <w:ilvl w:val="0"/>
          <w:numId w:val="2"/>
        </w:numPr>
        <w:spacing w:after="60"/>
      </w:pPr>
      <w:r>
        <w:t xml:space="preserve">NumPy - numerical operations</w:t>
      </w:r>
    </w:p>
    <w:p>
      <w:pPr>
        <w:pStyle w:val="ListParagraph"/>
        <w:numPr>
          <w:ilvl w:val="0"/>
          <w:numId w:val="2"/>
        </w:numPr>
        <w:spacing w:after="60"/>
      </w:pPr>
      <w:r>
        <w:t xml:space="preserve">Matplotlib - visualization (histograms, bar charts, pie charts, scatter plots)</w:t>
      </w:r>
    </w:p>
    <w:p>
      <w:pPr>
        <w:pStyle w:val="ListParagraph"/>
        <w:numPr>
          <w:ilvl w:val="0"/>
          <w:numId w:val="2"/>
        </w:numPr>
        <w:spacing w:after="60"/>
      </w:pPr>
      <w:r>
        <w:t xml:space="preserve">Jupyter Notebook - documenting code, outputs, and explanations</w:t>
      </w:r>
    </w:p>
    <w:p>
      <w:pPr>
        <w:pStyle w:val="Heading1"/>
        <w:spacing w:after="150" w:before="300"/>
      </w:pPr>
      <w:r>
        <w:t xml:space="preserve">9. Conclusion</w:t>
      </w:r>
    </w:p>
    <w:p>
      <w:pPr>
        <w:spacing w:after="120"/>
      </w:pPr>
      <w:r>
        <w:t xml:space="preserve">This project provides a practical demonstration of univariate, bivariate, and multivariate analysis techniques on a single sales dataset. Fashion accessories and Food and beverages emerge as the strongest product lines by unit price volume, female customers make up roughly half of Fashion Accessories purchases, and sales, income, and ratings all show meaningful variation across branches, cities, and customer segments. The project also highlights two small but instructive bugs - a reminder of the importance of calling Matplotlib labeling functions correctly and matching array dimensions when building bar charts.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2026-10-01T08:17:52.161Z</dcterms:created>
  <dcterms:modified xsi:type="dcterms:W3CDTF">2026-10-01T08:17:52.169Z</dcterms:modified>
</cp:coreProperties>
</file>

<file path=docProps/custom.xml><?xml version="1.0" encoding="utf-8"?>
<Properties xmlns="http://schemas.openxmlformats.org/officeDocument/2006/custom-properties" xmlns:vt="http://schemas.openxmlformats.org/officeDocument/2006/docPropsVTypes"/>
</file>