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357"/>
        <w:gridCol w:w="2746"/>
        <w:gridCol w:w="3658"/>
      </w:tblGrid>
      <w:tr w:rsidR="00060D56" w:rsidRPr="00060D56" w14:paraId="5F59F025" w14:textId="77777777" w:rsidTr="00060D56">
        <w:trPr>
          <w:trHeight w:val="699"/>
        </w:trPr>
        <w:tc>
          <w:tcPr>
            <w:tcW w:w="811" w:type="pct"/>
            <w:shd w:val="clear" w:color="FFC000" w:fill="FFC000"/>
            <w:noWrap/>
            <w:hideMark/>
          </w:tcPr>
          <w:p w14:paraId="33A6C16E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bCs/>
                <w:lang w:eastAsia="en-GB"/>
              </w:rPr>
              <w:t>Drug Class</w:t>
            </w:r>
          </w:p>
        </w:tc>
        <w:tc>
          <w:tcPr>
            <w:tcW w:w="1127" w:type="pct"/>
            <w:shd w:val="clear" w:color="FFC000" w:fill="FFC000"/>
            <w:noWrap/>
            <w:hideMark/>
          </w:tcPr>
          <w:p w14:paraId="1F576670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bCs/>
                <w:lang w:eastAsia="en-GB"/>
              </w:rPr>
              <w:t>Compound</w:t>
            </w:r>
          </w:p>
        </w:tc>
        <w:tc>
          <w:tcPr>
            <w:tcW w:w="1313" w:type="pct"/>
            <w:shd w:val="clear" w:color="FFC000" w:fill="FFC000"/>
            <w:noWrap/>
            <w:hideMark/>
          </w:tcPr>
          <w:p w14:paraId="7701A97B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bCs/>
                <w:lang w:eastAsia="en-GB"/>
              </w:rPr>
              <w:t>StarDrop LogD at pH7.4</w:t>
            </w:r>
          </w:p>
        </w:tc>
        <w:tc>
          <w:tcPr>
            <w:tcW w:w="1749" w:type="pct"/>
            <w:shd w:val="clear" w:color="FFC000" w:fill="FFC000"/>
            <w:noWrap/>
            <w:hideMark/>
          </w:tcPr>
          <w:p w14:paraId="15CFC8E0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bCs/>
                <w:lang w:eastAsia="en-GB"/>
              </w:rPr>
              <w:t>Sur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v</w:t>
            </w:r>
            <w:r w:rsidRPr="00060D56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ival % In vivo efficacy in galleria mellonella larvae (20 </w:t>
            </w:r>
            <w:proofErr w:type="spellStart"/>
            <w:r w:rsidRPr="00060D56">
              <w:rPr>
                <w:rFonts w:ascii="Calibri" w:eastAsia="Times New Roman" w:hAnsi="Calibri" w:cs="Calibri"/>
                <w:b/>
                <w:bCs/>
                <w:lang w:eastAsia="en-GB"/>
              </w:rPr>
              <w:t>uM</w:t>
            </w:r>
            <w:proofErr w:type="spellEnd"/>
            <w:r w:rsidRPr="00060D56">
              <w:rPr>
                <w:rFonts w:ascii="Calibri" w:eastAsia="Times New Roman" w:hAnsi="Calibri" w:cs="Calibri"/>
                <w:b/>
                <w:bCs/>
                <w:lang w:eastAsia="en-GB"/>
              </w:rPr>
              <w:t>/larvae)</w:t>
            </w:r>
          </w:p>
        </w:tc>
      </w:tr>
      <w:tr w:rsidR="00060D56" w:rsidRPr="00060D56" w14:paraId="754BD2C8" w14:textId="77777777" w:rsidTr="00060D56">
        <w:trPr>
          <w:trHeight w:val="315"/>
        </w:trPr>
        <w:tc>
          <w:tcPr>
            <w:tcW w:w="811" w:type="pct"/>
            <w:shd w:val="clear" w:color="auto" w:fill="auto"/>
            <w:noWrap/>
            <w:hideMark/>
          </w:tcPr>
          <w:p w14:paraId="185EB32E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Fenarimol</w:t>
            </w:r>
          </w:p>
        </w:tc>
        <w:tc>
          <w:tcPr>
            <w:tcW w:w="1127" w:type="pct"/>
            <w:shd w:val="clear" w:color="auto" w:fill="auto"/>
            <w:noWrap/>
            <w:vAlign w:val="bottom"/>
            <w:hideMark/>
          </w:tcPr>
          <w:p w14:paraId="040CA93B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EPL-BS0178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74C4F4C7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2.254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42EF66E9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36.67</w:t>
            </w:r>
          </w:p>
        </w:tc>
      </w:tr>
      <w:tr w:rsidR="00060D56" w:rsidRPr="00060D56" w14:paraId="45E0F7B9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78E23033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Fenarimol</w:t>
            </w:r>
          </w:p>
        </w:tc>
        <w:tc>
          <w:tcPr>
            <w:tcW w:w="1127" w:type="pct"/>
            <w:shd w:val="clear" w:color="auto" w:fill="auto"/>
            <w:noWrap/>
            <w:vAlign w:val="bottom"/>
            <w:hideMark/>
          </w:tcPr>
          <w:p w14:paraId="186003F3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EPL-BS0495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368438A6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2.494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097E1B10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24.14</w:t>
            </w:r>
          </w:p>
        </w:tc>
      </w:tr>
      <w:tr w:rsidR="00060D56" w:rsidRPr="00060D56" w14:paraId="27BF3051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628C55E9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Fenarimol</w:t>
            </w:r>
          </w:p>
        </w:tc>
        <w:tc>
          <w:tcPr>
            <w:tcW w:w="1127" w:type="pct"/>
            <w:shd w:val="clear" w:color="auto" w:fill="auto"/>
            <w:noWrap/>
            <w:vAlign w:val="bottom"/>
            <w:hideMark/>
          </w:tcPr>
          <w:p w14:paraId="3CC8C674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EPL-BS1025 (S) ena</w:t>
            </w: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n</w:t>
            </w: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tiomer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7D721ED0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3.465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1E150721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19.23</w:t>
            </w:r>
          </w:p>
        </w:tc>
      </w:tr>
      <w:tr w:rsidR="00060D56" w:rsidRPr="00060D56" w14:paraId="164F1B67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6CAD5729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Fenarimol</w:t>
            </w:r>
          </w:p>
        </w:tc>
        <w:tc>
          <w:tcPr>
            <w:tcW w:w="1127" w:type="pct"/>
            <w:shd w:val="clear" w:color="auto" w:fill="auto"/>
            <w:noWrap/>
            <w:vAlign w:val="bottom"/>
            <w:hideMark/>
          </w:tcPr>
          <w:p w14:paraId="50F5A187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EPL-BS0800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7A428597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3.078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650BF1FB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10</w:t>
            </w:r>
          </w:p>
        </w:tc>
      </w:tr>
      <w:tr w:rsidR="00060D56" w:rsidRPr="00060D56" w14:paraId="78730B42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73DB0380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Fenarimol</w:t>
            </w:r>
          </w:p>
        </w:tc>
        <w:tc>
          <w:tcPr>
            <w:tcW w:w="1127" w:type="pct"/>
            <w:shd w:val="clear" w:color="auto" w:fill="auto"/>
            <w:noWrap/>
            <w:vAlign w:val="bottom"/>
            <w:hideMark/>
          </w:tcPr>
          <w:p w14:paraId="34223179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EPL-BS1246, MMV689244 (racemate)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1ED0BF0F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3.465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493E5C98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B05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7.14</w:t>
            </w:r>
          </w:p>
        </w:tc>
      </w:tr>
      <w:tr w:rsidR="00060D56" w:rsidRPr="00060D56" w14:paraId="37F0D46F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7083CD39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7030A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7030A0"/>
                <w:lang w:eastAsia="en-GB"/>
              </w:rPr>
              <w:t>Azole</w:t>
            </w:r>
          </w:p>
        </w:tc>
        <w:tc>
          <w:tcPr>
            <w:tcW w:w="1127" w:type="pct"/>
            <w:shd w:val="clear" w:color="auto" w:fill="auto"/>
            <w:noWrap/>
            <w:vAlign w:val="bottom"/>
            <w:hideMark/>
          </w:tcPr>
          <w:p w14:paraId="0B64F36E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7030A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7030A0"/>
                <w:lang w:eastAsia="en-GB"/>
              </w:rPr>
              <w:t>MMV688774 (Posaconazole)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3ADB6FD8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7030A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7030A0"/>
                <w:lang w:eastAsia="en-GB"/>
              </w:rPr>
              <w:t>3.512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0F5E83BE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7030A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7030A0"/>
                <w:lang w:eastAsia="en-GB"/>
              </w:rPr>
              <w:t>18.6</w:t>
            </w:r>
          </w:p>
        </w:tc>
      </w:tr>
      <w:tr w:rsidR="00060D56" w:rsidRPr="00060D56" w14:paraId="421A035C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2D1279F2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7030A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7030A0"/>
                <w:lang w:eastAsia="en-GB"/>
              </w:rPr>
              <w:t>Azole</w:t>
            </w:r>
          </w:p>
        </w:tc>
        <w:tc>
          <w:tcPr>
            <w:tcW w:w="1127" w:type="pct"/>
            <w:shd w:val="clear" w:color="auto" w:fill="auto"/>
            <w:noWrap/>
            <w:vAlign w:val="bottom"/>
            <w:hideMark/>
          </w:tcPr>
          <w:p w14:paraId="38DD07AA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7030A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7030A0"/>
                <w:lang w:eastAsia="en-GB"/>
              </w:rPr>
              <w:t>MMV688943 (Difenoconazole)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127BDAEE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7030A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7030A0"/>
                <w:lang w:eastAsia="en-GB"/>
              </w:rPr>
              <w:t>4.3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348A8B98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7030A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7030A0"/>
                <w:lang w:eastAsia="en-GB"/>
              </w:rPr>
              <w:t>13.79</w:t>
            </w:r>
          </w:p>
        </w:tc>
      </w:tr>
      <w:tr w:rsidR="00060D56" w:rsidRPr="00060D56" w14:paraId="63D76181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7AFFC2A6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7030A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7030A0"/>
                <w:lang w:eastAsia="en-GB"/>
              </w:rPr>
              <w:t>Azole</w:t>
            </w:r>
          </w:p>
        </w:tc>
        <w:tc>
          <w:tcPr>
            <w:tcW w:w="1127" w:type="pct"/>
            <w:shd w:val="clear" w:color="auto" w:fill="auto"/>
            <w:noWrap/>
            <w:vAlign w:val="bottom"/>
            <w:hideMark/>
          </w:tcPr>
          <w:p w14:paraId="40DB5F87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7030A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7030A0"/>
                <w:lang w:eastAsia="en-GB"/>
              </w:rPr>
              <w:t>MMV688942 (Bitertanol)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3AEC9662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7030A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7030A0"/>
                <w:lang w:eastAsia="en-GB"/>
              </w:rPr>
              <w:t>4.16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21520D5D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7030A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7030A0"/>
                <w:lang w:eastAsia="en-GB"/>
              </w:rPr>
              <w:t>11.54</w:t>
            </w:r>
          </w:p>
        </w:tc>
      </w:tr>
      <w:tr w:rsidR="00060D56" w:rsidRPr="00060D56" w14:paraId="77FDDE7B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58C47EF5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ED7D31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ED7D31"/>
                <w:lang w:eastAsia="en-GB"/>
              </w:rPr>
              <w:t>Strobilurin</w:t>
            </w:r>
          </w:p>
        </w:tc>
        <w:tc>
          <w:tcPr>
            <w:tcW w:w="1127" w:type="pct"/>
            <w:shd w:val="clear" w:color="auto" w:fill="auto"/>
            <w:noWrap/>
            <w:vAlign w:val="bottom"/>
            <w:hideMark/>
          </w:tcPr>
          <w:p w14:paraId="054768D4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ED7D31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ED7D31"/>
                <w:lang w:eastAsia="en-GB"/>
              </w:rPr>
              <w:t>MMV688754 (Trifloxystrobin)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1F8D4F1B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ED7D31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ED7D31"/>
                <w:lang w:eastAsia="en-GB"/>
              </w:rPr>
              <w:t>4.233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0B207A3B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ED7D31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ED7D31"/>
                <w:lang w:eastAsia="en-GB"/>
              </w:rPr>
              <w:t>15.56</w:t>
            </w:r>
          </w:p>
        </w:tc>
      </w:tr>
      <w:tr w:rsidR="00060D56" w:rsidRPr="00060D56" w14:paraId="24AA61F4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614D0599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ED7D31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ED7D31"/>
                <w:lang w:eastAsia="en-GB"/>
              </w:rPr>
              <w:t>Strobilurin</w:t>
            </w:r>
          </w:p>
        </w:tc>
        <w:tc>
          <w:tcPr>
            <w:tcW w:w="1127" w:type="pct"/>
            <w:shd w:val="clear" w:color="auto" w:fill="auto"/>
            <w:noWrap/>
            <w:vAlign w:val="bottom"/>
            <w:hideMark/>
          </w:tcPr>
          <w:p w14:paraId="62DCB498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ED7D31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ED7D31"/>
                <w:lang w:eastAsia="en-GB"/>
              </w:rPr>
              <w:t>MMV021057 (Azoxystrobin)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48090848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ED7D31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ED7D31"/>
                <w:lang w:eastAsia="en-GB"/>
              </w:rPr>
              <w:t>3.962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1D8F7C90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ED7D31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ED7D31"/>
                <w:lang w:eastAsia="en-GB"/>
              </w:rPr>
              <w:t>21.43</w:t>
            </w:r>
          </w:p>
        </w:tc>
      </w:tr>
      <w:tr w:rsidR="00060D56" w:rsidRPr="00060D56" w14:paraId="155F4455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377C859D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Pyrazolo-pyrimidine</w:t>
            </w:r>
          </w:p>
        </w:tc>
        <w:tc>
          <w:tcPr>
            <w:tcW w:w="1127" w:type="pct"/>
            <w:shd w:val="clear" w:color="auto" w:fill="auto"/>
            <w:noWrap/>
            <w:hideMark/>
          </w:tcPr>
          <w:p w14:paraId="3F1EA5D0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MMV022478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15CBE4DF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3.051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4A17FD5A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18.52</w:t>
            </w:r>
          </w:p>
        </w:tc>
      </w:tr>
      <w:tr w:rsidR="00060D56" w:rsidRPr="00060D56" w14:paraId="2E539526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02CD342B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Benzamide</w:t>
            </w:r>
          </w:p>
        </w:tc>
        <w:tc>
          <w:tcPr>
            <w:tcW w:w="1127" w:type="pct"/>
            <w:shd w:val="clear" w:color="auto" w:fill="auto"/>
            <w:noWrap/>
            <w:hideMark/>
          </w:tcPr>
          <w:p w14:paraId="15570D72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MMV687807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47AB8E41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4.647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1B7D3B2B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6.9</w:t>
            </w:r>
          </w:p>
        </w:tc>
      </w:tr>
      <w:tr w:rsidR="00060D56" w:rsidRPr="00060D56" w14:paraId="1919D4A9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578D92F1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Quinazoline</w:t>
            </w:r>
          </w:p>
        </w:tc>
        <w:tc>
          <w:tcPr>
            <w:tcW w:w="1127" w:type="pct"/>
            <w:shd w:val="clear" w:color="auto" w:fill="auto"/>
            <w:noWrap/>
            <w:hideMark/>
          </w:tcPr>
          <w:p w14:paraId="6D4B13F8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MMV675968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744A0AED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2.028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57920D6C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23.33</w:t>
            </w:r>
          </w:p>
        </w:tc>
      </w:tr>
      <w:tr w:rsidR="00060D56" w:rsidRPr="00060D56" w14:paraId="63B56577" w14:textId="77777777" w:rsidTr="00060D56">
        <w:trPr>
          <w:trHeight w:val="300"/>
        </w:trPr>
        <w:tc>
          <w:tcPr>
            <w:tcW w:w="811" w:type="pct"/>
            <w:shd w:val="clear" w:color="auto" w:fill="auto"/>
            <w:noWrap/>
            <w:hideMark/>
          </w:tcPr>
          <w:p w14:paraId="0F000481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2-aminothiazole</w:t>
            </w:r>
          </w:p>
        </w:tc>
        <w:tc>
          <w:tcPr>
            <w:tcW w:w="1127" w:type="pct"/>
            <w:shd w:val="clear" w:color="auto" w:fill="auto"/>
            <w:noWrap/>
            <w:hideMark/>
          </w:tcPr>
          <w:p w14:paraId="0EB989AE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MMV006357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7EE39041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2.235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7B2208B8" w14:textId="77777777" w:rsidR="00060D56" w:rsidRPr="00060D56" w:rsidRDefault="00060D56" w:rsidP="00060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70C0"/>
                <w:lang w:eastAsia="en-GB"/>
              </w:rPr>
            </w:pPr>
            <w:r w:rsidRPr="00060D56">
              <w:rPr>
                <w:rFonts w:ascii="Calibri" w:eastAsia="Times New Roman" w:hAnsi="Calibri" w:cs="Calibri"/>
                <w:b/>
                <w:color w:val="0070C0"/>
                <w:lang w:eastAsia="en-GB"/>
              </w:rPr>
              <w:t>28.57</w:t>
            </w:r>
          </w:p>
        </w:tc>
      </w:tr>
    </w:tbl>
    <w:p w14:paraId="4102725A" w14:textId="77777777" w:rsidR="00904591" w:rsidRDefault="00060D56">
      <w:pPr>
        <w:rPr>
          <w:color w:val="0070C0"/>
        </w:rPr>
      </w:pPr>
      <w:r>
        <w:rPr>
          <w:color w:val="0070C0"/>
        </w:rPr>
        <w:t xml:space="preserve">  </w:t>
      </w:r>
      <w:bookmarkStart w:id="0" w:name="_GoBack"/>
      <w:r>
        <w:rPr>
          <w:noProof/>
        </w:rPr>
        <w:drawing>
          <wp:inline distT="0" distB="0" distL="0" distR="0" wp14:anchorId="442A3254" wp14:editId="21D99D6E">
            <wp:extent cx="6645910" cy="3164840"/>
            <wp:effectExtent l="0" t="0" r="2540" b="165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EF84CAA-35F9-4AAE-B481-87D4DFF2F1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15E9C4A9" w14:textId="77777777" w:rsidR="00060D56" w:rsidRPr="00060D56" w:rsidRDefault="00060D56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3479416E" wp14:editId="2ACFE2D8">
            <wp:extent cx="66008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D56" w:rsidRPr="00060D56" w:rsidSect="00060D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56"/>
    <w:rsid w:val="00060D56"/>
    <w:rsid w:val="00416800"/>
    <w:rsid w:val="00904591"/>
    <w:rsid w:val="00EE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2AFE"/>
  <w15:chartTrackingRefBased/>
  <w15:docId w15:val="{DDE5B9BC-43B5-4A34-B5CA-8FE043DF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baseline="0">
                <a:effectLst/>
              </a:rPr>
              <a:t>In vivo larvae survival versus LogD at pH7.4</a:t>
            </a:r>
            <a:endParaRPr lang="en-GB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diamond"/>
              <c:size val="12"/>
              <c:spPr>
                <a:solidFill>
                  <a:srgbClr val="00B050"/>
                </a:solidFill>
                <a:ln w="9525">
                  <a:solidFill>
                    <a:srgbClr val="00B05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C3E8-4F56-A79E-935FCD59BFB8}"/>
              </c:ext>
            </c:extLst>
          </c:dPt>
          <c:dPt>
            <c:idx val="1"/>
            <c:marker>
              <c:symbol val="diamond"/>
              <c:size val="12"/>
              <c:spPr>
                <a:solidFill>
                  <a:srgbClr val="00B050"/>
                </a:solidFill>
                <a:ln w="9525">
                  <a:solidFill>
                    <a:srgbClr val="00B05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C3E8-4F56-A79E-935FCD59BFB8}"/>
              </c:ext>
            </c:extLst>
          </c:dPt>
          <c:dPt>
            <c:idx val="2"/>
            <c:marker>
              <c:symbol val="diamond"/>
              <c:size val="12"/>
              <c:spPr>
                <a:solidFill>
                  <a:srgbClr val="00B050"/>
                </a:solidFill>
                <a:ln w="9525">
                  <a:solidFill>
                    <a:srgbClr val="00B05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C3E8-4F56-A79E-935FCD59BFB8}"/>
              </c:ext>
            </c:extLst>
          </c:dPt>
          <c:dPt>
            <c:idx val="3"/>
            <c:marker>
              <c:symbol val="diamond"/>
              <c:size val="12"/>
              <c:spPr>
                <a:solidFill>
                  <a:srgbClr val="00B050"/>
                </a:solidFill>
                <a:ln w="9525">
                  <a:solidFill>
                    <a:srgbClr val="00B05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C3E8-4F56-A79E-935FCD59BFB8}"/>
              </c:ext>
            </c:extLst>
          </c:dPt>
          <c:dPt>
            <c:idx val="4"/>
            <c:marker>
              <c:symbol val="diamond"/>
              <c:size val="12"/>
              <c:spPr>
                <a:solidFill>
                  <a:srgbClr val="00B050"/>
                </a:solidFill>
                <a:ln w="9525">
                  <a:solidFill>
                    <a:srgbClr val="00B05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C3E8-4F56-A79E-935FCD59BFB8}"/>
              </c:ext>
            </c:extLst>
          </c:dPt>
          <c:dPt>
            <c:idx val="5"/>
            <c:marker>
              <c:symbol val="triangle"/>
              <c:size val="12"/>
              <c:spPr>
                <a:solidFill>
                  <a:srgbClr val="7030A0"/>
                </a:solidFill>
                <a:ln w="9525">
                  <a:solidFill>
                    <a:srgbClr val="7030A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C3E8-4F56-A79E-935FCD59BFB8}"/>
              </c:ext>
            </c:extLst>
          </c:dPt>
          <c:dPt>
            <c:idx val="7"/>
            <c:marker>
              <c:symbol val="plus"/>
              <c:size val="12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C3E8-4F56-A79E-935FCD59BFB8}"/>
              </c:ext>
            </c:extLst>
          </c:dPt>
          <c:dPt>
            <c:idx val="8"/>
            <c:marker>
              <c:symbol val="triangle"/>
              <c:size val="12"/>
              <c:spPr>
                <a:solidFill>
                  <a:srgbClr val="7030A0"/>
                </a:solidFill>
                <a:ln w="9525">
                  <a:solidFill>
                    <a:srgbClr val="7030A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C3E8-4F56-A79E-935FCD59BFB8}"/>
              </c:ext>
            </c:extLst>
          </c:dPt>
          <c:dPt>
            <c:idx val="9"/>
            <c:marker>
              <c:symbol val="triangle"/>
              <c:size val="12"/>
              <c:spPr>
                <a:solidFill>
                  <a:srgbClr val="7030A0"/>
                </a:solidFill>
                <a:ln w="9525">
                  <a:solidFill>
                    <a:srgbClr val="7030A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C3E8-4F56-A79E-935FCD59BFB8}"/>
              </c:ext>
            </c:extLst>
          </c:dPt>
          <c:dPt>
            <c:idx val="10"/>
            <c:marker>
              <c:symbol val="plus"/>
              <c:size val="12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C3E8-4F56-A79E-935FCD59BFB8}"/>
              </c:ext>
            </c:extLst>
          </c:dPt>
          <c:dLbls>
            <c:dLbl>
              <c:idx val="1"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3E8-4F56-A79E-935FCD59BFB8}"/>
                </c:ext>
              </c:extLst>
            </c:dLbl>
            <c:dLbl>
              <c:idx val="2"/>
              <c:dLblPos val="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3E8-4F56-A79E-935FCD59BFB8}"/>
                </c:ext>
              </c:extLst>
            </c:dLbl>
            <c:dLbl>
              <c:idx val="5"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3E8-4F56-A79E-935FCD59BFB8}"/>
                </c:ext>
              </c:extLst>
            </c:dLbl>
            <c:dLbl>
              <c:idx val="7"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3E8-4F56-A79E-935FCD59BFB8}"/>
                </c:ext>
              </c:extLst>
            </c:dLbl>
            <c:dLbl>
              <c:idx val="8"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3E8-4F56-A79E-935FCD59BFB8}"/>
                </c:ext>
              </c:extLst>
            </c:dLbl>
            <c:dLbl>
              <c:idx val="10"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C3E8-4F56-A79E-935FCD59BFB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[1]Sheet3!$B$4:$B$17</c:f>
              <c:numCache>
                <c:formatCode>General</c:formatCode>
                <c:ptCount val="14"/>
                <c:pt idx="0">
                  <c:v>2.254</c:v>
                </c:pt>
                <c:pt idx="1">
                  <c:v>2.4940000000000002</c:v>
                </c:pt>
                <c:pt idx="2">
                  <c:v>3.4649999999999999</c:v>
                </c:pt>
                <c:pt idx="3">
                  <c:v>3.0779999999999998</c:v>
                </c:pt>
                <c:pt idx="4">
                  <c:v>3.4649999999999999</c:v>
                </c:pt>
                <c:pt idx="5">
                  <c:v>3.512</c:v>
                </c:pt>
                <c:pt idx="6">
                  <c:v>3.0510000000000002</c:v>
                </c:pt>
                <c:pt idx="7">
                  <c:v>4.2329999999999997</c:v>
                </c:pt>
                <c:pt idx="8">
                  <c:v>4.3</c:v>
                </c:pt>
                <c:pt idx="9">
                  <c:v>4.16</c:v>
                </c:pt>
                <c:pt idx="10">
                  <c:v>3.9620000000000002</c:v>
                </c:pt>
                <c:pt idx="11">
                  <c:v>4.6470000000000002</c:v>
                </c:pt>
                <c:pt idx="12">
                  <c:v>2.028</c:v>
                </c:pt>
                <c:pt idx="13">
                  <c:v>2.2349999999999999</c:v>
                </c:pt>
              </c:numCache>
            </c:numRef>
          </c:xVal>
          <c:yVal>
            <c:numRef>
              <c:f>[1]Sheet3!$C$4:$C$17</c:f>
              <c:numCache>
                <c:formatCode>General</c:formatCode>
                <c:ptCount val="14"/>
                <c:pt idx="0">
                  <c:v>36.67</c:v>
                </c:pt>
                <c:pt idx="1">
                  <c:v>24.14</c:v>
                </c:pt>
                <c:pt idx="2">
                  <c:v>19.23</c:v>
                </c:pt>
                <c:pt idx="3">
                  <c:v>10</c:v>
                </c:pt>
                <c:pt idx="4">
                  <c:v>7.14</c:v>
                </c:pt>
                <c:pt idx="5">
                  <c:v>18.600000000000001</c:v>
                </c:pt>
                <c:pt idx="6">
                  <c:v>18.52</c:v>
                </c:pt>
                <c:pt idx="7">
                  <c:v>15.56</c:v>
                </c:pt>
                <c:pt idx="8">
                  <c:v>13.79</c:v>
                </c:pt>
                <c:pt idx="9">
                  <c:v>11.54</c:v>
                </c:pt>
                <c:pt idx="10">
                  <c:v>21.43</c:v>
                </c:pt>
                <c:pt idx="11">
                  <c:v>6.9</c:v>
                </c:pt>
                <c:pt idx="12">
                  <c:v>23.33</c:v>
                </c:pt>
                <c:pt idx="13">
                  <c:v>28.57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C3E8-4F56-A79E-935FCD59BFB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884228431"/>
        <c:axId val="894807935"/>
      </c:scatterChart>
      <c:valAx>
        <c:axId val="884228431"/>
        <c:scaling>
          <c:orientation val="minMax"/>
          <c:min val="1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StarDrop-generated LogD at pH7.4</a:t>
                </a:r>
              </a:p>
              <a:p>
                <a:pPr>
                  <a:defRPr/>
                </a:pP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807935"/>
        <c:crosses val="autoZero"/>
        <c:crossBetween val="midCat"/>
      </c:valAx>
      <c:valAx>
        <c:axId val="89480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% survival of larvae after 10 days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228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0.11483</cdr:x>
      <cdr:y>0.89837</cdr:y>
    </cdr:from>
    <cdr:to>
      <cdr:x>0.7733</cdr:x>
      <cdr:y>0.98194</cdr:y>
    </cdr:to>
    <cdr:sp macro="" textlink="">
      <cdr:nvSpPr>
        <cdr:cNvPr id="6" name="TextBox 5">
          <a:extLst xmlns:a="http://schemas.openxmlformats.org/drawingml/2006/main">
            <a:ext uri="{FF2B5EF4-FFF2-40B4-BE49-F238E27FC236}">
              <a16:creationId xmlns:a16="http://schemas.microsoft.com/office/drawing/2014/main" id="{4A0DDD49-64E6-482D-B2E8-0DD960840898}"/>
            </a:ext>
          </a:extLst>
        </cdr:cNvPr>
        <cdr:cNvSpPr txBox="1"/>
      </cdr:nvSpPr>
      <cdr:spPr>
        <a:xfrm xmlns:a="http://schemas.openxmlformats.org/drawingml/2006/main">
          <a:off x="763136" y="2843204"/>
          <a:ext cx="4376132" cy="2644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GB" sz="1100"/>
            <a:t>                                :  Fenarimol             : Azole                   </a:t>
          </a:r>
          <a:r>
            <a:rPr lang="en-GB" sz="1100" baseline="0"/>
            <a:t> </a:t>
          </a:r>
          <a:r>
            <a:rPr lang="en-GB" sz="1100"/>
            <a:t>:  Strobilurin        :  Others</a:t>
          </a:r>
        </a:p>
      </cdr:txBody>
    </cdr:sp>
  </cdr:relSizeAnchor>
  <cdr:relSizeAnchor xmlns:cdr="http://schemas.openxmlformats.org/drawingml/2006/chartDrawing">
    <cdr:from>
      <cdr:x>0.41508</cdr:x>
      <cdr:y>0.91587</cdr:y>
    </cdr:from>
    <cdr:to>
      <cdr:x>0.43386</cdr:x>
      <cdr:y>0.95147</cdr:y>
    </cdr:to>
    <cdr:sp macro="" textlink="">
      <cdr:nvSpPr>
        <cdr:cNvPr id="2" name="Isosceles Triangle 1">
          <a:extLst xmlns:a="http://schemas.openxmlformats.org/drawingml/2006/main">
            <a:ext uri="{FF2B5EF4-FFF2-40B4-BE49-F238E27FC236}">
              <a16:creationId xmlns:a16="http://schemas.microsoft.com/office/drawing/2014/main" id="{007CF6B4-9A71-40BB-8BFC-BF3618AA594C}"/>
            </a:ext>
          </a:extLst>
        </cdr:cNvPr>
        <cdr:cNvSpPr/>
      </cdr:nvSpPr>
      <cdr:spPr>
        <a:xfrm xmlns:a="http://schemas.openxmlformats.org/drawingml/2006/main">
          <a:off x="2758606" y="2898586"/>
          <a:ext cx="124810" cy="112668"/>
        </a:xfrm>
        <a:prstGeom xmlns:a="http://schemas.openxmlformats.org/drawingml/2006/main" prst="triangle">
          <a:avLst/>
        </a:prstGeom>
        <a:solidFill xmlns:a="http://schemas.openxmlformats.org/drawingml/2006/main">
          <a:srgbClr val="7030A0"/>
        </a:solidFill>
        <a:ln xmlns:a="http://schemas.openxmlformats.org/drawingml/2006/main">
          <a:solidFill>
            <a:srgbClr val="7030A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0.24823</cdr:x>
      <cdr:y>0.92355</cdr:y>
    </cdr:from>
    <cdr:to>
      <cdr:x>0.2696</cdr:x>
      <cdr:y>0.96011</cdr:y>
    </cdr:to>
    <cdr:sp macro="" textlink="">
      <cdr:nvSpPr>
        <cdr:cNvPr id="3" name="Diamond 2">
          <a:extLst xmlns:a="http://schemas.openxmlformats.org/drawingml/2006/main">
            <a:ext uri="{FF2B5EF4-FFF2-40B4-BE49-F238E27FC236}">
              <a16:creationId xmlns:a16="http://schemas.microsoft.com/office/drawing/2014/main" id="{27CA36BB-4003-4C5C-828C-CB5B57877ACC}"/>
            </a:ext>
          </a:extLst>
        </cdr:cNvPr>
        <cdr:cNvSpPr/>
      </cdr:nvSpPr>
      <cdr:spPr>
        <a:xfrm xmlns:a="http://schemas.openxmlformats.org/drawingml/2006/main">
          <a:off x="1649690" y="2922890"/>
          <a:ext cx="142024" cy="115707"/>
        </a:xfrm>
        <a:prstGeom xmlns:a="http://schemas.openxmlformats.org/drawingml/2006/main" prst="diamond">
          <a:avLst/>
        </a:prstGeom>
        <a:solidFill xmlns:a="http://schemas.openxmlformats.org/drawingml/2006/main">
          <a:srgbClr val="00B050"/>
        </a:solidFill>
        <a:ln xmlns:a="http://schemas.openxmlformats.org/drawingml/2006/main">
          <a:solidFill>
            <a:srgbClr val="00B05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0.56734</cdr:x>
      <cdr:y>0.91992</cdr:y>
    </cdr:from>
    <cdr:to>
      <cdr:x>0.58738</cdr:x>
      <cdr:y>0.95552</cdr:y>
    </cdr:to>
    <cdr:sp macro="" textlink="">
      <cdr:nvSpPr>
        <cdr:cNvPr id="4" name="Flowchart: Process 3">
          <a:extLst xmlns:a="http://schemas.openxmlformats.org/drawingml/2006/main">
            <a:ext uri="{FF2B5EF4-FFF2-40B4-BE49-F238E27FC236}">
              <a16:creationId xmlns:a16="http://schemas.microsoft.com/office/drawing/2014/main" id="{43BE7BB9-768D-4409-9EAB-2E08EBCE1714}"/>
            </a:ext>
          </a:extLst>
        </cdr:cNvPr>
        <cdr:cNvSpPr/>
      </cdr:nvSpPr>
      <cdr:spPr>
        <a:xfrm xmlns:a="http://schemas.openxmlformats.org/drawingml/2006/main">
          <a:off x="3770512" y="2911403"/>
          <a:ext cx="133184" cy="112668"/>
        </a:xfrm>
        <a:prstGeom xmlns:a="http://schemas.openxmlformats.org/drawingml/2006/main" prst="flowChartProcess">
          <a:avLst/>
        </a:prstGeom>
        <a:solidFill xmlns:a="http://schemas.openxmlformats.org/drawingml/2006/main">
          <a:schemeClr val="accent2"/>
        </a:solidFill>
        <a:ln xmlns:a="http://schemas.openxmlformats.org/drawingml/2006/main">
          <a:solidFill>
            <a:schemeClr val="accent2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0.71808</cdr:x>
      <cdr:y>0.93273</cdr:y>
    </cdr:from>
    <cdr:to>
      <cdr:x>0.72513</cdr:x>
      <cdr:y>0.94608</cdr:y>
    </cdr:to>
    <cdr:sp macro="" textlink="">
      <cdr:nvSpPr>
        <cdr:cNvPr id="5" name="Oval 4">
          <a:extLst xmlns:a="http://schemas.openxmlformats.org/drawingml/2006/main">
            <a:ext uri="{FF2B5EF4-FFF2-40B4-BE49-F238E27FC236}">
              <a16:creationId xmlns:a16="http://schemas.microsoft.com/office/drawing/2014/main" id="{08B886AB-42DC-4CD6-B6D0-DDB1C52DDB24}"/>
            </a:ext>
          </a:extLst>
        </cdr:cNvPr>
        <cdr:cNvSpPr/>
      </cdr:nvSpPr>
      <cdr:spPr>
        <a:xfrm xmlns:a="http://schemas.openxmlformats.org/drawingml/2006/main">
          <a:off x="4772274" y="2951945"/>
          <a:ext cx="46853" cy="4225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Chan</dc:creator>
  <cp:keywords/>
  <dc:description/>
  <cp:lastModifiedBy>Rosalyn Chan</cp:lastModifiedBy>
  <cp:revision>1</cp:revision>
  <dcterms:created xsi:type="dcterms:W3CDTF">2019-11-05T13:03:00Z</dcterms:created>
  <dcterms:modified xsi:type="dcterms:W3CDTF">2019-11-05T13:09:00Z</dcterms:modified>
</cp:coreProperties>
</file>