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SUBCONTRACT AGREEMENT</w:t>
      </w:r>
    </w:p>
    <w:p>
      <w:r>
        <w:t xml:space="preserve"/>
      </w:r>
    </w:p>
    <w:p>
      <w:r>
        <w:t xml:space="preserve">This Subcontract is entered into on April 22, 2024 between Brightwater Builders, Inc. ("Contractor") and Keystone Mechanical Services, LLC ("Subcontractor").</w:t>
      </w:r>
    </w:p>
    <w:p>
      <w:r>
        <w:t xml:space="preserve"/>
      </w:r>
    </w:p>
    <w:p>
      <w:r>
        <w:t xml:space="preserve">Project: Harpeth Ridge Medical Office Building, Franklin, Tennessee (Contractor Job No. 24-117).</w:t>
      </w:r>
    </w:p>
    <w:p>
      <w:r>
        <w:t xml:space="preserve"/>
      </w:r>
    </w:p>
    <w:p>
      <w:r>
        <w:t xml:space="preserve">1. Scope. Subcontractor shall furnish and install the complete HVAC system, including all supply, return and exhaust ductwork, in accordance with Drawings M-201 through M-404 and Specification Section 23 31 13 (Metal Ducts).</w:t>
      </w:r>
    </w:p>
    <w:p>
      <w:r>
        <w:t xml:space="preserve"/>
      </w:r>
    </w:p>
    <w:p>
      <w:r>
        <w:t xml:space="preserve">2. Subcontract Price. The Subcontract Price is Two Million One Hundred Ninety-Six Thousand Dollars ($2,196,000.00).</w:t>
      </w:r>
    </w:p>
    <w:p>
      <w:r>
        <w:t xml:space="preserve"/>
      </w:r>
    </w:p>
    <w:p>
      <w:r>
        <w:t xml:space="preserve">3. Materials. Supply trunk ductwork serving Levels 2 through 4 shall be galvanized steel, 20 gauge minimum, as specified. No substitution of materials or gauge shall be made without a written substitution request approved by the Architect.</w:t>
      </w:r>
    </w:p>
    <w:p>
      <w:r>
        <w:t xml:space="preserve"/>
      </w:r>
    </w:p>
    <w:p>
      <w:r>
        <w:t xml:space="preserve">4. Schedule. Subcontractor shall perform its work in accordance with the Contractor's project schedule and shall be liable to the Contractor for delay it causes, including any liquidated damages assessed by the Owner that are attributable to Subcontractor.</w:t>
      </w:r>
    </w:p>
    <w:p>
      <w:r>
        <w:t xml:space="preserve"/>
      </w:r>
    </w:p>
    <w:p>
      <w:r>
        <w:t xml:space="preserve">5. Indemnification. To the fullest extent permitted by law, Subcontractor shall indemnify and hold harmless the Contractor from all claims, damages, losses and expenses arising out of the performance of Subcontractor's work, including the cost of removing and replacing nonconforming work.</w:t>
      </w:r>
    </w:p>
    <w:p>
      <w:r>
        <w:t xml:space="preserve"/>
      </w:r>
    </w:p>
    <w:p>
      <w:r>
        <w:t xml:space="preserve">6. Retainage. Contractor shall retain ten percent (10%) of each progress payment until final completion of Subcontractor's work.</w:t>
      </w:r>
    </w:p>
    <w:p>
      <w:r>
        <w:t xml:space="preserve"/>
      </w:r>
    </w:p>
    <w:p>
      <w:r>
        <w:t xml:space="preserve">Executed:</w:t>
      </w:r>
    </w:p>
    <w:p>
      <w:r>
        <w:t xml:space="preserve"/>
      </w:r>
    </w:p>
    <w:p>
      <w:r>
        <w:t xml:space="preserve">BRIGHTWATER BUILDERS, INC.          KEYSTONE MECHANICAL SERVICES, LLC</w:t>
      </w:r>
    </w:p>
    <w:p>
      <w:r>
        <w:t xml:space="preserve">By: Marcus Oyelaran                 By: Tomasz Wierzbicki, Project Manager</w:t>
      </w:r>
    </w:p>
    <w:p>
      <w:r>
        <w:t xml:space="preserve"/>
      </w:r>
    </w:p>
    <w:sectPr/>
  </w:body>
</w:document>
</file>