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CHANGE ORDER No. 14</w:t>
      </w:r>
    </w:p>
    <w:p>
      <w:r>
        <w:t xml:space="preserve"/>
      </w:r>
    </w:p>
    <w:p>
      <w:r>
        <w:t xml:space="preserve">Project: Harpeth Ridge Medical Office Building, Franklin, Tennessee</w:t>
      </w:r>
    </w:p>
    <w:p>
      <w:r>
        <w:t xml:space="preserve">Date: November 8, 2024</w:t>
      </w:r>
    </w:p>
    <w:p>
      <w:r>
        <w:t xml:space="preserve">Owner: Tallis Development Group, LLC</w:t>
      </w:r>
    </w:p>
    <w:p>
      <w:r>
        <w:t xml:space="preserve">Contractor: Brightwater Builders, Inc.</w:t>
      </w:r>
    </w:p>
    <w:p>
      <w:r>
        <w:t xml:space="preserve">Architect: Lindqvist Rowe Architects, PLLC</w:t>
      </w:r>
    </w:p>
    <w:p>
      <w:r>
        <w:t xml:space="preserve"/>
      </w:r>
    </w:p>
    <w:p>
      <w:r>
        <w:t xml:space="preserve">The Contract is changed as follows:</w:t>
      </w:r>
    </w:p>
    <w:p>
      <w:r>
        <w:t xml:space="preserve"/>
      </w:r>
    </w:p>
    <w:p>
      <w:r>
        <w:t xml:space="preserve">Redesign of the Level 1 imaging suite to accommodate a 3T MRI in place of the 1.5T unit shown on the original drawings, per Architect's Supplemental Instructions ASI-022 and ASI-023, including revised RF shielding, a quench pipe route to the roof, structural reinforcement of the slab at grid lines B-3 through C-5, and a dedicated chilled water loop.</w:t>
      </w:r>
    </w:p>
    <w:p>
      <w:r>
        <w:t xml:space="preserve"/>
      </w:r>
    </w:p>
    <w:p>
      <w:r>
        <w:t xml:space="preserve">Change in Contract Sum: The Contract Sum is increased by Two Hundred Eighty-Six Thousand Four Hundred Dollars ($286,400.00).</w:t>
      </w:r>
    </w:p>
    <w:p>
      <w:r>
        <w:t xml:space="preserve">Original Contract Sum: $14,850,000.00</w:t>
      </w:r>
    </w:p>
    <w:p>
      <w:r>
        <w:t xml:space="preserve">Net change by previous Change Orders: $412,905.00</w:t>
      </w:r>
    </w:p>
    <w:p>
      <w:r>
        <w:t xml:space="preserve">Contract Sum including this Change Order: $15,549,305.00</w:t>
      </w:r>
    </w:p>
    <w:p>
      <w:r>
        <w:t xml:space="preserve"/>
      </w:r>
    </w:p>
    <w:p>
      <w:r>
        <w:t xml:space="preserve">Change in Contract Time: Time impact to be determined. Contractor shall submit any request for adjustment of the Contract Time in accordance with Section 15.1.2 of the Agreement.</w:t>
      </w:r>
    </w:p>
    <w:p>
      <w:r>
        <w:t xml:space="preserve"/>
      </w:r>
    </w:p>
    <w:p>
      <w:r>
        <w:t xml:space="preserve">NOT VALID UNTIL SIGNED BY THE OWNER, CONTRACTOR AND ARCHITECT.</w:t>
      </w:r>
    </w:p>
    <w:p>
      <w:r>
        <w:t xml:space="preserve"/>
      </w:r>
    </w:p>
    <w:sectPr/>
  </w:body>
</w:document>
</file>