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MABRY &amp; COLQUITT LLP</w:t>
      </w:r>
    </w:p>
    <w:p>
      <w:r>
        <w:t xml:space="preserve">PRIVILEGED AND CONFIDENTIAL - ATTORNEY WORK PRODUCT</w:t>
      </w:r>
    </w:p>
    <w:p>
      <w:r>
        <w:t xml:space="preserve">PREPARED IN ANTICIPATION OF LITIGATION</w:t>
      </w:r>
    </w:p>
    <w:p>
      <w:r>
        <w:t xml:space="preserve"/>
      </w:r>
    </w:p>
    <w:p>
      <w:r>
        <w:t xml:space="preserve">MEMORANDUM</w:t>
      </w:r>
    </w:p>
    <w:p>
      <w:r>
        <w:t xml:space="preserve"/>
      </w:r>
    </w:p>
    <w:p>
      <w:r>
        <w:t xml:space="preserve">To: File - Brightwater Builders / Harpeth Ridge</w:t>
      </w:r>
    </w:p>
    <w:p>
      <w:r>
        <w:t xml:space="preserve">From: Stephen Mabry</w:t>
      </w:r>
    </w:p>
    <w:p>
      <w:r>
        <w:t xml:space="preserve">Date: April 2, 2025</w:t>
      </w:r>
    </w:p>
    <w:p>
      <w:r>
        <w:t xml:space="preserve">Re: Delay exposure and allocation to Keystone</w:t>
      </w:r>
    </w:p>
    <w:p>
      <w:r>
        <w:t xml:space="preserve"/>
      </w:r>
    </w:p>
    <w:p>
      <w:r>
        <w:t xml:space="preserve">1. Brightwater's 41-day time claim for Change Order 14 was noticed 21 days late. Our best argument is waiver by conduct: Tallis's development VP acknowledged the MRI impact at the December 4, 2024 OAC meeting.</w:t>
      </w:r>
    </w:p>
    <w:p>
      <w:r>
        <w:t xml:space="preserve"/>
      </w:r>
    </w:p>
    <w:p>
      <w:r>
        <w:t xml:space="preserve">2. If the notice defense fails, projected liquidated damages depend on the actual Substantial Completion date. At the current recovery forecast of mid-September 2025, exposure is roughly 70 to 80 days at $2,500 per day.</w:t>
      </w:r>
    </w:p>
    <w:p>
      <w:r>
        <w:t xml:space="preserve"/>
      </w:r>
    </w:p>
    <w:p>
      <w:r>
        <w:t xml:space="preserve">3. The Level 3 ductwork replacement ($412,380.00 per Keystone's proposal) should be allocated to Keystone under Subcontract Sections 4 and 5. Weakness: the February 3 email shows our superintendent knew of the substitution and told Keystone not to hold up the ceiling grid.</w:t>
      </w:r>
    </w:p>
    <w:p>
      <w:r>
        <w:t xml:space="preserve"/>
      </w:r>
    </w:p>
    <w:p>
      <w:r>
        <w:t xml:space="preserve">4. Recommend early mediation with Tallis and a tender to Keystone's insurer.</w:t>
      </w:r>
    </w:p>
    <w:p>
      <w:r>
        <w:t xml:space="preserve"/>
      </w:r>
    </w:p>
    <w:sectPr/>
  </w:body>
</w:document>
</file>