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SUBMITTAL TRANSMITTAL No. 001</w:t>
      </w:r>
    </w:p>
    <w:p>
      <w:r>
        <w:t xml:space="preserve"/>
      </w:r>
    </w:p>
    <w:p>
      <w:r>
        <w:t xml:space="preserve">Project: Harpeth Ridge Medical Office Building, Job 24-117</w:t>
      </w:r>
    </w:p>
    <w:p>
      <w:r>
        <w:t xml:space="preserve">From: Brightwater Builders, Inc. (Marcus Oyelaran)</w:t>
      </w:r>
    </w:p>
    <w:p>
      <w:r>
        <w:t xml:space="preserve">To: Lindqvist Rowe Architects, PLLC</w:t>
      </w:r>
    </w:p>
    <w:p>
      <w:r>
        <w:t xml:space="preserve">Specification Section: 05 12 00 - Structural steel shop drawings</w:t>
      </w:r>
    </w:p>
    <w:p>
      <w:r>
        <w:t xml:space="preserve">Date Sent: April 16, 2024</w:t>
      </w:r>
    </w:p>
    <w:p>
      <w:r>
        <w:t xml:space="preserve"/>
      </w:r>
    </w:p>
    <w:p>
      <w:r>
        <w:t xml:space="preserve">Architect's Action (April 25, 2024):</w:t>
      </w:r>
    </w:p>
    <w:p>
      <w:r>
        <w:t xml:space="preserve">APPROVED AS NOTED. See reviewer comments on sheets 3 and 7.</w:t>
      </w:r>
    </w:p>
    <w:p>
      <w:r>
        <w:t xml:space="preserve"/>
      </w:r>
    </w:p>
    <w:p>
      <w:r>
        <w:t xml:space="preserve">Reviewed by Evelyn Rowe, AIA. Review is for general conformance with the design concept only; the Contractor remains responsible for dimensions, quantities and coordination.</w:t>
      </w:r>
    </w:p>
    <w:p>
      <w:r>
        <w:t xml:space="preserve"/>
      </w:r>
    </w:p>
    <w:sectPr/>
  </w:body>
</w:document>
</file>