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SUBMITTAL TRANSMITTAL No. 005</w:t>
      </w:r>
    </w:p>
    <w:p>
      <w:r>
        <w:t xml:space="preserve"/>
      </w:r>
    </w:p>
    <w:p>
      <w:r>
        <w:t xml:space="preserve">Project: Harpeth Ridge Medical Office Building, Job 24-117</w:t>
      </w:r>
    </w:p>
    <w:p>
      <w:r>
        <w:t xml:space="preserve">From: Brightwater Builders, Inc. (Marcus Oyelaran)</w:t>
      </w:r>
    </w:p>
    <w:p>
      <w:r>
        <w:t xml:space="preserve">To: Lindqvist Rowe Architects, PLLC</w:t>
      </w:r>
    </w:p>
    <w:p>
      <w:r>
        <w:t xml:space="preserve">Specification Section: 23 31 13 - Metal ducts</w:t>
      </w:r>
    </w:p>
    <w:p>
      <w:r>
        <w:t xml:space="preserve">Date Sent: February 13, 2025</w:t>
      </w:r>
    </w:p>
    <w:p>
      <w:r>
        <w:t xml:space="preserve"/>
      </w:r>
    </w:p>
    <w:p>
      <w:r>
        <w:t xml:space="preserve">Architect's Action (February 24, 2025):</w:t>
      </w:r>
    </w:p>
    <w:p>
      <w:r>
        <w:t xml:space="preserve">APPROVED AS NOTED. Supply trunks serving Levels 2 through 4 shall be 20 gauge minimum as specified; 22 gauge shown for branch ducts only is acceptable.</w:t>
      </w:r>
    </w:p>
    <w:p>
      <w:r>
        <w:t xml:space="preserve"/>
      </w:r>
    </w:p>
    <w:p>
      <w:r>
        <w:t xml:space="preserve">Reviewed by Evelyn Rowe, AIA. Review is for general conformance with the design concept only; the Contractor remains responsible for dimensions, quantities and coordination.</w:t>
      </w:r>
    </w:p>
    <w:p>
      <w:r>
        <w:t xml:space="preserve"/>
      </w:r>
    </w:p>
    <w:sectPr/>
  </w:body>
</w:document>
</file>