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40" w:line="264" w:lineRule="auto"/>
        <w:jc w:val="center"/>
      </w:pPr>
      <w:r>
        <w:rPr>
          <w:rFonts w:ascii="Calibri" w:hAnsi="Calibri"/>
          <w:b/>
          <w:i w:val="0"/>
          <w:color w:val="7A5A00"/>
          <w:sz w:val="22"/>
        </w:rPr>
        <w:t>PROJECT REPORT</w:t>
      </w:r>
    </w:p>
    <w:p>
      <w:pPr>
        <w:spacing w:before="0" w:after="120" w:line="264" w:lineRule="auto"/>
        <w:jc w:val="center"/>
      </w:pPr>
      <w:r>
        <w:rPr>
          <w:rFonts w:ascii="Calibri" w:hAnsi="Calibri"/>
          <w:b/>
          <w:i w:val="0"/>
          <w:color w:val="0B2545"/>
          <w:sz w:val="60"/>
        </w:rPr>
        <w:t>Document Q&amp;A Chatbot</w:t>
      </w:r>
    </w:p>
    <w:p>
      <w:pPr>
        <w:spacing w:before="0" w:after="360" w:line="264" w:lineRule="auto"/>
        <w:jc w:val="center"/>
      </w:pPr>
      <w:r>
        <w:rPr>
          <w:rFonts w:ascii="Calibri" w:hAnsi="Calibri"/>
          <w:b w:val="0"/>
          <w:i w:val="0"/>
          <w:color w:val="1F4D78"/>
          <w:sz w:val="30"/>
        </w:rPr>
        <w:t>Updated Architecture, Implementation and Validation Report</w:t>
      </w:r>
    </w:p>
    <w:p>
      <w:pPr>
        <w:spacing w:before="0" w:after="720" w:line="264" w:lineRule="auto"/>
        <w:jc w:val="center"/>
      </w:pPr>
      <w:r>
        <w:rPr>
          <w:rFonts w:ascii="Calibri" w:hAnsi="Calibri"/>
          <w:b w:val="0"/>
          <w:i w:val="0"/>
          <w:color w:val="5B6573"/>
          <w:sz w:val="22"/>
        </w:rPr>
        <w:t>A chat-scoped Retrieval-Augmented Generation (RAG) application for answering questions from uploaded documents.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520"/>
            <w:tcMar>
              <w:top w:w="80" w:type="dxa"/>
              <w:start w:w="120" w:type="dxa"/>
              <w:bottom w:w="80" w:type="dxa"/>
              <w:end w:w="120" w:type="dxa"/>
            </w:tcMar>
            <w:shd w:fill="F2F4F7"/>
            <w:vAlign w:val="center"/>
          </w:tcPr>
          <w:p>
            <w:pPr>
              <w:spacing w:after="0"/>
            </w:pPr>
            <w:r>
              <w:rPr>
                <w:rFonts w:ascii="Calibri" w:hAnsi="Calibri"/>
                <w:b/>
                <w:color w:val="0B2545"/>
                <w:sz w:val="20"/>
              </w:rPr>
              <w:t>Report item</w:t>
            </w:r>
          </w:p>
        </w:tc>
        <w:tc>
          <w:tcPr>
            <w:tcW w:type="dxa" w:w="6840"/>
            <w:tcMar>
              <w:top w:w="80" w:type="dxa"/>
              <w:start w:w="120" w:type="dxa"/>
              <w:bottom w:w="80" w:type="dxa"/>
              <w:end w:w="120" w:type="dxa"/>
            </w:tcMar>
            <w:shd w:fill="F2F4F7"/>
            <w:vAlign w:val="center"/>
          </w:tcPr>
          <w:p>
            <w:pPr>
              <w:spacing w:after="0"/>
            </w:pPr>
            <w:r>
              <w:rPr>
                <w:rFonts w:ascii="Calibri" w:hAnsi="Calibri"/>
                <w:b/>
                <w:color w:val="0B2545"/>
                <w:sz w:val="20"/>
              </w:rPr>
              <w:t>Current implementation</w:t>
            </w:r>
          </w:p>
        </w:tc>
      </w:tr>
      <w:tr>
        <w:tc>
          <w:tcPr>
            <w:tcW w:type="dxa" w:w="4680"/>
            <w:vAlign w:val="top"/>
          </w:tcPr>
          <w:p>
            <w:pPr>
              <w:spacing w:after="20" w:line="252" w:lineRule="auto"/>
            </w:pPr>
            <w:r>
              <w:rPr>
                <w:rFonts w:ascii="Calibri" w:hAnsi="Calibri"/>
                <w:color w:val="000000"/>
                <w:sz w:val="19"/>
              </w:rPr>
              <w:t>Application</w:t>
            </w:r>
          </w:p>
        </w:tc>
        <w:tc>
          <w:tcPr>
            <w:tcW w:type="dxa" w:w="4680"/>
            <w:vAlign w:val="top"/>
          </w:tcPr>
          <w:p>
            <w:pPr>
              <w:spacing w:after="20" w:line="252" w:lineRule="auto"/>
            </w:pPr>
            <w:r>
              <w:rPr>
                <w:rFonts w:ascii="Calibri" w:hAnsi="Calibri"/>
                <w:color w:val="000000"/>
                <w:sz w:val="19"/>
              </w:rPr>
              <w:t>Document Q&amp;A Chatbot</w:t>
            </w:r>
          </w:p>
        </w:tc>
      </w:tr>
      <w:tr>
        <w:tc>
          <w:tcPr>
            <w:tcW w:type="dxa" w:w="4680"/>
            <w:vAlign w:val="top"/>
          </w:tcPr>
          <w:p>
            <w:pPr>
              <w:spacing w:after="20" w:line="252" w:lineRule="auto"/>
            </w:pPr>
            <w:r>
              <w:rPr>
                <w:rFonts w:ascii="Calibri" w:hAnsi="Calibri"/>
                <w:color w:val="000000"/>
                <w:sz w:val="19"/>
              </w:rPr>
              <w:t>User interface</w:t>
            </w:r>
          </w:p>
        </w:tc>
        <w:tc>
          <w:tcPr>
            <w:tcW w:type="dxa" w:w="4680"/>
            <w:vAlign w:val="top"/>
          </w:tcPr>
          <w:p>
            <w:pPr>
              <w:spacing w:after="20" w:line="252" w:lineRule="auto"/>
            </w:pPr>
            <w:r>
              <w:rPr>
                <w:rFonts w:ascii="Calibri" w:hAnsi="Calibri"/>
                <w:color w:val="000000"/>
                <w:sz w:val="19"/>
              </w:rPr>
              <w:t>Streamlit</w:t>
            </w:r>
          </w:p>
        </w:tc>
      </w:tr>
      <w:tr>
        <w:tc>
          <w:tcPr>
            <w:tcW w:type="dxa" w:w="4680"/>
            <w:vAlign w:val="top"/>
          </w:tcPr>
          <w:p>
            <w:pPr>
              <w:spacing w:after="20" w:line="252" w:lineRule="auto"/>
            </w:pPr>
            <w:r>
              <w:rPr>
                <w:rFonts w:ascii="Calibri" w:hAnsi="Calibri"/>
                <w:color w:val="000000"/>
                <w:sz w:val="19"/>
              </w:rPr>
              <w:t>Deployment</w:t>
            </w:r>
          </w:p>
        </w:tc>
        <w:tc>
          <w:tcPr>
            <w:tcW w:type="dxa" w:w="4680"/>
            <w:vAlign w:val="top"/>
          </w:tcPr>
          <w:p>
            <w:pPr>
              <w:spacing w:after="20" w:line="252" w:lineRule="auto"/>
            </w:pPr>
            <w:r>
              <w:rPr>
                <w:rFonts w:ascii="Calibri" w:hAnsi="Calibri"/>
                <w:color w:val="000000"/>
                <w:sz w:val="19"/>
              </w:rPr>
              <w:t>Render with Docker</w:t>
            </w:r>
          </w:p>
        </w:tc>
      </w:tr>
      <w:tr>
        <w:tc>
          <w:tcPr>
            <w:tcW w:type="dxa" w:w="4680"/>
            <w:vAlign w:val="top"/>
          </w:tcPr>
          <w:p>
            <w:pPr>
              <w:spacing w:after="20" w:line="252" w:lineRule="auto"/>
            </w:pPr>
            <w:r>
              <w:rPr>
                <w:rFonts w:ascii="Calibri" w:hAnsi="Calibri"/>
                <w:color w:val="000000"/>
                <w:sz w:val="19"/>
              </w:rPr>
              <w:t>Vector database</w:t>
            </w:r>
          </w:p>
        </w:tc>
        <w:tc>
          <w:tcPr>
            <w:tcW w:type="dxa" w:w="4680"/>
            <w:vAlign w:val="top"/>
          </w:tcPr>
          <w:p>
            <w:pPr>
              <w:spacing w:after="20" w:line="252" w:lineRule="auto"/>
            </w:pPr>
            <w:r>
              <w:rPr>
                <w:rFonts w:ascii="Calibri" w:hAnsi="Calibri"/>
                <w:color w:val="000000"/>
                <w:sz w:val="19"/>
              </w:rPr>
              <w:t>Qdrant Cloud</w:t>
            </w:r>
          </w:p>
        </w:tc>
      </w:tr>
      <w:tr>
        <w:tc>
          <w:tcPr>
            <w:tcW w:type="dxa" w:w="4680"/>
            <w:vAlign w:val="top"/>
          </w:tcPr>
          <w:p>
            <w:pPr>
              <w:spacing w:after="20" w:line="252" w:lineRule="auto"/>
            </w:pPr>
            <w:r>
              <w:rPr>
                <w:rFonts w:ascii="Calibri" w:hAnsi="Calibri"/>
                <w:color w:val="000000"/>
                <w:sz w:val="19"/>
              </w:rPr>
              <w:t>Chat metadata</w:t>
            </w:r>
          </w:p>
        </w:tc>
        <w:tc>
          <w:tcPr>
            <w:tcW w:type="dxa" w:w="4680"/>
            <w:vAlign w:val="top"/>
          </w:tcPr>
          <w:p>
            <w:pPr>
              <w:spacing w:after="20" w:line="252" w:lineRule="auto"/>
            </w:pPr>
            <w:r>
              <w:rPr>
                <w:rFonts w:ascii="Calibri" w:hAnsi="Calibri"/>
                <w:color w:val="000000"/>
                <w:sz w:val="19"/>
              </w:rPr>
              <w:t>Supabase</w:t>
            </w:r>
          </w:p>
        </w:tc>
      </w:tr>
      <w:tr>
        <w:tc>
          <w:tcPr>
            <w:tcW w:type="dxa" w:w="4680"/>
            <w:vAlign w:val="top"/>
          </w:tcPr>
          <w:p>
            <w:pPr>
              <w:spacing w:after="20" w:line="252" w:lineRule="auto"/>
            </w:pPr>
            <w:r>
              <w:rPr>
                <w:rFonts w:ascii="Calibri" w:hAnsi="Calibri"/>
                <w:color w:val="000000"/>
                <w:sz w:val="19"/>
              </w:rPr>
              <w:t>Report date</w:t>
            </w:r>
          </w:p>
        </w:tc>
        <w:tc>
          <w:tcPr>
            <w:tcW w:type="dxa" w:w="4680"/>
            <w:vAlign w:val="top"/>
          </w:tcPr>
          <w:p>
            <w:pPr>
              <w:spacing w:after="20" w:line="252" w:lineRule="auto"/>
            </w:pPr>
            <w:r>
              <w:rPr>
                <w:rFonts w:ascii="Calibri" w:hAnsi="Calibri"/>
                <w:color w:val="000000"/>
                <w:sz w:val="19"/>
              </w:rPr>
              <w:t>11 August 2026</w:t>
            </w:r>
          </w:p>
        </w:tc>
      </w:tr>
    </w:tbl>
    <w:p>
      <w:pPr>
        <w:spacing w:before="560" w:after="60" w:line="264" w:lineRule="auto"/>
      </w:pPr>
      <w:r>
        <w:rPr>
          <w:rFonts w:ascii="Calibri" w:hAnsi="Calibri"/>
          <w:b/>
          <w:i w:val="0"/>
          <w:color w:val="0B2545"/>
          <w:sz w:val="22"/>
        </w:rPr>
        <w:t>Purpose</w:t>
      </w:r>
    </w:p>
    <w:p>
      <w:pPr>
        <w:spacing w:before="0" w:after="0" w:line="264" w:lineRule="auto"/>
      </w:pPr>
      <w:r>
        <w:rPr>
          <w:rFonts w:ascii="Calibri" w:hAnsi="Calibri"/>
          <w:b w:val="0"/>
          <w:i w:val="0"/>
          <w:color w:val="000000"/>
          <w:sz w:val="22"/>
        </w:rPr>
        <w:t>This report explains the updated system in plain language, documents the changes made during development, and records the design choices that improve accuracy, source isolation, citations, and deployment reliability.</w:t>
      </w:r>
    </w:p>
    <w:p>
      <w:r>
        <w:br w:type="page"/>
      </w:r>
    </w:p>
    <w:p>
      <w:pPr>
        <w:pStyle w:val="Heading1"/>
      </w:pPr>
      <w:r>
        <w:t>1. Executive Summary</w:t>
      </w:r>
    </w:p>
    <w:p>
      <w:pPr>
        <w:spacing w:before="0" w:after="120" w:line="264" w:lineRule="auto"/>
      </w:pPr>
      <w:r>
        <w:rPr>
          <w:rFonts w:ascii="Calibri" w:hAnsi="Calibri"/>
          <w:b w:val="0"/>
          <w:i w:val="0"/>
          <w:color w:val="000000"/>
          <w:sz w:val="22"/>
        </w:rPr>
        <w:t>The Document Q&amp;A Chatbot lets a user create separate document chats, upload files or a ZIP archive of a folder, index the content, and ask questions that are answered only from the files in the active chat. It is a Retrieval-Augmented Generation (RAG) system: the language model does not answer directly from general memory; it receives relevant retrieved passages and produces an answer with citations.</w:t>
      </w:r>
    </w:p>
    <w:p>
      <w:pPr>
        <w:spacing w:before="0" w:after="120" w:line="264" w:lineRule="auto"/>
      </w:pPr>
      <w:r>
        <w:rPr>
          <w:rFonts w:ascii="Calibri" w:hAnsi="Calibri"/>
          <w:b w:val="0"/>
          <w:i w:val="0"/>
          <w:color w:val="000000"/>
          <w:sz w:val="22"/>
        </w:rPr>
        <w:t>The current version replaces the earlier local, model-heavy workflow with API-based dense embeddings through Jina, hybrid retrieval in Qdrant Cloud, and Groq for answer generation. It also adds semantic chunking, automatic source selection, section-aware parsing, precise citations, ZIP folder upload, persistent document chats, and a safe OCR switch for low-memory deployment.</w:t>
      </w:r>
    </w:p>
    <w:p>
      <w:pPr>
        <w:pStyle w:val="Heading1"/>
      </w:pPr>
      <w:r>
        <w:t>2. Problem Statement and Objectives</w:t>
      </w:r>
    </w:p>
    <w:p>
      <w:pPr>
        <w:spacing w:before="0" w:after="120" w:line="264" w:lineRule="auto"/>
      </w:pPr>
      <w:r>
        <w:rPr>
          <w:rFonts w:ascii="Calibri" w:hAnsi="Calibri"/>
          <w:b w:val="0"/>
          <w:i w:val="0"/>
          <w:color w:val="000000"/>
          <w:sz w:val="22"/>
        </w:rPr>
        <w:t>A typical document collection may contain PDFs, Word files, spreadsheets and text files. Searching manually is slow, while a generic chatbot can produce an answer without showing where it came from. The system addresses this by turning uploaded content into searchable chunks while keeping each document chat isolated.</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3168"/>
            <w:tcMar>
              <w:top w:w="80" w:type="dxa"/>
              <w:start w:w="120" w:type="dxa"/>
              <w:bottom w:w="80" w:type="dxa"/>
              <w:end w:w="120" w:type="dxa"/>
            </w:tcMar>
            <w:shd w:fill="F2F4F7"/>
            <w:vAlign w:val="center"/>
          </w:tcPr>
          <w:p>
            <w:pPr>
              <w:spacing w:after="0"/>
            </w:pPr>
            <w:r>
              <w:rPr>
                <w:rFonts w:ascii="Calibri" w:hAnsi="Calibri"/>
                <w:b/>
                <w:color w:val="0B2545"/>
                <w:sz w:val="20"/>
              </w:rPr>
              <w:t>Objective</w:t>
            </w:r>
          </w:p>
        </w:tc>
        <w:tc>
          <w:tcPr>
            <w:tcW w:type="dxa" w:w="6192"/>
            <w:tcMar>
              <w:top w:w="80" w:type="dxa"/>
              <w:start w:w="120" w:type="dxa"/>
              <w:bottom w:w="80" w:type="dxa"/>
              <w:end w:w="120" w:type="dxa"/>
            </w:tcMar>
            <w:shd w:fill="F2F4F7"/>
            <w:vAlign w:val="center"/>
          </w:tcPr>
          <w:p>
            <w:pPr>
              <w:spacing w:after="0"/>
            </w:pPr>
            <w:r>
              <w:rPr>
                <w:rFonts w:ascii="Calibri" w:hAnsi="Calibri"/>
                <w:b/>
                <w:color w:val="0B2545"/>
                <w:sz w:val="20"/>
              </w:rPr>
              <w:t>How the current system addresses it</w:t>
            </w:r>
          </w:p>
        </w:tc>
      </w:tr>
      <w:tr>
        <w:tc>
          <w:tcPr>
            <w:tcW w:type="dxa" w:w="4680"/>
            <w:vAlign w:val="top"/>
          </w:tcPr>
          <w:p>
            <w:pPr>
              <w:spacing w:after="20" w:line="252" w:lineRule="auto"/>
            </w:pPr>
            <w:r>
              <w:rPr>
                <w:rFonts w:ascii="Calibri" w:hAnsi="Calibri"/>
                <w:color w:val="000000"/>
                <w:sz w:val="19"/>
              </w:rPr>
              <w:t>Answer from the right documents</w:t>
            </w:r>
          </w:p>
        </w:tc>
        <w:tc>
          <w:tcPr>
            <w:tcW w:type="dxa" w:w="4680"/>
            <w:vAlign w:val="top"/>
          </w:tcPr>
          <w:p>
            <w:pPr>
              <w:spacing w:after="20" w:line="252" w:lineRule="auto"/>
            </w:pPr>
            <w:r>
              <w:rPr>
                <w:rFonts w:ascii="Calibri" w:hAnsi="Calibri"/>
                <w:color w:val="000000"/>
                <w:sz w:val="19"/>
              </w:rPr>
              <w:t>Every Qdrant search is filtered by document_chat_id. The active chat is the only search scope.</w:t>
            </w:r>
          </w:p>
        </w:tc>
      </w:tr>
      <w:tr>
        <w:tc>
          <w:tcPr>
            <w:tcW w:type="dxa" w:w="4680"/>
            <w:vAlign w:val="top"/>
          </w:tcPr>
          <w:p>
            <w:pPr>
              <w:spacing w:after="20" w:line="252" w:lineRule="auto"/>
            </w:pPr>
            <w:r>
              <w:rPr>
                <w:rFonts w:ascii="Calibri" w:hAnsi="Calibri"/>
                <w:color w:val="000000"/>
                <w:sz w:val="19"/>
              </w:rPr>
              <w:t>Preserve documents for later</w:t>
            </w:r>
          </w:p>
        </w:tc>
        <w:tc>
          <w:tcPr>
            <w:tcW w:type="dxa" w:w="4680"/>
            <w:vAlign w:val="top"/>
          </w:tcPr>
          <w:p>
            <w:pPr>
              <w:spacing w:after="20" w:line="252" w:lineRule="auto"/>
            </w:pPr>
            <w:r>
              <w:rPr>
                <w:rFonts w:ascii="Calibri" w:hAnsi="Calibri"/>
                <w:color w:val="000000"/>
                <w:sz w:val="19"/>
              </w:rPr>
              <w:t>Files remain indexed in their chat; users can switch chats, rename them, inspect indexed files, or delete a chat.</w:t>
            </w:r>
          </w:p>
        </w:tc>
      </w:tr>
      <w:tr>
        <w:tc>
          <w:tcPr>
            <w:tcW w:type="dxa" w:w="4680"/>
            <w:vAlign w:val="top"/>
          </w:tcPr>
          <w:p>
            <w:pPr>
              <w:spacing w:after="20" w:line="252" w:lineRule="auto"/>
            </w:pPr>
            <w:r>
              <w:rPr>
                <w:rFonts w:ascii="Calibri" w:hAnsi="Calibri"/>
                <w:color w:val="000000"/>
                <w:sz w:val="19"/>
              </w:rPr>
              <w:t>Avoid unrelated file sources</w:t>
            </w:r>
          </w:p>
        </w:tc>
        <w:tc>
          <w:tcPr>
            <w:tcW w:type="dxa" w:w="4680"/>
            <w:vAlign w:val="top"/>
          </w:tcPr>
          <w:p>
            <w:pPr>
              <w:spacing w:after="20" w:line="252" w:lineRule="auto"/>
            </w:pPr>
            <w:r>
              <w:rPr>
                <w:rFonts w:ascii="Calibri" w:hAnsi="Calibri"/>
                <w:color w:val="000000"/>
                <w:sz w:val="19"/>
              </w:rPr>
              <w:t>Two-stage source selection selects the strongest file(s), then re-searches only inside them.</w:t>
            </w:r>
          </w:p>
        </w:tc>
      </w:tr>
      <w:tr>
        <w:tc>
          <w:tcPr>
            <w:tcW w:type="dxa" w:w="4680"/>
            <w:vAlign w:val="top"/>
          </w:tcPr>
          <w:p>
            <w:pPr>
              <w:spacing w:after="20" w:line="252" w:lineRule="auto"/>
            </w:pPr>
            <w:r>
              <w:rPr>
                <w:rFonts w:ascii="Calibri" w:hAnsi="Calibri"/>
                <w:color w:val="000000"/>
                <w:sz w:val="19"/>
              </w:rPr>
              <w:t>Keep related content together</w:t>
            </w:r>
          </w:p>
        </w:tc>
        <w:tc>
          <w:tcPr>
            <w:tcW w:type="dxa" w:w="4680"/>
            <w:vAlign w:val="top"/>
          </w:tcPr>
          <w:p>
            <w:pPr>
              <w:spacing w:after="20" w:line="252" w:lineRule="auto"/>
            </w:pPr>
            <w:r>
              <w:rPr>
                <w:rFonts w:ascii="Calibri" w:hAnsi="Calibri"/>
                <w:color w:val="000000"/>
                <w:sz w:val="19"/>
              </w:rPr>
              <w:t>Semantic chunking uses sentence embeddings and preserves definition lists, tables and procedures.</w:t>
            </w:r>
          </w:p>
        </w:tc>
      </w:tr>
      <w:tr>
        <w:tc>
          <w:tcPr>
            <w:tcW w:type="dxa" w:w="4680"/>
            <w:vAlign w:val="top"/>
          </w:tcPr>
          <w:p>
            <w:pPr>
              <w:spacing w:after="20" w:line="252" w:lineRule="auto"/>
            </w:pPr>
            <w:r>
              <w:rPr>
                <w:rFonts w:ascii="Calibri" w:hAnsi="Calibri"/>
                <w:color w:val="000000"/>
                <w:sz w:val="19"/>
              </w:rPr>
              <w:t>Make answers traceable</w:t>
            </w:r>
          </w:p>
        </w:tc>
        <w:tc>
          <w:tcPr>
            <w:tcW w:type="dxa" w:w="4680"/>
            <w:vAlign w:val="top"/>
          </w:tcPr>
          <w:p>
            <w:pPr>
              <w:spacing w:after="20" w:line="252" w:lineRule="auto"/>
            </w:pPr>
            <w:r>
              <w:rPr>
                <w:rFonts w:ascii="Calibri" w:hAnsi="Calibri"/>
                <w:color w:val="000000"/>
                <w:sz w:val="19"/>
              </w:rPr>
              <w:t>The response includes inline [n] citations, a Sources list, and an expandable view of exact retrieved chunks.</w:t>
            </w:r>
          </w:p>
        </w:tc>
      </w:tr>
      <w:tr>
        <w:tc>
          <w:tcPr>
            <w:tcW w:type="dxa" w:w="4680"/>
            <w:vAlign w:val="top"/>
          </w:tcPr>
          <w:p>
            <w:pPr>
              <w:spacing w:after="20" w:line="252" w:lineRule="auto"/>
            </w:pPr>
            <w:r>
              <w:rPr>
                <w:rFonts w:ascii="Calibri" w:hAnsi="Calibri"/>
                <w:color w:val="000000"/>
                <w:sz w:val="19"/>
              </w:rPr>
              <w:t>Support deployment</w:t>
            </w:r>
          </w:p>
        </w:tc>
        <w:tc>
          <w:tcPr>
            <w:tcW w:type="dxa" w:w="4680"/>
            <w:vAlign w:val="top"/>
          </w:tcPr>
          <w:p>
            <w:pPr>
              <w:spacing w:after="20" w:line="252" w:lineRule="auto"/>
            </w:pPr>
            <w:r>
              <w:rPr>
                <w:rFonts w:ascii="Calibri" w:hAnsi="Calibri"/>
                <w:color w:val="000000"/>
                <w:sz w:val="19"/>
              </w:rPr>
              <w:t>Qdrant is cloud-hosted; Render runs the Streamlit app in Docker. OCR is configurable to fit the memory plan.</w:t>
            </w:r>
          </w:p>
        </w:tc>
      </w:tr>
    </w:tbl>
    <w:p>
      <w:pPr>
        <w:pStyle w:val="Heading1"/>
      </w:pPr>
      <w:r>
        <w:t>3. Current System Architecture</w:t>
      </w:r>
    </w:p>
    <w:p>
      <w:pPr>
        <w:spacing w:before="0" w:after="120" w:line="264" w:lineRule="auto"/>
      </w:pPr>
      <w:r>
        <w:rPr>
          <w:rFonts w:ascii="Calibri" w:hAnsi="Calibri"/>
          <w:b w:val="0"/>
          <w:i w:val="0"/>
          <w:color w:val="000000"/>
          <w:sz w:val="22"/>
        </w:rPr>
        <w:t>The following diagram shows the current end-to-end flow. All vector storage is remote in Qdrant Cloud; Supabase stores the chat and question-history data. The hosting machine does not need the developer laptop's GPU.</w:t>
      </w:r>
    </w:p>
    <w:p>
      <w:r>
        <w:drawing>
          <wp:inline xmlns:a="http://schemas.openxmlformats.org/drawingml/2006/main" xmlns:pic="http://schemas.openxmlformats.org/drawingml/2006/picture">
            <wp:extent cx="5943600" cy="3202940"/>
            <wp:docPr id="1" name="Picture 1" descr="Image: image1.png"/>
            <wp:cNvGraphicFramePr>
              <a:graphicFrameLocks noChangeAspect="1"/>
            </wp:cNvGraphicFramePr>
            <a:graphic>
              <a:graphicData uri="http://schemas.openxmlformats.org/drawingml/2006/picture">
                <pic:pic>
                  <pic:nvPicPr>
                    <pic:cNvPr id="0" name="document_qa_updated_flow.png"/>
                    <pic:cNvPicPr/>
                  </pic:nvPicPr>
                  <pic:blipFill>
                    <a:blip r:embed="rId11"/>
                    <a:stretch>
                      <a:fillRect/>
                    </a:stretch>
                  </pic:blipFill>
                  <pic:spPr>
                    <a:xfrm>
                      <a:off x="0" y="0"/>
                      <a:ext cx="5943600" cy="3202940"/>
                    </a:xfrm>
                    <a:prstGeom prst="rect"/>
                  </pic:spPr>
                </pic:pic>
              </a:graphicData>
            </a:graphic>
          </wp:inline>
        </w:drawing>
      </w:r>
    </w:p>
    <w:p>
      <w:pPr>
        <w:spacing w:before="0" w:after="200" w:line="264" w:lineRule="auto"/>
        <w:jc w:val="center"/>
      </w:pPr>
      <w:r>
        <w:rPr>
          <w:rFonts w:ascii="Calibri" w:hAnsi="Calibri"/>
          <w:b w:val="0"/>
          <w:i/>
          <w:color w:val="5B6573"/>
          <w:sz w:val="18"/>
        </w:rPr>
        <w:t>Figure 1. Updated ingestion and question-answering flow.</w:t>
      </w:r>
    </w:p>
    <w:p>
      <w:pPr>
        <w:pStyle w:val="Heading1"/>
      </w:pPr>
      <w:r>
        <w:t>4. Technology Stack</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944"/>
            <w:tcMar>
              <w:top w:w="80" w:type="dxa"/>
              <w:start w:w="120" w:type="dxa"/>
              <w:bottom w:w="80" w:type="dxa"/>
              <w:end w:w="120" w:type="dxa"/>
            </w:tcMar>
            <w:shd w:fill="F2F4F7"/>
            <w:vAlign w:val="center"/>
          </w:tcPr>
          <w:p>
            <w:pPr>
              <w:spacing w:after="0"/>
            </w:pPr>
            <w:r>
              <w:rPr>
                <w:rFonts w:ascii="Calibri" w:hAnsi="Calibri"/>
                <w:b/>
                <w:color w:val="0B2545"/>
                <w:sz w:val="18"/>
              </w:rPr>
              <w:t>Layer</w:t>
            </w:r>
          </w:p>
        </w:tc>
        <w:tc>
          <w:tcPr>
            <w:tcW w:type="dxa" w:w="2664"/>
            <w:tcMar>
              <w:top w:w="80" w:type="dxa"/>
              <w:start w:w="120" w:type="dxa"/>
              <w:bottom w:w="80" w:type="dxa"/>
              <w:end w:w="120" w:type="dxa"/>
            </w:tcMar>
            <w:shd w:fill="F2F4F7"/>
            <w:vAlign w:val="center"/>
          </w:tcPr>
          <w:p>
            <w:pPr>
              <w:spacing w:after="0"/>
            </w:pPr>
            <w:r>
              <w:rPr>
                <w:rFonts w:ascii="Calibri" w:hAnsi="Calibri"/>
                <w:b/>
                <w:color w:val="0B2545"/>
                <w:sz w:val="18"/>
              </w:rPr>
              <w:t>Technology</w:t>
            </w:r>
          </w:p>
        </w:tc>
        <w:tc>
          <w:tcPr>
            <w:tcW w:type="dxa" w:w="4752"/>
            <w:tcMar>
              <w:top w:w="80" w:type="dxa"/>
              <w:start w:w="120" w:type="dxa"/>
              <w:bottom w:w="80" w:type="dxa"/>
              <w:end w:w="120" w:type="dxa"/>
            </w:tcMar>
            <w:shd w:fill="F2F4F7"/>
            <w:vAlign w:val="center"/>
          </w:tcPr>
          <w:p>
            <w:pPr>
              <w:spacing w:after="0"/>
            </w:pPr>
            <w:r>
              <w:rPr>
                <w:rFonts w:ascii="Calibri" w:hAnsi="Calibri"/>
                <w:b/>
                <w:color w:val="0B2545"/>
                <w:sz w:val="18"/>
              </w:rPr>
              <w:t>Responsibility</w:t>
            </w:r>
          </w:p>
        </w:tc>
      </w:tr>
      <w:tr>
        <w:tc>
          <w:tcPr>
            <w:tcW w:type="dxa" w:w="3120"/>
            <w:vAlign w:val="top"/>
          </w:tcPr>
          <w:p>
            <w:pPr>
              <w:spacing w:after="20" w:line="252" w:lineRule="auto"/>
            </w:pPr>
            <w:r>
              <w:rPr>
                <w:rFonts w:ascii="Calibri" w:hAnsi="Calibri"/>
                <w:color w:val="000000"/>
                <w:sz w:val="17"/>
              </w:rPr>
              <w:t>Web application</w:t>
            </w:r>
          </w:p>
        </w:tc>
        <w:tc>
          <w:tcPr>
            <w:tcW w:type="dxa" w:w="3120"/>
            <w:vAlign w:val="top"/>
          </w:tcPr>
          <w:p>
            <w:pPr>
              <w:spacing w:after="20" w:line="252" w:lineRule="auto"/>
            </w:pPr>
            <w:r>
              <w:rPr>
                <w:rFonts w:ascii="Calibri" w:hAnsi="Calibri"/>
                <w:color w:val="000000"/>
                <w:sz w:val="17"/>
              </w:rPr>
              <w:t>Streamlit</w:t>
            </w:r>
          </w:p>
        </w:tc>
        <w:tc>
          <w:tcPr>
            <w:tcW w:type="dxa" w:w="3120"/>
            <w:vAlign w:val="top"/>
          </w:tcPr>
          <w:p>
            <w:pPr>
              <w:spacing w:after="20" w:line="252" w:lineRule="auto"/>
            </w:pPr>
            <w:r>
              <w:rPr>
                <w:rFonts w:ascii="Calibri" w:hAnsi="Calibri"/>
                <w:color w:val="000000"/>
                <w:sz w:val="17"/>
              </w:rPr>
              <w:t>User interface for chats, uploads, indexing progress, answers and retrieved-chunk inspection.</w:t>
            </w:r>
          </w:p>
        </w:tc>
      </w:tr>
      <w:tr>
        <w:tc>
          <w:tcPr>
            <w:tcW w:type="dxa" w:w="3120"/>
            <w:vAlign w:val="top"/>
          </w:tcPr>
          <w:p>
            <w:pPr>
              <w:spacing w:after="20" w:line="252" w:lineRule="auto"/>
            </w:pPr>
            <w:r>
              <w:rPr>
                <w:rFonts w:ascii="Calibri" w:hAnsi="Calibri"/>
                <w:color w:val="000000"/>
                <w:sz w:val="17"/>
              </w:rPr>
              <w:t>Document parsers</w:t>
            </w:r>
          </w:p>
        </w:tc>
        <w:tc>
          <w:tcPr>
            <w:tcW w:type="dxa" w:w="3120"/>
            <w:vAlign w:val="top"/>
          </w:tcPr>
          <w:p>
            <w:pPr>
              <w:spacing w:after="20" w:line="252" w:lineRule="auto"/>
            </w:pPr>
            <w:r>
              <w:rPr>
                <w:rFonts w:ascii="Calibri" w:hAnsi="Calibri"/>
                <w:color w:val="000000"/>
                <w:sz w:val="17"/>
              </w:rPr>
              <w:t>PyMuPDF, python-docx, openpyxl</w:t>
            </w:r>
          </w:p>
        </w:tc>
        <w:tc>
          <w:tcPr>
            <w:tcW w:type="dxa" w:w="3120"/>
            <w:vAlign w:val="top"/>
          </w:tcPr>
          <w:p>
            <w:pPr>
              <w:spacing w:after="20" w:line="252" w:lineRule="auto"/>
            </w:pPr>
            <w:r>
              <w:rPr>
                <w:rFonts w:ascii="Calibri" w:hAnsi="Calibri"/>
                <w:color w:val="000000"/>
                <w:sz w:val="17"/>
              </w:rPr>
              <w:t>Extract PDF, DOCX, XLSX/XLSM and TXT content plus citation metadata.</w:t>
            </w:r>
          </w:p>
        </w:tc>
      </w:tr>
      <w:tr>
        <w:tc>
          <w:tcPr>
            <w:tcW w:type="dxa" w:w="3120"/>
            <w:vAlign w:val="top"/>
          </w:tcPr>
          <w:p>
            <w:pPr>
              <w:spacing w:after="20" w:line="252" w:lineRule="auto"/>
            </w:pPr>
            <w:r>
              <w:rPr>
                <w:rFonts w:ascii="Calibri" w:hAnsi="Calibri"/>
                <w:color w:val="000000"/>
                <w:sz w:val="17"/>
              </w:rPr>
              <w:t>Dense embedding</w:t>
            </w:r>
          </w:p>
        </w:tc>
        <w:tc>
          <w:tcPr>
            <w:tcW w:type="dxa" w:w="3120"/>
            <w:vAlign w:val="top"/>
          </w:tcPr>
          <w:p>
            <w:pPr>
              <w:spacing w:after="20" w:line="252" w:lineRule="auto"/>
            </w:pPr>
            <w:r>
              <w:rPr>
                <w:rFonts w:ascii="Calibri" w:hAnsi="Calibri"/>
                <w:color w:val="000000"/>
                <w:sz w:val="17"/>
              </w:rPr>
              <w:t>Jina Embeddings v3 API</w:t>
            </w:r>
          </w:p>
        </w:tc>
        <w:tc>
          <w:tcPr>
            <w:tcW w:type="dxa" w:w="3120"/>
            <w:vAlign w:val="top"/>
          </w:tcPr>
          <w:p>
            <w:pPr>
              <w:spacing w:after="20" w:line="252" w:lineRule="auto"/>
            </w:pPr>
            <w:r>
              <w:rPr>
                <w:rFonts w:ascii="Calibri" w:hAnsi="Calibri"/>
                <w:color w:val="000000"/>
                <w:sz w:val="17"/>
              </w:rPr>
              <w:t>Produces 1024-dimensional semantic vectors for chunks and questions.</w:t>
            </w:r>
          </w:p>
        </w:tc>
      </w:tr>
      <w:tr>
        <w:tc>
          <w:tcPr>
            <w:tcW w:type="dxa" w:w="3120"/>
            <w:vAlign w:val="top"/>
          </w:tcPr>
          <w:p>
            <w:pPr>
              <w:spacing w:after="20" w:line="252" w:lineRule="auto"/>
            </w:pPr>
            <w:r>
              <w:rPr>
                <w:rFonts w:ascii="Calibri" w:hAnsi="Calibri"/>
                <w:color w:val="000000"/>
                <w:sz w:val="17"/>
              </w:rPr>
              <w:t>Sparse embedding</w:t>
            </w:r>
          </w:p>
        </w:tc>
        <w:tc>
          <w:tcPr>
            <w:tcW w:type="dxa" w:w="3120"/>
            <w:vAlign w:val="top"/>
          </w:tcPr>
          <w:p>
            <w:pPr>
              <w:spacing w:after="20" w:line="252" w:lineRule="auto"/>
            </w:pPr>
            <w:r>
              <w:rPr>
                <w:rFonts w:ascii="Calibri" w:hAnsi="Calibri"/>
                <w:color w:val="000000"/>
                <w:sz w:val="17"/>
              </w:rPr>
              <w:t>FastEmbed BM25 (Qdrant/bm25)</w:t>
            </w:r>
          </w:p>
        </w:tc>
        <w:tc>
          <w:tcPr>
            <w:tcW w:type="dxa" w:w="3120"/>
            <w:vAlign w:val="top"/>
          </w:tcPr>
          <w:p>
            <w:pPr>
              <w:spacing w:after="20" w:line="252" w:lineRule="auto"/>
            </w:pPr>
            <w:r>
              <w:rPr>
                <w:rFonts w:ascii="Calibri" w:hAnsi="Calibri"/>
                <w:color w:val="000000"/>
                <w:sz w:val="17"/>
              </w:rPr>
              <w:t>Provides keyword-aware sparse vectors for hybrid retrieval.</w:t>
            </w:r>
          </w:p>
        </w:tc>
      </w:tr>
      <w:tr>
        <w:tc>
          <w:tcPr>
            <w:tcW w:type="dxa" w:w="3120"/>
            <w:vAlign w:val="top"/>
          </w:tcPr>
          <w:p>
            <w:pPr>
              <w:spacing w:after="20" w:line="252" w:lineRule="auto"/>
            </w:pPr>
            <w:r>
              <w:rPr>
                <w:rFonts w:ascii="Calibri" w:hAnsi="Calibri"/>
                <w:color w:val="000000"/>
                <w:sz w:val="17"/>
              </w:rPr>
              <w:t>Vector database</w:t>
            </w:r>
          </w:p>
        </w:tc>
        <w:tc>
          <w:tcPr>
            <w:tcW w:type="dxa" w:w="3120"/>
            <w:vAlign w:val="top"/>
          </w:tcPr>
          <w:p>
            <w:pPr>
              <w:spacing w:after="20" w:line="252" w:lineRule="auto"/>
            </w:pPr>
            <w:r>
              <w:rPr>
                <w:rFonts w:ascii="Calibri" w:hAnsi="Calibri"/>
                <w:color w:val="000000"/>
                <w:sz w:val="17"/>
              </w:rPr>
              <w:t>Qdrant Cloud</w:t>
            </w:r>
          </w:p>
        </w:tc>
        <w:tc>
          <w:tcPr>
            <w:tcW w:type="dxa" w:w="3120"/>
            <w:vAlign w:val="top"/>
          </w:tcPr>
          <w:p>
            <w:pPr>
              <w:spacing w:after="20" w:line="252" w:lineRule="auto"/>
            </w:pPr>
            <w:r>
              <w:rPr>
                <w:rFonts w:ascii="Calibri" w:hAnsi="Calibri"/>
                <w:color w:val="000000"/>
                <w:sz w:val="17"/>
              </w:rPr>
              <w:t>Stores dense/sparse vectors and filterable payload metadata.</w:t>
            </w:r>
          </w:p>
        </w:tc>
      </w:tr>
      <w:tr>
        <w:tc>
          <w:tcPr>
            <w:tcW w:type="dxa" w:w="3120"/>
            <w:vAlign w:val="top"/>
          </w:tcPr>
          <w:p>
            <w:pPr>
              <w:spacing w:after="20" w:line="252" w:lineRule="auto"/>
            </w:pPr>
            <w:r>
              <w:rPr>
                <w:rFonts w:ascii="Calibri" w:hAnsi="Calibri"/>
                <w:color w:val="000000"/>
                <w:sz w:val="17"/>
              </w:rPr>
              <w:t>Answer generator</w:t>
            </w:r>
          </w:p>
        </w:tc>
        <w:tc>
          <w:tcPr>
            <w:tcW w:type="dxa" w:w="3120"/>
            <w:vAlign w:val="top"/>
          </w:tcPr>
          <w:p>
            <w:pPr>
              <w:spacing w:after="20" w:line="252" w:lineRule="auto"/>
            </w:pPr>
            <w:r>
              <w:rPr>
                <w:rFonts w:ascii="Calibri" w:hAnsi="Calibri"/>
                <w:color w:val="000000"/>
                <w:sz w:val="17"/>
              </w:rPr>
              <w:t>Groq API (Llama 3.3 70B)</w:t>
            </w:r>
          </w:p>
        </w:tc>
        <w:tc>
          <w:tcPr>
            <w:tcW w:type="dxa" w:w="3120"/>
            <w:vAlign w:val="top"/>
          </w:tcPr>
          <w:p>
            <w:pPr>
              <w:spacing w:after="20" w:line="252" w:lineRule="auto"/>
            </w:pPr>
            <w:r>
              <w:rPr>
                <w:rFonts w:ascii="Calibri" w:hAnsi="Calibri"/>
                <w:color w:val="000000"/>
                <w:sz w:val="17"/>
              </w:rPr>
              <w:t>Writes grounded answers from retrieved chunks and returns citation references.</w:t>
            </w:r>
          </w:p>
        </w:tc>
      </w:tr>
      <w:tr>
        <w:tc>
          <w:tcPr>
            <w:tcW w:type="dxa" w:w="3120"/>
            <w:vAlign w:val="top"/>
          </w:tcPr>
          <w:p>
            <w:pPr>
              <w:spacing w:after="20" w:line="252" w:lineRule="auto"/>
            </w:pPr>
            <w:r>
              <w:rPr>
                <w:rFonts w:ascii="Calibri" w:hAnsi="Calibri"/>
                <w:color w:val="000000"/>
                <w:sz w:val="17"/>
              </w:rPr>
              <w:t>Chat persistence</w:t>
            </w:r>
          </w:p>
        </w:tc>
        <w:tc>
          <w:tcPr>
            <w:tcW w:type="dxa" w:w="3120"/>
            <w:vAlign w:val="top"/>
          </w:tcPr>
          <w:p>
            <w:pPr>
              <w:spacing w:after="20" w:line="252" w:lineRule="auto"/>
            </w:pPr>
            <w:r>
              <w:rPr>
                <w:rFonts w:ascii="Calibri" w:hAnsi="Calibri"/>
                <w:color w:val="000000"/>
                <w:sz w:val="17"/>
              </w:rPr>
              <w:t>Supabase</w:t>
            </w:r>
          </w:p>
        </w:tc>
        <w:tc>
          <w:tcPr>
            <w:tcW w:type="dxa" w:w="3120"/>
            <w:vAlign w:val="top"/>
          </w:tcPr>
          <w:p>
            <w:pPr>
              <w:spacing w:after="20" w:line="252" w:lineRule="auto"/>
            </w:pPr>
            <w:r>
              <w:rPr>
                <w:rFonts w:ascii="Calibri" w:hAnsi="Calibri"/>
                <w:color w:val="000000"/>
                <w:sz w:val="17"/>
              </w:rPr>
              <w:t>Stores chat names, document-chat records and question/answer history.</w:t>
            </w:r>
          </w:p>
        </w:tc>
      </w:tr>
      <w:tr>
        <w:tc>
          <w:tcPr>
            <w:tcW w:type="dxa" w:w="3120"/>
            <w:vAlign w:val="top"/>
          </w:tcPr>
          <w:p>
            <w:pPr>
              <w:spacing w:after="20" w:line="252" w:lineRule="auto"/>
            </w:pPr>
            <w:r>
              <w:rPr>
                <w:rFonts w:ascii="Calibri" w:hAnsi="Calibri"/>
                <w:color w:val="000000"/>
                <w:sz w:val="17"/>
              </w:rPr>
              <w:t>Deployment</w:t>
            </w:r>
          </w:p>
        </w:tc>
        <w:tc>
          <w:tcPr>
            <w:tcW w:type="dxa" w:w="3120"/>
            <w:vAlign w:val="top"/>
          </w:tcPr>
          <w:p>
            <w:pPr>
              <w:spacing w:after="20" w:line="252" w:lineRule="auto"/>
            </w:pPr>
            <w:r>
              <w:rPr>
                <w:rFonts w:ascii="Calibri" w:hAnsi="Calibri"/>
                <w:color w:val="000000"/>
                <w:sz w:val="17"/>
              </w:rPr>
              <w:t>Render + Docker</w:t>
            </w:r>
          </w:p>
        </w:tc>
        <w:tc>
          <w:tcPr>
            <w:tcW w:type="dxa" w:w="3120"/>
            <w:vAlign w:val="top"/>
          </w:tcPr>
          <w:p>
            <w:pPr>
              <w:spacing w:after="20" w:line="252" w:lineRule="auto"/>
            </w:pPr>
            <w:r>
              <w:rPr>
                <w:rFonts w:ascii="Calibri" w:hAnsi="Calibri"/>
                <w:color w:val="000000"/>
                <w:sz w:val="17"/>
              </w:rPr>
              <w:t>Runs the hosted Streamlit service and installs required system libraries.</w:t>
            </w:r>
          </w:p>
        </w:tc>
      </w:tr>
    </w:tbl>
    <w:p>
      <w:pPr>
        <w:pStyle w:val="Heading1"/>
      </w:pPr>
      <w:r>
        <w:t>5. What Changed During Development</w:t>
      </w:r>
    </w:p>
    <w:p>
      <w:pPr>
        <w:spacing w:before="0" w:after="120" w:line="264" w:lineRule="auto"/>
      </w:pPr>
      <w:r>
        <w:rPr>
          <w:rFonts w:ascii="Calibri" w:hAnsi="Calibri"/>
          <w:b w:val="0"/>
          <w:i w:val="0"/>
          <w:color w:val="000000"/>
          <w:sz w:val="22"/>
        </w:rPr>
        <w:t>The project was improved iteratively after observing real retrieval, usability and hosting issues. The main changes are summarised below.</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448"/>
            <w:tcMar>
              <w:top w:w="80" w:type="dxa"/>
              <w:start w:w="120" w:type="dxa"/>
              <w:bottom w:w="80" w:type="dxa"/>
              <w:end w:w="120" w:type="dxa"/>
            </w:tcMar>
            <w:shd w:fill="F2F4F7"/>
            <w:vAlign w:val="center"/>
          </w:tcPr>
          <w:p>
            <w:pPr>
              <w:spacing w:after="0"/>
            </w:pPr>
            <w:r>
              <w:rPr>
                <w:rFonts w:ascii="Calibri" w:hAnsi="Calibri"/>
                <w:b/>
                <w:color w:val="0B2545"/>
                <w:sz w:val="18"/>
              </w:rPr>
              <w:t>Earlier state</w:t>
            </w:r>
          </w:p>
        </w:tc>
        <w:tc>
          <w:tcPr>
            <w:tcW w:type="dxa" w:w="2951"/>
            <w:tcMar>
              <w:top w:w="80" w:type="dxa"/>
              <w:start w:w="120" w:type="dxa"/>
              <w:bottom w:w="80" w:type="dxa"/>
              <w:end w:w="120" w:type="dxa"/>
            </w:tcMar>
            <w:shd w:fill="F2F4F7"/>
            <w:vAlign w:val="center"/>
          </w:tcPr>
          <w:p>
            <w:pPr>
              <w:spacing w:after="0"/>
            </w:pPr>
            <w:r>
              <w:rPr>
                <w:rFonts w:ascii="Calibri" w:hAnsi="Calibri"/>
                <w:b/>
                <w:color w:val="0B2545"/>
                <w:sz w:val="18"/>
              </w:rPr>
              <w:t>Current state</w:t>
            </w:r>
          </w:p>
        </w:tc>
        <w:tc>
          <w:tcPr>
            <w:tcW w:type="dxa" w:w="3960"/>
            <w:tcMar>
              <w:top w:w="80" w:type="dxa"/>
              <w:start w:w="120" w:type="dxa"/>
              <w:bottom w:w="80" w:type="dxa"/>
              <w:end w:w="120" w:type="dxa"/>
            </w:tcMar>
            <w:shd w:fill="F2F4F7"/>
            <w:vAlign w:val="center"/>
          </w:tcPr>
          <w:p>
            <w:pPr>
              <w:spacing w:after="0"/>
            </w:pPr>
            <w:r>
              <w:rPr>
                <w:rFonts w:ascii="Calibri" w:hAnsi="Calibri"/>
                <w:b/>
                <w:color w:val="0B2545"/>
                <w:sz w:val="18"/>
              </w:rPr>
              <w:t>Reason / benefit</w:t>
            </w:r>
          </w:p>
        </w:tc>
      </w:tr>
      <w:tr>
        <w:tc>
          <w:tcPr>
            <w:tcW w:type="dxa" w:w="3120"/>
            <w:vAlign w:val="top"/>
          </w:tcPr>
          <w:p>
            <w:pPr>
              <w:spacing w:after="20" w:line="252" w:lineRule="auto"/>
            </w:pPr>
            <w:r>
              <w:rPr>
                <w:rFonts w:ascii="Calibri" w:hAnsi="Calibri"/>
                <w:color w:val="000000"/>
                <w:sz w:val="17"/>
              </w:rPr>
              <w:t>Local Qdrant Docker</w:t>
            </w:r>
          </w:p>
        </w:tc>
        <w:tc>
          <w:tcPr>
            <w:tcW w:type="dxa" w:w="3120"/>
            <w:vAlign w:val="top"/>
          </w:tcPr>
          <w:p>
            <w:pPr>
              <w:spacing w:after="20" w:line="252" w:lineRule="auto"/>
            </w:pPr>
            <w:r>
              <w:rPr>
                <w:rFonts w:ascii="Calibri" w:hAnsi="Calibri"/>
                <w:color w:val="000000"/>
                <w:sz w:val="17"/>
              </w:rPr>
              <w:t>Qdrant Cloud</w:t>
            </w:r>
          </w:p>
        </w:tc>
        <w:tc>
          <w:tcPr>
            <w:tcW w:type="dxa" w:w="3120"/>
            <w:vAlign w:val="top"/>
          </w:tcPr>
          <w:p>
            <w:pPr>
              <w:spacing w:after="20" w:line="252" w:lineRule="auto"/>
            </w:pPr>
            <w:r>
              <w:rPr>
                <w:rFonts w:ascii="Calibri" w:hAnsi="Calibri"/>
                <w:color w:val="000000"/>
                <w:sz w:val="17"/>
              </w:rPr>
              <w:t>Removes dependency on a local Docker database and supports hosted deployment.</w:t>
            </w:r>
          </w:p>
        </w:tc>
      </w:tr>
      <w:tr>
        <w:tc>
          <w:tcPr>
            <w:tcW w:type="dxa" w:w="3120"/>
            <w:vAlign w:val="top"/>
          </w:tcPr>
          <w:p>
            <w:pPr>
              <w:spacing w:after="20" w:line="252" w:lineRule="auto"/>
            </w:pPr>
            <w:r>
              <w:rPr>
                <w:rFonts w:ascii="Calibri" w:hAnsi="Calibri"/>
                <w:color w:val="000000"/>
                <w:sz w:val="17"/>
              </w:rPr>
              <w:t>Fixed-size character chunks</w:t>
            </w:r>
          </w:p>
        </w:tc>
        <w:tc>
          <w:tcPr>
            <w:tcW w:type="dxa" w:w="3120"/>
            <w:vAlign w:val="top"/>
          </w:tcPr>
          <w:p>
            <w:pPr>
              <w:spacing w:after="20" w:line="252" w:lineRule="auto"/>
            </w:pPr>
            <w:r>
              <w:rPr>
                <w:rFonts w:ascii="Calibri" w:hAnsi="Calibri"/>
                <w:color w:val="000000"/>
                <w:sz w:val="17"/>
              </w:rPr>
              <w:t>Embedding-driven semantic chunks</w:t>
            </w:r>
          </w:p>
        </w:tc>
        <w:tc>
          <w:tcPr>
            <w:tcW w:type="dxa" w:w="3120"/>
            <w:vAlign w:val="top"/>
          </w:tcPr>
          <w:p>
            <w:pPr>
              <w:spacing w:after="20" w:line="252" w:lineRule="auto"/>
            </w:pPr>
            <w:r>
              <w:rPr>
                <w:rFonts w:ascii="Calibri" w:hAnsi="Calibri"/>
                <w:color w:val="000000"/>
                <w:sz w:val="17"/>
              </w:rPr>
              <w:t>Reduces topic cuts and preserves related explanations together.</w:t>
            </w:r>
          </w:p>
        </w:tc>
      </w:tr>
      <w:tr>
        <w:tc>
          <w:tcPr>
            <w:tcW w:type="dxa" w:w="3120"/>
            <w:vAlign w:val="top"/>
          </w:tcPr>
          <w:p>
            <w:pPr>
              <w:spacing w:after="20" w:line="252" w:lineRule="auto"/>
            </w:pPr>
            <w:r>
              <w:rPr>
                <w:rFonts w:ascii="Calibri" w:hAnsi="Calibri"/>
                <w:color w:val="000000"/>
                <w:sz w:val="17"/>
              </w:rPr>
              <w:t>Single retrieval signal</w:t>
            </w:r>
          </w:p>
        </w:tc>
        <w:tc>
          <w:tcPr>
            <w:tcW w:type="dxa" w:w="3120"/>
            <w:vAlign w:val="top"/>
          </w:tcPr>
          <w:p>
            <w:pPr>
              <w:spacing w:after="20" w:line="252" w:lineRule="auto"/>
            </w:pPr>
            <w:r>
              <w:rPr>
                <w:rFonts w:ascii="Calibri" w:hAnsi="Calibri"/>
                <w:color w:val="000000"/>
                <w:sz w:val="17"/>
              </w:rPr>
              <w:t>Dense Jina + sparse BM25 hybrid retrieval with RRF</w:t>
            </w:r>
          </w:p>
        </w:tc>
        <w:tc>
          <w:tcPr>
            <w:tcW w:type="dxa" w:w="3120"/>
            <w:vAlign w:val="top"/>
          </w:tcPr>
          <w:p>
            <w:pPr>
              <w:spacing w:after="20" w:line="252" w:lineRule="auto"/>
            </w:pPr>
            <w:r>
              <w:rPr>
                <w:rFonts w:ascii="Calibri" w:hAnsi="Calibri"/>
                <w:color w:val="000000"/>
                <w:sz w:val="17"/>
              </w:rPr>
              <w:t>Balances semantic meaning with exact terms, headings and formulas.</w:t>
            </w:r>
          </w:p>
        </w:tc>
      </w:tr>
      <w:tr>
        <w:tc>
          <w:tcPr>
            <w:tcW w:type="dxa" w:w="3120"/>
            <w:vAlign w:val="top"/>
          </w:tcPr>
          <w:p>
            <w:pPr>
              <w:spacing w:after="20" w:line="252" w:lineRule="auto"/>
            </w:pPr>
            <w:r>
              <w:rPr>
                <w:rFonts w:ascii="Calibri" w:hAnsi="Calibri"/>
                <w:color w:val="000000"/>
                <w:sz w:val="17"/>
              </w:rPr>
              <w:t>All uploaded files could appear as sources</w:t>
            </w:r>
          </w:p>
        </w:tc>
        <w:tc>
          <w:tcPr>
            <w:tcW w:type="dxa" w:w="3120"/>
            <w:vAlign w:val="top"/>
          </w:tcPr>
          <w:p>
            <w:pPr>
              <w:spacing w:after="20" w:line="252" w:lineRule="auto"/>
            </w:pPr>
            <w:r>
              <w:rPr>
                <w:rFonts w:ascii="Calibri" w:hAnsi="Calibri"/>
                <w:color w:val="000000"/>
                <w:sz w:val="17"/>
              </w:rPr>
              <w:t>Automatic best-source selection</w:t>
            </w:r>
          </w:p>
        </w:tc>
        <w:tc>
          <w:tcPr>
            <w:tcW w:type="dxa" w:w="3120"/>
            <w:vAlign w:val="top"/>
          </w:tcPr>
          <w:p>
            <w:pPr>
              <w:spacing w:after="20" w:line="252" w:lineRule="auto"/>
            </w:pPr>
            <w:r>
              <w:rPr>
                <w:rFonts w:ascii="Calibri" w:hAnsi="Calibri"/>
                <w:color w:val="000000"/>
                <w:sz w:val="17"/>
              </w:rPr>
              <w:t>An unrelated file is excluded unless its evidence is close to the strongest source.</w:t>
            </w:r>
          </w:p>
        </w:tc>
      </w:tr>
      <w:tr>
        <w:tc>
          <w:tcPr>
            <w:tcW w:type="dxa" w:w="3120"/>
            <w:vAlign w:val="top"/>
          </w:tcPr>
          <w:p>
            <w:pPr>
              <w:spacing w:after="20" w:line="252" w:lineRule="auto"/>
            </w:pPr>
            <w:r>
              <w:rPr>
                <w:rFonts w:ascii="Calibri" w:hAnsi="Calibri"/>
                <w:color w:val="000000"/>
                <w:sz w:val="17"/>
              </w:rPr>
              <w:t>Simple file-level source display</w:t>
            </w:r>
          </w:p>
        </w:tc>
        <w:tc>
          <w:tcPr>
            <w:tcW w:type="dxa" w:w="3120"/>
            <w:vAlign w:val="top"/>
          </w:tcPr>
          <w:p>
            <w:pPr>
              <w:spacing w:after="20" w:line="252" w:lineRule="auto"/>
            </w:pPr>
            <w:r>
              <w:rPr>
                <w:rFonts w:ascii="Calibri" w:hAnsi="Calibri"/>
                <w:color w:val="000000"/>
                <w:sz w:val="17"/>
              </w:rPr>
              <w:t>Inline citations plus exact chunk viewer</w:t>
            </w:r>
          </w:p>
        </w:tc>
        <w:tc>
          <w:tcPr>
            <w:tcW w:type="dxa" w:w="3120"/>
            <w:vAlign w:val="top"/>
          </w:tcPr>
          <w:p>
            <w:pPr>
              <w:spacing w:after="20" w:line="252" w:lineRule="auto"/>
            </w:pPr>
            <w:r>
              <w:rPr>
                <w:rFonts w:ascii="Calibri" w:hAnsi="Calibri"/>
                <w:color w:val="000000"/>
                <w:sz w:val="17"/>
              </w:rPr>
              <w:t>Makes the answer auditable at page, section, sheet/table-row and chunk level.</w:t>
            </w:r>
          </w:p>
        </w:tc>
      </w:tr>
      <w:tr>
        <w:tc>
          <w:tcPr>
            <w:tcW w:type="dxa" w:w="3120"/>
            <w:vAlign w:val="top"/>
          </w:tcPr>
          <w:p>
            <w:pPr>
              <w:spacing w:after="20" w:line="252" w:lineRule="auto"/>
            </w:pPr>
            <w:r>
              <w:rPr>
                <w:rFonts w:ascii="Calibri" w:hAnsi="Calibri"/>
                <w:color w:val="000000"/>
                <w:sz w:val="17"/>
              </w:rPr>
              <w:t>Files only</w:t>
            </w:r>
          </w:p>
        </w:tc>
        <w:tc>
          <w:tcPr>
            <w:tcW w:type="dxa" w:w="3120"/>
            <w:vAlign w:val="top"/>
          </w:tcPr>
          <w:p>
            <w:pPr>
              <w:spacing w:after="20" w:line="252" w:lineRule="auto"/>
            </w:pPr>
            <w:r>
              <w:rPr>
                <w:rFonts w:ascii="Calibri" w:hAnsi="Calibri"/>
                <w:color w:val="000000"/>
                <w:sz w:val="17"/>
              </w:rPr>
              <w:t>Files plus safe ZIP folder upload</w:t>
            </w:r>
          </w:p>
        </w:tc>
        <w:tc>
          <w:tcPr>
            <w:tcW w:type="dxa" w:w="3120"/>
            <w:vAlign w:val="top"/>
          </w:tcPr>
          <w:p>
            <w:pPr>
              <w:spacing w:after="20" w:line="252" w:lineRule="auto"/>
            </w:pPr>
            <w:r>
              <w:rPr>
                <w:rFonts w:ascii="Calibri" w:hAnsi="Calibri"/>
                <w:color w:val="000000"/>
                <w:sz w:val="17"/>
              </w:rPr>
              <w:t>Allows a folder and subfolders to be uploaded in a hosting-compatible way.</w:t>
            </w:r>
          </w:p>
        </w:tc>
      </w:tr>
      <w:tr>
        <w:tc>
          <w:tcPr>
            <w:tcW w:type="dxa" w:w="3120"/>
            <w:vAlign w:val="top"/>
          </w:tcPr>
          <w:p>
            <w:pPr>
              <w:spacing w:after="20" w:line="252" w:lineRule="auto"/>
            </w:pPr>
            <w:r>
              <w:rPr>
                <w:rFonts w:ascii="Calibri" w:hAnsi="Calibri"/>
                <w:color w:val="000000"/>
                <w:sz w:val="17"/>
              </w:rPr>
              <w:t>OCR loaded by default</w:t>
            </w:r>
          </w:p>
        </w:tc>
        <w:tc>
          <w:tcPr>
            <w:tcW w:type="dxa" w:w="3120"/>
            <w:vAlign w:val="top"/>
          </w:tcPr>
          <w:p>
            <w:pPr>
              <w:spacing w:after="20" w:line="252" w:lineRule="auto"/>
            </w:pPr>
            <w:r>
              <w:rPr>
                <w:rFonts w:ascii="Calibri" w:hAnsi="Calibri"/>
                <w:color w:val="000000"/>
                <w:sz w:val="17"/>
              </w:rPr>
              <w:t>OCR disabled by default on 512 MB Render</w:t>
            </w:r>
          </w:p>
        </w:tc>
        <w:tc>
          <w:tcPr>
            <w:tcW w:type="dxa" w:w="3120"/>
            <w:vAlign w:val="top"/>
          </w:tcPr>
          <w:p>
            <w:pPr>
              <w:spacing w:after="20" w:line="252" w:lineRule="auto"/>
            </w:pPr>
            <w:r>
              <w:rPr>
                <w:rFonts w:ascii="Calibri" w:hAnsi="Calibri"/>
                <w:color w:val="000000"/>
                <w:sz w:val="17"/>
              </w:rPr>
              <w:t>Prevents RapidOCR/ONNX from exhausting service memory; can be enabled on a larger plan.</w:t>
            </w:r>
          </w:p>
        </w:tc>
      </w:tr>
      <w:tr>
        <w:tc>
          <w:tcPr>
            <w:tcW w:type="dxa" w:w="3120"/>
            <w:vAlign w:val="top"/>
          </w:tcPr>
          <w:p>
            <w:pPr>
              <w:spacing w:after="20" w:line="252" w:lineRule="auto"/>
            </w:pPr>
            <w:r>
              <w:rPr>
                <w:rFonts w:ascii="Calibri" w:hAnsi="Calibri"/>
                <w:color w:val="000000"/>
                <w:sz w:val="17"/>
              </w:rPr>
              <w:t>Generic chat labels</w:t>
            </w:r>
          </w:p>
        </w:tc>
        <w:tc>
          <w:tcPr>
            <w:tcW w:type="dxa" w:w="3120"/>
            <w:vAlign w:val="top"/>
          </w:tcPr>
          <w:p>
            <w:pPr>
              <w:spacing w:after="20" w:line="252" w:lineRule="auto"/>
            </w:pPr>
            <w:r>
              <w:rPr>
                <w:rFonts w:ascii="Calibri" w:hAnsi="Calibri"/>
                <w:color w:val="000000"/>
                <w:sz w:val="17"/>
              </w:rPr>
              <w:t>Automatic filename-based title, manual rename, delete and indexed-files view</w:t>
            </w:r>
          </w:p>
        </w:tc>
        <w:tc>
          <w:tcPr>
            <w:tcW w:type="dxa" w:w="3120"/>
            <w:vAlign w:val="top"/>
          </w:tcPr>
          <w:p>
            <w:pPr>
              <w:spacing w:after="20" w:line="252" w:lineRule="auto"/>
            </w:pPr>
            <w:r>
              <w:rPr>
                <w:rFonts w:ascii="Calibri" w:hAnsi="Calibri"/>
                <w:color w:val="000000"/>
                <w:sz w:val="17"/>
              </w:rPr>
              <w:t>Makes separate document chats understandable and manageable.</w:t>
            </w:r>
          </w:p>
        </w:tc>
      </w:tr>
    </w:tbl>
    <w:p>
      <w:pPr>
        <w:pStyle w:val="Heading1"/>
      </w:pPr>
      <w:r>
        <w:t>6. Ingestion Workflow</w:t>
      </w:r>
    </w:p>
    <w:p>
      <w:pPr>
        <w:pStyle w:val="ListNumber"/>
        <w:spacing w:after="80" w:line="280" w:lineRule="auto"/>
      </w:pPr>
      <w:r>
        <w:rPr>
          <w:rFonts w:ascii="Calibri" w:hAnsi="Calibri"/>
          <w:color w:val="000000"/>
          <w:sz w:val="22"/>
        </w:rPr>
        <w:t>The user creates or selects a document chat. The active chat ID becomes the mandatory Qdrant filter for indexing and search.</w:t>
      </w:r>
    </w:p>
    <w:p>
      <w:pPr>
        <w:pStyle w:val="ListNumber"/>
        <w:spacing w:after="80" w:line="280" w:lineRule="auto"/>
      </w:pPr>
      <w:r>
        <w:rPr>
          <w:rFonts w:ascii="Calibri" w:hAnsi="Calibri"/>
          <w:color w:val="000000"/>
          <w:sz w:val="22"/>
        </w:rPr>
        <w:t>The user uploads one or more supported documents, or uploads a ZIP archive containing a folder. ZIP paths are checked to reject path traversal, and file-count and uncompressed-size limits are enforced.</w:t>
      </w:r>
    </w:p>
    <w:p>
      <w:pPr>
        <w:pStyle w:val="ListNumber"/>
        <w:spacing w:after="80" w:line="280" w:lineRule="auto"/>
      </w:pPr>
      <w:r>
        <w:rPr>
          <w:rFonts w:ascii="Calibri" w:hAnsi="Calibri"/>
          <w:color w:val="000000"/>
          <w:sz w:val="22"/>
        </w:rPr>
        <w:t>The parser extracts source segments and metadata. A segment can be prose, a heading, a table or an image-related unit.</w:t>
      </w:r>
    </w:p>
    <w:p>
      <w:pPr>
        <w:pStyle w:val="ListNumber"/>
        <w:spacing w:after="80" w:line="280" w:lineRule="auto"/>
      </w:pPr>
      <w:r>
        <w:rPr>
          <w:rFonts w:ascii="Calibri" w:hAnsi="Calibri"/>
          <w:color w:val="000000"/>
          <w:sz w:val="22"/>
        </w:rPr>
        <w:t>Semantic chunking turns prose into topic-coherent retrieval units. Tables and image units are retained as their own source units rather than split into arbitrary characters.</w:t>
      </w:r>
    </w:p>
    <w:p>
      <w:pPr>
        <w:pStyle w:val="ListNumber"/>
        <w:spacing w:after="80" w:line="280" w:lineRule="auto"/>
      </w:pPr>
      <w:r>
        <w:rPr>
          <w:rFonts w:ascii="Calibri" w:hAnsi="Calibri"/>
          <w:color w:val="000000"/>
          <w:sz w:val="22"/>
        </w:rPr>
        <w:t>Each chunk receives a Jina dense vector and a FastEmbed BM25 sparse vector. The text and metadata are stored together as one Qdrant point.</w:t>
      </w:r>
    </w:p>
    <w:p>
      <w:pPr>
        <w:pStyle w:val="ListNumber"/>
        <w:spacing w:after="80" w:line="280" w:lineRule="auto"/>
      </w:pPr>
      <w:r>
        <w:rPr>
          <w:rFonts w:ascii="Calibri" w:hAnsi="Calibri"/>
          <w:color w:val="000000"/>
          <w:sz w:val="22"/>
        </w:rPr>
        <w:t>The app reports indexed file, segment and chunk counts. The upload widget resets after success so already-indexed files are not mistakenly shown as pending again.</w:t>
      </w:r>
    </w:p>
    <w:p>
      <w:pPr>
        <w:pStyle w:val="Heading2"/>
      </w:pPr>
      <w:r>
        <w:t>6.1 Supported Uploads and Safe ZIP Folders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160"/>
            <w:tcMar>
              <w:top w:w="80" w:type="dxa"/>
              <w:start w:w="120" w:type="dxa"/>
              <w:bottom w:w="80" w:type="dxa"/>
              <w:end w:w="120" w:type="dxa"/>
            </w:tcMar>
            <w:shd w:fill="F2F4F7"/>
            <w:vAlign w:val="center"/>
          </w:tcPr>
          <w:p>
            <w:pPr>
              <w:spacing w:after="0"/>
            </w:pPr>
            <w:r>
              <w:rPr>
                <w:rFonts w:ascii="Calibri" w:hAnsi="Calibri"/>
                <w:b/>
                <w:color w:val="0B2545"/>
                <w:sz w:val="20"/>
              </w:rPr>
              <w:t>Input</w:t>
            </w:r>
          </w:p>
        </w:tc>
        <w:tc>
          <w:tcPr>
            <w:tcW w:type="dxa" w:w="7200"/>
            <w:tcMar>
              <w:top w:w="80" w:type="dxa"/>
              <w:start w:w="120" w:type="dxa"/>
              <w:bottom w:w="80" w:type="dxa"/>
              <w:end w:w="120" w:type="dxa"/>
            </w:tcMar>
            <w:shd w:fill="F2F4F7"/>
            <w:vAlign w:val="center"/>
          </w:tcPr>
          <w:p>
            <w:pPr>
              <w:spacing w:after="0"/>
            </w:pPr>
            <w:r>
              <w:rPr>
                <w:rFonts w:ascii="Calibri" w:hAnsi="Calibri"/>
                <w:b/>
                <w:color w:val="0B2545"/>
                <w:sz w:val="20"/>
              </w:rPr>
              <w:t>Handling</w:t>
            </w:r>
          </w:p>
        </w:tc>
      </w:tr>
      <w:tr>
        <w:tc>
          <w:tcPr>
            <w:tcW w:type="dxa" w:w="4680"/>
            <w:vAlign w:val="top"/>
          </w:tcPr>
          <w:p>
            <w:pPr>
              <w:spacing w:after="20" w:line="252" w:lineRule="auto"/>
            </w:pPr>
            <w:r>
              <w:rPr>
                <w:rFonts w:ascii="Calibri" w:hAnsi="Calibri"/>
                <w:color w:val="000000"/>
                <w:sz w:val="19"/>
              </w:rPr>
              <w:t>PDF</w:t>
            </w:r>
          </w:p>
        </w:tc>
        <w:tc>
          <w:tcPr>
            <w:tcW w:type="dxa" w:w="4680"/>
            <w:vAlign w:val="top"/>
          </w:tcPr>
          <w:p>
            <w:pPr>
              <w:spacing w:after="20" w:line="252" w:lineRule="auto"/>
            </w:pPr>
            <w:r>
              <w:rPr>
                <w:rFonts w:ascii="Calibri" w:hAnsi="Calibri"/>
                <w:color w:val="000000"/>
                <w:sz w:val="19"/>
              </w:rPr>
              <w:t>Native text, headings and tables are extracted. OCR is optional and disabled by default in the 512 MB Render configuration.</w:t>
            </w:r>
          </w:p>
        </w:tc>
      </w:tr>
      <w:tr>
        <w:tc>
          <w:tcPr>
            <w:tcW w:type="dxa" w:w="4680"/>
            <w:vAlign w:val="top"/>
          </w:tcPr>
          <w:p>
            <w:pPr>
              <w:spacing w:after="20" w:line="252" w:lineRule="auto"/>
            </w:pPr>
            <w:r>
              <w:rPr>
                <w:rFonts w:ascii="Calibri" w:hAnsi="Calibri"/>
                <w:color w:val="000000"/>
                <w:sz w:val="19"/>
              </w:rPr>
              <w:t>DOCX</w:t>
            </w:r>
          </w:p>
        </w:tc>
        <w:tc>
          <w:tcPr>
            <w:tcW w:type="dxa" w:w="4680"/>
            <w:vAlign w:val="top"/>
          </w:tcPr>
          <w:p>
            <w:pPr>
              <w:spacing w:after="20" w:line="252" w:lineRule="auto"/>
            </w:pPr>
            <w:r>
              <w:rPr>
                <w:rFonts w:ascii="Calibri" w:hAnsi="Calibri"/>
                <w:color w:val="000000"/>
                <w:sz w:val="19"/>
              </w:rPr>
              <w:t>Paragraphs, headings and tables are read. Image-only DOCX content can return zero text segments.</w:t>
            </w:r>
          </w:p>
        </w:tc>
      </w:tr>
      <w:tr>
        <w:tc>
          <w:tcPr>
            <w:tcW w:type="dxa" w:w="4680"/>
            <w:vAlign w:val="top"/>
          </w:tcPr>
          <w:p>
            <w:pPr>
              <w:spacing w:after="20" w:line="252" w:lineRule="auto"/>
            </w:pPr>
            <w:r>
              <w:rPr>
                <w:rFonts w:ascii="Calibri" w:hAnsi="Calibri"/>
                <w:color w:val="000000"/>
                <w:sz w:val="19"/>
              </w:rPr>
              <w:t>XLSX / XLSM</w:t>
            </w:r>
          </w:p>
        </w:tc>
        <w:tc>
          <w:tcPr>
            <w:tcW w:type="dxa" w:w="4680"/>
            <w:vAlign w:val="top"/>
          </w:tcPr>
          <w:p>
            <w:pPr>
              <w:spacing w:after="20" w:line="252" w:lineRule="auto"/>
            </w:pPr>
            <w:r>
              <w:rPr>
                <w:rFonts w:ascii="Calibri" w:hAnsi="Calibri"/>
                <w:color w:val="000000"/>
                <w:sz w:val="19"/>
              </w:rPr>
              <w:t>Worksheet data is converted into header-aware row groups. Formula expressions and available cached values are retained when present.</w:t>
            </w:r>
          </w:p>
        </w:tc>
      </w:tr>
      <w:tr>
        <w:tc>
          <w:tcPr>
            <w:tcW w:type="dxa" w:w="4680"/>
            <w:vAlign w:val="top"/>
          </w:tcPr>
          <w:p>
            <w:pPr>
              <w:spacing w:after="20" w:line="252" w:lineRule="auto"/>
            </w:pPr>
            <w:r>
              <w:rPr>
                <w:rFonts w:ascii="Calibri" w:hAnsi="Calibri"/>
                <w:color w:val="000000"/>
                <w:sz w:val="19"/>
              </w:rPr>
              <w:t>TXT</w:t>
            </w:r>
          </w:p>
        </w:tc>
        <w:tc>
          <w:tcPr>
            <w:tcW w:type="dxa" w:w="4680"/>
            <w:vAlign w:val="top"/>
          </w:tcPr>
          <w:p>
            <w:pPr>
              <w:spacing w:after="20" w:line="252" w:lineRule="auto"/>
            </w:pPr>
            <w:r>
              <w:rPr>
                <w:rFonts w:ascii="Calibri" w:hAnsi="Calibri"/>
                <w:color w:val="000000"/>
                <w:sz w:val="19"/>
              </w:rPr>
              <w:t>Text is converted into source segments and semantically chunked.</w:t>
            </w:r>
          </w:p>
        </w:tc>
      </w:tr>
      <w:tr>
        <w:tc>
          <w:tcPr>
            <w:tcW w:type="dxa" w:w="4680"/>
            <w:vAlign w:val="top"/>
          </w:tcPr>
          <w:p>
            <w:pPr>
              <w:spacing w:after="20" w:line="252" w:lineRule="auto"/>
            </w:pPr>
            <w:r>
              <w:rPr>
                <w:rFonts w:ascii="Calibri" w:hAnsi="Calibri"/>
                <w:color w:val="000000"/>
                <w:sz w:val="19"/>
              </w:rPr>
              <w:t>ZIP</w:t>
            </w:r>
          </w:p>
        </w:tc>
        <w:tc>
          <w:tcPr>
            <w:tcW w:type="dxa" w:w="4680"/>
            <w:vAlign w:val="top"/>
          </w:tcPr>
          <w:p>
            <w:pPr>
              <w:spacing w:after="20" w:line="252" w:lineRule="auto"/>
            </w:pPr>
            <w:r>
              <w:rPr>
                <w:rFonts w:ascii="Calibri" w:hAnsi="Calibri"/>
                <w:color w:val="000000"/>
                <w:sz w:val="19"/>
              </w:rPr>
              <w:t>Supported documents in nested folders are extracted safely; unsupported files are ignored. Limits: 1,000 members and 500 MB extracted supported content.</w:t>
            </w:r>
          </w:p>
        </w:tc>
      </w:tr>
      <w:tr>
        <w:tc>
          <w:tcPr>
            <w:tcW w:type="dxa" w:w="4680"/>
            <w:vAlign w:val="top"/>
          </w:tcPr>
          <w:p>
            <w:pPr>
              <w:spacing w:after="20" w:line="252" w:lineRule="auto"/>
            </w:pPr>
            <w:r>
              <w:rPr>
                <w:rFonts w:ascii="Calibri" w:hAnsi="Calibri"/>
                <w:color w:val="000000"/>
                <w:sz w:val="19"/>
              </w:rPr>
              <w:t>PNG / JPG direct upload</w:t>
            </w:r>
          </w:p>
        </w:tc>
        <w:tc>
          <w:tcPr>
            <w:tcW w:type="dxa" w:w="4680"/>
            <w:vAlign w:val="top"/>
          </w:tcPr>
          <w:p>
            <w:pPr>
              <w:spacing w:after="20" w:line="252" w:lineRule="auto"/>
            </w:pPr>
            <w:r>
              <w:rPr>
                <w:rFonts w:ascii="Calibri" w:hAnsi="Calibri"/>
                <w:color w:val="000000"/>
                <w:sz w:val="19"/>
              </w:rPr>
              <w:t>Rejected by the file type filter in the current version.</w:t>
            </w:r>
          </w:p>
        </w:tc>
      </w:tr>
    </w:tbl>
    <w:p>
      <w:pPr>
        <w:pStyle w:val="Heading2"/>
      </w:pPr>
      <w:r>
        <w:t>6.2 Table and Formula Handling</w:t>
      </w:r>
    </w:p>
    <w:p>
      <w:pPr>
        <w:spacing w:before="0" w:after="120" w:line="264" w:lineRule="auto"/>
      </w:pPr>
      <w:r>
        <w:rPr>
          <w:rFonts w:ascii="Calibri" w:hAnsi="Calibri"/>
          <w:b w:val="0"/>
          <w:i w:val="0"/>
          <w:color w:val="000000"/>
          <w:sz w:val="22"/>
        </w:rPr>
        <w:t>Tables are not treated as ordinary paragraphs. The parser keeps table metadata (for example, page, table number and row range) and represents rows with their headers so that a retrieved result remains understandable. For spreadsheets, formula cells are read from a formula workbook and a values workbook, allowing the system to retain both a formula such as EV / AC and a cached calculated result if it exists in the file.</w:t>
      </w:r>
    </w:p>
    <w:p>
      <w:pPr>
        <w:spacing w:before="0" w:after="120" w:line="264" w:lineRule="auto"/>
      </w:pPr>
      <w:r>
        <w:rPr>
          <w:rFonts w:ascii="Calibri" w:hAnsi="Calibri"/>
          <w:b w:val="0"/>
          <w:i w:val="0"/>
          <w:color w:val="7A5A00"/>
          <w:sz w:val="22"/>
        </w:rPr>
        <w:t>Formula images, scanned tables and diagrams require OCR or a vision/mathematical OCR service. This is intentionally not guaranteed on the 512 MB hosted plan because RapidOCR/ONNX models increase memory use significantly. A larger instance or a dedicated OCR/vision service is the recommended production option for visual formula extraction.</w:t>
      </w:r>
    </w:p>
    <w:p>
      <w:pPr>
        <w:pStyle w:val="Heading1"/>
      </w:pPr>
      <w:r>
        <w:t>7. Semantic Chunking Design</w:t>
      </w:r>
    </w:p>
    <w:p>
      <w:pPr>
        <w:spacing w:before="0" w:after="120" w:line="264" w:lineRule="auto"/>
      </w:pPr>
      <w:r>
        <w:rPr>
          <w:rFonts w:ascii="Calibri" w:hAnsi="Calibri"/>
          <w:b w:val="0"/>
          <w:i w:val="0"/>
          <w:color w:val="000000"/>
          <w:sz w:val="22"/>
        </w:rPr>
        <w:t>Semantic chunking is different from fixed character splitting. The parser first separates useful sentences. Jina embeds those sentences in batches. The algorithm compares each next sentence to the mean vector of the current chunk and starts a new chunk when the semantic similarity falls below the configured threshold. The default threshold is 0.72, with a minimum of two sentences and a 3,500-character safety maximum.</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592"/>
            <w:tcMar>
              <w:top w:w="80" w:type="dxa"/>
              <w:start w:w="120" w:type="dxa"/>
              <w:bottom w:w="80" w:type="dxa"/>
              <w:end w:w="120" w:type="dxa"/>
            </w:tcMar>
            <w:shd w:fill="F2F4F7"/>
            <w:vAlign w:val="center"/>
          </w:tcPr>
          <w:p>
            <w:pPr>
              <w:spacing w:after="0"/>
            </w:pPr>
            <w:r>
              <w:rPr>
                <w:rFonts w:ascii="Calibri" w:hAnsi="Calibri"/>
                <w:b/>
                <w:color w:val="0B2545"/>
                <w:sz w:val="20"/>
              </w:rPr>
              <w:t>Rule</w:t>
            </w:r>
          </w:p>
        </w:tc>
        <w:tc>
          <w:tcPr>
            <w:tcW w:type="dxa" w:w="6768"/>
            <w:tcMar>
              <w:top w:w="80" w:type="dxa"/>
              <w:start w:w="120" w:type="dxa"/>
              <w:bottom w:w="80" w:type="dxa"/>
              <w:end w:w="120" w:type="dxa"/>
            </w:tcMar>
            <w:shd w:fill="F2F4F7"/>
            <w:vAlign w:val="center"/>
          </w:tcPr>
          <w:p>
            <w:pPr>
              <w:spacing w:after="0"/>
            </w:pPr>
            <w:r>
              <w:rPr>
                <w:rFonts w:ascii="Calibri" w:hAnsi="Calibri"/>
                <w:b/>
                <w:color w:val="0B2545"/>
                <w:sz w:val="20"/>
              </w:rPr>
              <w:t>Why it exists</w:t>
            </w:r>
          </w:p>
        </w:tc>
      </w:tr>
      <w:tr>
        <w:tc>
          <w:tcPr>
            <w:tcW w:type="dxa" w:w="4680"/>
            <w:vAlign w:val="top"/>
          </w:tcPr>
          <w:p>
            <w:pPr>
              <w:spacing w:after="20" w:line="252" w:lineRule="auto"/>
            </w:pPr>
            <w:r>
              <w:rPr>
                <w:rFonts w:ascii="Calibri" w:hAnsi="Calibri"/>
                <w:color w:val="000000"/>
                <w:sz w:val="19"/>
              </w:rPr>
              <w:t>Topic-shift boundary</w:t>
            </w:r>
          </w:p>
        </w:tc>
        <w:tc>
          <w:tcPr>
            <w:tcW w:type="dxa" w:w="4680"/>
            <w:vAlign w:val="top"/>
          </w:tcPr>
          <w:p>
            <w:pPr>
              <w:spacing w:after="20" w:line="252" w:lineRule="auto"/>
            </w:pPr>
            <w:r>
              <w:rPr>
                <w:rFonts w:ascii="Calibri" w:hAnsi="Calibri"/>
                <w:color w:val="000000"/>
                <w:sz w:val="19"/>
              </w:rPr>
              <w:t>A similarity drop between the accumulated meaning and the next sentence suggests a new subtopic.</w:t>
            </w:r>
          </w:p>
        </w:tc>
      </w:tr>
      <w:tr>
        <w:tc>
          <w:tcPr>
            <w:tcW w:type="dxa" w:w="4680"/>
            <w:vAlign w:val="top"/>
          </w:tcPr>
          <w:p>
            <w:pPr>
              <w:spacing w:after="20" w:line="252" w:lineRule="auto"/>
            </w:pPr>
            <w:r>
              <w:rPr>
                <w:rFonts w:ascii="Calibri" w:hAnsi="Calibri"/>
                <w:color w:val="000000"/>
                <w:sz w:val="19"/>
              </w:rPr>
              <w:t>Numbered-item boundary</w:t>
            </w:r>
          </w:p>
        </w:tc>
        <w:tc>
          <w:tcPr>
            <w:tcW w:type="dxa" w:w="4680"/>
            <w:vAlign w:val="top"/>
          </w:tcPr>
          <w:p>
            <w:pPr>
              <w:spacing w:after="20" w:line="252" w:lineRule="auto"/>
            </w:pPr>
            <w:r>
              <w:rPr>
                <w:rFonts w:ascii="Calibri" w:hAnsi="Calibri"/>
                <w:color w:val="000000"/>
                <w:sz w:val="19"/>
              </w:rPr>
              <w:t>A numbered step always starts a new chunk so a procedure is not mixed with preceding definitions.</w:t>
            </w:r>
          </w:p>
        </w:tc>
      </w:tr>
      <w:tr>
        <w:tc>
          <w:tcPr>
            <w:tcW w:type="dxa" w:w="4680"/>
            <w:vAlign w:val="top"/>
          </w:tcPr>
          <w:p>
            <w:pPr>
              <w:spacing w:after="20" w:line="252" w:lineRule="auto"/>
            </w:pPr>
            <w:r>
              <w:rPr>
                <w:rFonts w:ascii="Calibri" w:hAnsi="Calibri"/>
                <w:color w:val="000000"/>
                <w:sz w:val="19"/>
              </w:rPr>
              <w:t>Glossary-list join</w:t>
            </w:r>
          </w:p>
        </w:tc>
        <w:tc>
          <w:tcPr>
            <w:tcW w:type="dxa" w:w="4680"/>
            <w:vAlign w:val="top"/>
          </w:tcPr>
          <w:p>
            <w:pPr>
              <w:spacing w:after="20" w:line="252" w:lineRule="auto"/>
            </w:pPr>
            <w:r>
              <w:rPr>
                <w:rFonts w:ascii="Calibri" w:hAnsi="Calibri"/>
                <w:color w:val="000000"/>
                <w:sz w:val="19"/>
              </w:rPr>
              <w:t>Consecutive lines such as Normal time, Crash time and Crash cost stay together so a key-concepts question retrieves the whole list.</w:t>
            </w:r>
          </w:p>
        </w:tc>
      </w:tr>
      <w:tr>
        <w:tc>
          <w:tcPr>
            <w:tcW w:type="dxa" w:w="4680"/>
            <w:vAlign w:val="top"/>
          </w:tcPr>
          <w:p>
            <w:pPr>
              <w:spacing w:after="20" w:line="252" w:lineRule="auto"/>
            </w:pPr>
            <w:r>
              <w:rPr>
                <w:rFonts w:ascii="Calibri" w:hAnsi="Calibri"/>
                <w:color w:val="000000"/>
                <w:sz w:val="19"/>
              </w:rPr>
              <w:t>Heading attachment</w:t>
            </w:r>
          </w:p>
        </w:tc>
        <w:tc>
          <w:tcPr>
            <w:tcW w:type="dxa" w:w="4680"/>
            <w:vAlign w:val="top"/>
          </w:tcPr>
          <w:p>
            <w:pPr>
              <w:spacing w:after="20" w:line="252" w:lineRule="auto"/>
            </w:pPr>
            <w:r>
              <w:rPr>
                <w:rFonts w:ascii="Calibri" w:hAnsi="Calibri"/>
                <w:color w:val="000000"/>
                <w:sz w:val="19"/>
              </w:rPr>
              <w:t>Standalone headings are not indexed by themselves; they label the following section instead of being returned as an answer item.</w:t>
            </w:r>
          </w:p>
        </w:tc>
      </w:tr>
      <w:tr>
        <w:tc>
          <w:tcPr>
            <w:tcW w:type="dxa" w:w="4680"/>
            <w:vAlign w:val="top"/>
          </w:tcPr>
          <w:p>
            <w:pPr>
              <w:spacing w:after="20" w:line="252" w:lineRule="auto"/>
            </w:pPr>
            <w:r>
              <w:rPr>
                <w:rFonts w:ascii="Calibri" w:hAnsi="Calibri"/>
                <w:color w:val="000000"/>
                <w:sz w:val="19"/>
              </w:rPr>
              <w:t>Table/image unit</w:t>
            </w:r>
          </w:p>
        </w:tc>
        <w:tc>
          <w:tcPr>
            <w:tcW w:type="dxa" w:w="4680"/>
            <w:vAlign w:val="top"/>
          </w:tcPr>
          <w:p>
            <w:pPr>
              <w:spacing w:after="20" w:line="252" w:lineRule="auto"/>
            </w:pPr>
            <w:r>
              <w:rPr>
                <w:rFonts w:ascii="Calibri" w:hAnsi="Calibri"/>
                <w:color w:val="000000"/>
                <w:sz w:val="19"/>
              </w:rPr>
              <w:t>Structured items remain intact rather than being cut through a row or visual unit.</w:t>
            </w:r>
          </w:p>
        </w:tc>
      </w:tr>
      <w:tr>
        <w:tc>
          <w:tcPr>
            <w:tcW w:type="dxa" w:w="4680"/>
            <w:vAlign w:val="top"/>
          </w:tcPr>
          <w:p>
            <w:pPr>
              <w:spacing w:after="20" w:line="252" w:lineRule="auto"/>
            </w:pPr>
            <w:r>
              <w:rPr>
                <w:rFonts w:ascii="Calibri" w:hAnsi="Calibri"/>
                <w:color w:val="000000"/>
                <w:sz w:val="19"/>
              </w:rPr>
              <w:t>Noise removal</w:t>
            </w:r>
          </w:p>
        </w:tc>
        <w:tc>
          <w:tcPr>
            <w:tcW w:type="dxa" w:w="4680"/>
            <w:vAlign w:val="top"/>
          </w:tcPr>
          <w:p>
            <w:pPr>
              <w:spacing w:after="20" w:line="252" w:lineRule="auto"/>
            </w:pPr>
            <w:r>
              <w:rPr>
                <w:rFonts w:ascii="Calibri" w:hAnsi="Calibri"/>
                <w:color w:val="000000"/>
                <w:sz w:val="19"/>
              </w:rPr>
              <w:t>Page numbers, citation-only fragments, flow-chart labels and other extraction noise are skipped.</w:t>
            </w:r>
          </w:p>
        </w:tc>
      </w:tr>
    </w:tbl>
    <w:p>
      <w:pPr>
        <w:pStyle w:val="Heading1"/>
      </w:pPr>
      <w:r>
        <w:t>8. Qdrant Storage Model</w:t>
      </w:r>
    </w:p>
    <w:p>
      <w:pPr>
        <w:spacing w:before="0" w:after="120" w:line="264" w:lineRule="auto"/>
      </w:pPr>
      <w:r>
        <w:rPr>
          <w:rFonts w:ascii="Calibri" w:hAnsi="Calibri"/>
          <w:b w:val="0"/>
          <w:i w:val="0"/>
          <w:color w:val="000000"/>
          <w:sz w:val="22"/>
        </w:rPr>
        <w:t>Qdrant stores one point per chunk. Each point has two vector representations and a payload containing the original text and citation metadata. Point IDs are deterministic UUIDs based on chat, file, source segment and chunk index, avoiding accidental duplicate records during repeat indexing.</w:t>
      </w:r>
    </w:p>
    <w:p>
      <w:pPr>
        <w:spacing w:before="80" w:after="60" w:line="264" w:lineRule="auto"/>
      </w:pPr>
      <w:r>
        <w:rPr>
          <w:rFonts w:ascii="Calibri" w:hAnsi="Calibri"/>
          <w:b/>
          <w:i w:val="0"/>
          <w:color w:val="0B2545"/>
          <w:sz w:val="22"/>
        </w:rPr>
        <w:t>Illustrative Qdrant point payload</w:t>
      </w:r>
    </w:p>
    <w:p>
      <w:pPr>
        <w:spacing w:after="160"/>
        <w:ind w:left="259"/>
      </w:pPr>
      <w:r>
        <w:rPr>
          <w:rFonts w:ascii="Consolas" w:hAnsi="Consolas"/>
          <w:color w:val="0B2545"/>
          <w:sz w:val="17"/>
        </w:rPr>
        <w:t>{</w:t>
        <w:br/>
        <w:t xml:space="preserve">  "id": "deterministic UUID",</w:t>
        <w:br/>
        <w:t xml:space="preserve">  "vector": {"dense": "1024 Jina values", "sparse": "BM25 indices + values"},</w:t>
        <w:br/>
        <w:t xml:space="preserve">  "payload": {</w:t>
        <w:br/>
        <w:t xml:space="preserve">    "document_chat_id": "chat UUID", "file_path": "Project_Management.pdf",</w:t>
        <w:br/>
        <w:t xml:space="preserve">    "text": "Normal time: ... Crash time: ...", "page": 2,</w:t>
        <w:br/>
        <w:t xml:space="preserve">    "section": "Crashing Project Activities", "source_segment": 12,</w:t>
        <w:br/>
        <w:t xml:space="preserve">    "chunk_index": 0, "chunk_count": 1, "chunking_method": "semantic",</w:t>
        <w:br/>
        <w:t xml:space="preserve">    "table": null, "table_row_start": null, "sheet": null</w:t>
        <w:br/>
        <w:t xml:space="preserve">  }</w:t>
        <w:br/>
        <w:t>}</w:t>
      </w:r>
    </w:p>
    <w:p>
      <w:pPr>
        <w:spacing w:before="0" w:after="120" w:line="264" w:lineRule="auto"/>
      </w:pPr>
      <w:r>
        <w:rPr>
          <w:rFonts w:ascii="Calibri" w:hAnsi="Calibri"/>
          <w:b w:val="0"/>
          <w:i w:val="0"/>
          <w:color w:val="000000"/>
          <w:sz w:val="22"/>
        </w:rPr>
        <w:t>Payload indexes are created for document_chat_id, file_path and source_segment. These indexes make chat isolation, file selection and neighbouring-procedure retrieval efficient.</w:t>
      </w:r>
    </w:p>
    <w:p>
      <w:pPr>
        <w:pStyle w:val="Heading1"/>
      </w:pPr>
      <w:r>
        <w:t>9. Question Answering and Citation Workflow</w:t>
      </w:r>
    </w:p>
    <w:p>
      <w:pPr>
        <w:pStyle w:val="ListNumber"/>
        <w:spacing w:after="80" w:line="280" w:lineRule="auto"/>
      </w:pPr>
      <w:r>
        <w:rPr>
          <w:rFonts w:ascii="Calibri" w:hAnsi="Calibri"/>
          <w:color w:val="000000"/>
          <w:sz w:val="22"/>
        </w:rPr>
        <w:t>The question is embedded using the Jina API and converted to a BM25 sparse vector using FastEmbed.</w:t>
      </w:r>
    </w:p>
    <w:p>
      <w:pPr>
        <w:pStyle w:val="ListNumber"/>
        <w:spacing w:after="80" w:line="280" w:lineRule="auto"/>
      </w:pPr>
      <w:r>
        <w:rPr>
          <w:rFonts w:ascii="Calibri" w:hAnsi="Calibri"/>
          <w:color w:val="000000"/>
          <w:sz w:val="22"/>
        </w:rPr>
        <w:t>Qdrant performs dense and sparse searches, always filtered to the active document_chat_id.</w:t>
      </w:r>
    </w:p>
    <w:p>
      <w:pPr>
        <w:pStyle w:val="ListNumber"/>
        <w:spacing w:after="80" w:line="280" w:lineRule="auto"/>
      </w:pPr>
      <w:r>
        <w:rPr>
          <w:rFonts w:ascii="Calibri" w:hAnsi="Calibri"/>
          <w:color w:val="000000"/>
          <w:sz w:val="22"/>
        </w:rPr>
        <w:t>Reciprocal Rank Fusion (RRF) combines both rankings. A chunk receives a contribution of 1 / (60 + rank) from each retrieval method where it appears.</w:t>
      </w:r>
    </w:p>
    <w:p>
      <w:pPr>
        <w:pStyle w:val="ListNumber"/>
        <w:spacing w:after="80" w:line="280" w:lineRule="auto"/>
      </w:pPr>
      <w:r>
        <w:rPr>
          <w:rFonts w:ascii="Calibri" w:hAnsi="Calibri"/>
          <w:color w:val="000000"/>
          <w:sz w:val="22"/>
        </w:rPr>
        <w:t>The system compares the best score from each file. Only files meeting the evidence threshold and at least 60% of the strongest file score are kept; it then re-searches only those file(s).</w:t>
      </w:r>
    </w:p>
    <w:p>
      <w:pPr>
        <w:pStyle w:val="ListNumber"/>
        <w:spacing w:after="80" w:line="280" w:lineRule="auto"/>
      </w:pPr>
      <w:r>
        <w:rPr>
          <w:rFonts w:ascii="Calibri" w:hAnsi="Calibri"/>
          <w:color w:val="000000"/>
          <w:sz w:val="22"/>
        </w:rPr>
        <w:t>For questions asking for steps, process, procedure or sequence, the system retrieves neighbouring chunks in the same source segment, in original chunk order. This prevents Step 1 from being omitted merely because Step 2 ranked higher.</w:t>
      </w:r>
    </w:p>
    <w:p>
      <w:pPr>
        <w:pStyle w:val="ListNumber"/>
        <w:spacing w:after="80" w:line="280" w:lineRule="auto"/>
      </w:pPr>
      <w:r>
        <w:rPr>
          <w:rFonts w:ascii="Calibri" w:hAnsi="Calibri"/>
          <w:color w:val="000000"/>
          <w:sz w:val="22"/>
        </w:rPr>
        <w:t>The selected chunks are sent to Groq with instructions to answer only from supplied evidence and include bracket citations such as [1].</w:t>
      </w:r>
    </w:p>
    <w:p>
      <w:pPr>
        <w:pStyle w:val="ListNumber"/>
        <w:spacing w:after="80" w:line="280" w:lineRule="auto"/>
      </w:pPr>
      <w:r>
        <w:rPr>
          <w:rFonts w:ascii="Calibri" w:hAnsi="Calibri"/>
          <w:color w:val="000000"/>
          <w:sz w:val="22"/>
        </w:rPr>
        <w:t>The interface renders the answer, Sources list and a View retrieved chunks panel showing the exact text, relevance score, file, page, section and chunk position.</w:t>
      </w:r>
    </w:p>
    <w:p>
      <w:pPr>
        <w:pStyle w:val="Heading1"/>
      </w:pPr>
      <w:r>
        <w:t>9.1 Why a citation may reference multiple chunks</w:t>
      </w:r>
    </w:p>
    <w:p>
      <w:pPr>
        <w:spacing w:before="0" w:after="120" w:line="264" w:lineRule="auto"/>
      </w:pPr>
      <w:r>
        <w:rPr>
          <w:rFonts w:ascii="Calibri" w:hAnsi="Calibri"/>
          <w:b w:val="0"/>
          <w:i w:val="0"/>
          <w:color w:val="000000"/>
          <w:sz w:val="22"/>
        </w:rPr>
        <w:t>A multi-point answer can correctly cite more than one chunk. For example, a list of definitions may be in one chunk while a rule about the critical path is in another. However, the citation should appear immediately after the statement it supports. The retrieved-chunk panel makes this check transparent. When parser or chunking logic changes, old points must be deleted and the file re-indexed; Qdrant does not automatically rewrite previously stored chunks.</w:t>
      </w:r>
    </w:p>
    <w:p>
      <w:pPr>
        <w:pStyle w:val="Heading1"/>
      </w:pPr>
      <w:r>
        <w:t>10. Chat Management and Persistence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376"/>
            <w:tcMar>
              <w:top w:w="80" w:type="dxa"/>
              <w:start w:w="120" w:type="dxa"/>
              <w:bottom w:w="80" w:type="dxa"/>
              <w:end w:w="120" w:type="dxa"/>
            </w:tcMar>
            <w:shd w:fill="F2F4F7"/>
            <w:vAlign w:val="center"/>
          </w:tcPr>
          <w:p>
            <w:pPr>
              <w:spacing w:after="0"/>
            </w:pPr>
            <w:r>
              <w:rPr>
                <w:rFonts w:ascii="Calibri" w:hAnsi="Calibri"/>
                <w:b/>
                <w:color w:val="0B2545"/>
                <w:sz w:val="20"/>
              </w:rPr>
              <w:t>Feature</w:t>
            </w:r>
          </w:p>
        </w:tc>
        <w:tc>
          <w:tcPr>
            <w:tcW w:type="dxa" w:w="6983"/>
            <w:tcMar>
              <w:top w:w="80" w:type="dxa"/>
              <w:start w:w="120" w:type="dxa"/>
              <w:bottom w:w="80" w:type="dxa"/>
              <w:end w:w="120" w:type="dxa"/>
            </w:tcMar>
            <w:shd w:fill="F2F4F7"/>
            <w:vAlign w:val="center"/>
          </w:tcPr>
          <w:p>
            <w:pPr>
              <w:spacing w:after="0"/>
            </w:pPr>
            <w:r>
              <w:rPr>
                <w:rFonts w:ascii="Calibri" w:hAnsi="Calibri"/>
                <w:b/>
                <w:color w:val="0B2545"/>
                <w:sz w:val="20"/>
              </w:rPr>
              <w:t>Behaviour</w:t>
            </w:r>
          </w:p>
        </w:tc>
      </w:tr>
      <w:tr>
        <w:tc>
          <w:tcPr>
            <w:tcW w:type="dxa" w:w="4680"/>
            <w:vAlign w:val="top"/>
          </w:tcPr>
          <w:p>
            <w:pPr>
              <w:spacing w:after="20" w:line="252" w:lineRule="auto"/>
            </w:pPr>
            <w:r>
              <w:rPr>
                <w:rFonts w:ascii="Calibri" w:hAnsi="Calibri"/>
                <w:color w:val="000000"/>
                <w:sz w:val="19"/>
              </w:rPr>
              <w:t>Current chat scope</w:t>
            </w:r>
          </w:p>
        </w:tc>
        <w:tc>
          <w:tcPr>
            <w:tcW w:type="dxa" w:w="4680"/>
            <w:vAlign w:val="top"/>
          </w:tcPr>
          <w:p>
            <w:pPr>
              <w:spacing w:after="20" w:line="252" w:lineRule="auto"/>
            </w:pPr>
            <w:r>
              <w:rPr>
                <w:rFonts w:ascii="Calibri" w:hAnsi="Calibri"/>
                <w:color w:val="000000"/>
                <w:sz w:val="19"/>
              </w:rPr>
              <w:t>Queries use only the active chat's document_chat_id filter; documents from another chat are excluded.</w:t>
            </w:r>
          </w:p>
        </w:tc>
      </w:tr>
      <w:tr>
        <w:tc>
          <w:tcPr>
            <w:tcW w:type="dxa" w:w="4680"/>
            <w:vAlign w:val="top"/>
          </w:tcPr>
          <w:p>
            <w:pPr>
              <w:spacing w:after="20" w:line="252" w:lineRule="auto"/>
            </w:pPr>
            <w:r>
              <w:rPr>
                <w:rFonts w:ascii="Calibri" w:hAnsi="Calibri"/>
                <w:color w:val="000000"/>
                <w:sz w:val="19"/>
              </w:rPr>
              <w:t>Automatic name</w:t>
            </w:r>
          </w:p>
        </w:tc>
        <w:tc>
          <w:tcPr>
            <w:tcW w:type="dxa" w:w="4680"/>
            <w:vAlign w:val="top"/>
          </w:tcPr>
          <w:p>
            <w:pPr>
              <w:spacing w:after="20" w:line="252" w:lineRule="auto"/>
            </w:pPr>
            <w:r>
              <w:rPr>
                <w:rFonts w:ascii="Calibri" w:hAnsi="Calibri"/>
                <w:color w:val="000000"/>
                <w:sz w:val="19"/>
              </w:rPr>
              <w:t>A new chat can be named from the first uploaded file or ZIP folder name.</w:t>
            </w:r>
          </w:p>
        </w:tc>
      </w:tr>
      <w:tr>
        <w:tc>
          <w:tcPr>
            <w:tcW w:type="dxa" w:w="4680"/>
            <w:vAlign w:val="top"/>
          </w:tcPr>
          <w:p>
            <w:pPr>
              <w:spacing w:after="20" w:line="252" w:lineRule="auto"/>
            </w:pPr>
            <w:r>
              <w:rPr>
                <w:rFonts w:ascii="Calibri" w:hAnsi="Calibri"/>
                <w:color w:val="000000"/>
                <w:sz w:val="19"/>
              </w:rPr>
              <w:t>Manual rename</w:t>
            </w:r>
          </w:p>
        </w:tc>
        <w:tc>
          <w:tcPr>
            <w:tcW w:type="dxa" w:w="4680"/>
            <w:vAlign w:val="top"/>
          </w:tcPr>
          <w:p>
            <w:pPr>
              <w:spacing w:after="20" w:line="252" w:lineRule="auto"/>
            </w:pPr>
            <w:r>
              <w:rPr>
                <w:rFonts w:ascii="Calibri" w:hAnsi="Calibri"/>
                <w:color w:val="000000"/>
                <w:sz w:val="19"/>
              </w:rPr>
              <w:t>The user can rename the document chat; the UI and stored record should refresh to show the new name.</w:t>
            </w:r>
          </w:p>
        </w:tc>
      </w:tr>
      <w:tr>
        <w:tc>
          <w:tcPr>
            <w:tcW w:type="dxa" w:w="4680"/>
            <w:vAlign w:val="top"/>
          </w:tcPr>
          <w:p>
            <w:pPr>
              <w:spacing w:after="20" w:line="252" w:lineRule="auto"/>
            </w:pPr>
            <w:r>
              <w:rPr>
                <w:rFonts w:ascii="Calibri" w:hAnsi="Calibri"/>
                <w:color w:val="000000"/>
                <w:sz w:val="19"/>
              </w:rPr>
              <w:t>Indexed files view</w:t>
            </w:r>
          </w:p>
        </w:tc>
        <w:tc>
          <w:tcPr>
            <w:tcW w:type="dxa" w:w="4680"/>
            <w:vAlign w:val="top"/>
          </w:tcPr>
          <w:p>
            <w:pPr>
              <w:spacing w:after="20" w:line="252" w:lineRule="auto"/>
            </w:pPr>
            <w:r>
              <w:rPr>
                <w:rFonts w:ascii="Calibri" w:hAnsi="Calibri"/>
                <w:color w:val="000000"/>
                <w:sz w:val="19"/>
              </w:rPr>
              <w:t>The app lists files in the active chat so the user knows whether a document is already indexed.</w:t>
            </w:r>
          </w:p>
        </w:tc>
      </w:tr>
      <w:tr>
        <w:tc>
          <w:tcPr>
            <w:tcW w:type="dxa" w:w="4680"/>
            <w:vAlign w:val="top"/>
          </w:tcPr>
          <w:p>
            <w:pPr>
              <w:spacing w:after="20" w:line="252" w:lineRule="auto"/>
            </w:pPr>
            <w:r>
              <w:rPr>
                <w:rFonts w:ascii="Calibri" w:hAnsi="Calibri"/>
                <w:color w:val="000000"/>
                <w:sz w:val="19"/>
              </w:rPr>
              <w:t>Question history</w:t>
            </w:r>
          </w:p>
        </w:tc>
        <w:tc>
          <w:tcPr>
            <w:tcW w:type="dxa" w:w="4680"/>
            <w:vAlign w:val="top"/>
          </w:tcPr>
          <w:p>
            <w:pPr>
              <w:spacing w:after="20" w:line="252" w:lineRule="auto"/>
            </w:pPr>
            <w:r>
              <w:rPr>
                <w:rFonts w:ascii="Calibri" w:hAnsi="Calibri"/>
                <w:color w:val="000000"/>
                <w:sz w:val="19"/>
              </w:rPr>
              <w:t>Supabase persists asked questions and answers; users can clear only the chat's displayed question history.</w:t>
            </w:r>
          </w:p>
        </w:tc>
      </w:tr>
      <w:tr>
        <w:tc>
          <w:tcPr>
            <w:tcW w:type="dxa" w:w="4680"/>
            <w:vAlign w:val="top"/>
          </w:tcPr>
          <w:p>
            <w:pPr>
              <w:spacing w:after="20" w:line="252" w:lineRule="auto"/>
            </w:pPr>
            <w:r>
              <w:rPr>
                <w:rFonts w:ascii="Calibri" w:hAnsi="Calibri"/>
                <w:color w:val="000000"/>
                <w:sz w:val="19"/>
              </w:rPr>
              <w:t>Delete chat</w:t>
            </w:r>
          </w:p>
        </w:tc>
        <w:tc>
          <w:tcPr>
            <w:tcW w:type="dxa" w:w="4680"/>
            <w:vAlign w:val="top"/>
          </w:tcPr>
          <w:p>
            <w:pPr>
              <w:spacing w:after="20" w:line="252" w:lineRule="auto"/>
            </w:pPr>
            <w:r>
              <w:rPr>
                <w:rFonts w:ascii="Calibri" w:hAnsi="Calibri"/>
                <w:color w:val="000000"/>
                <w:sz w:val="19"/>
              </w:rPr>
              <w:t>Deletion removes the chat's Qdrant points using document_chat_id and removes corresponding Supabase data through the configured relationship/cascade.</w:t>
            </w:r>
          </w:p>
        </w:tc>
      </w:tr>
    </w:tbl>
    <w:p>
      <w:pPr>
        <w:pStyle w:val="Heading1"/>
      </w:pPr>
      <w:r>
        <w:t>11. Deployment and Resource Design</w:t>
      </w:r>
    </w:p>
    <w:p>
      <w:pPr>
        <w:spacing w:before="0" w:after="120" w:line="264" w:lineRule="auto"/>
      </w:pPr>
      <w:r>
        <w:rPr>
          <w:rFonts w:ascii="Calibri" w:hAnsi="Calibri"/>
          <w:b w:val="0"/>
          <w:i w:val="0"/>
          <w:color w:val="000000"/>
          <w:sz w:val="22"/>
        </w:rPr>
        <w:t>The hosted application runs in Docker on Render. Qdrant Cloud, Jina, Groq and Supabase are accessed with API credentials stored as environment variables. This means vector database storage and answer/embedding computation are external services; the hosting service primarily runs parsing, chunk orchestration, sparse embeddings and the Streamlit user interface.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3168"/>
            <w:tcMar>
              <w:top w:w="80" w:type="dxa"/>
              <w:start w:w="120" w:type="dxa"/>
              <w:bottom w:w="80" w:type="dxa"/>
              <w:end w:w="120" w:type="dxa"/>
            </w:tcMar>
            <w:shd w:fill="F2F4F7"/>
            <w:vAlign w:val="center"/>
          </w:tcPr>
          <w:p>
            <w:pPr>
              <w:spacing w:after="0"/>
            </w:pPr>
            <w:r>
              <w:rPr>
                <w:rFonts w:ascii="Calibri" w:hAnsi="Calibri"/>
                <w:b/>
                <w:color w:val="0B2545"/>
                <w:sz w:val="20"/>
              </w:rPr>
              <w:t>Configuration</w:t>
            </w:r>
          </w:p>
        </w:tc>
        <w:tc>
          <w:tcPr>
            <w:tcW w:type="dxa" w:w="6192"/>
            <w:tcMar>
              <w:top w:w="80" w:type="dxa"/>
              <w:start w:w="120" w:type="dxa"/>
              <w:bottom w:w="80" w:type="dxa"/>
              <w:end w:w="120" w:type="dxa"/>
            </w:tcMar>
            <w:shd w:fill="F2F4F7"/>
            <w:vAlign w:val="center"/>
          </w:tcPr>
          <w:p>
            <w:pPr>
              <w:spacing w:after="0"/>
            </w:pPr>
            <w:r>
              <w:rPr>
                <w:rFonts w:ascii="Calibri" w:hAnsi="Calibri"/>
                <w:b/>
                <w:color w:val="0B2545"/>
                <w:sz w:val="20"/>
              </w:rPr>
              <w:t>Purpose</w:t>
            </w:r>
          </w:p>
        </w:tc>
      </w:tr>
      <w:tr>
        <w:tc>
          <w:tcPr>
            <w:tcW w:type="dxa" w:w="4680"/>
            <w:vAlign w:val="top"/>
          </w:tcPr>
          <w:p>
            <w:pPr>
              <w:spacing w:after="20" w:line="252" w:lineRule="auto"/>
            </w:pPr>
            <w:r>
              <w:rPr>
                <w:rFonts w:ascii="Calibri" w:hAnsi="Calibri"/>
                <w:color w:val="000000"/>
                <w:sz w:val="19"/>
              </w:rPr>
              <w:t>QDRANT_URL / QDRANT_API_KEY</w:t>
            </w:r>
          </w:p>
        </w:tc>
        <w:tc>
          <w:tcPr>
            <w:tcW w:type="dxa" w:w="4680"/>
            <w:vAlign w:val="top"/>
          </w:tcPr>
          <w:p>
            <w:pPr>
              <w:spacing w:after="20" w:line="252" w:lineRule="auto"/>
            </w:pPr>
            <w:r>
              <w:rPr>
                <w:rFonts w:ascii="Calibri" w:hAnsi="Calibri"/>
                <w:color w:val="000000"/>
                <w:sz w:val="19"/>
              </w:rPr>
              <w:t>Connect to the Qdrant Cloud collection.</w:t>
            </w:r>
          </w:p>
        </w:tc>
      </w:tr>
      <w:tr>
        <w:tc>
          <w:tcPr>
            <w:tcW w:type="dxa" w:w="4680"/>
            <w:vAlign w:val="top"/>
          </w:tcPr>
          <w:p>
            <w:pPr>
              <w:spacing w:after="20" w:line="252" w:lineRule="auto"/>
            </w:pPr>
            <w:r>
              <w:rPr>
                <w:rFonts w:ascii="Calibri" w:hAnsi="Calibri"/>
                <w:color w:val="000000"/>
                <w:sz w:val="19"/>
              </w:rPr>
              <w:t>JINA_API_KEY</w:t>
            </w:r>
          </w:p>
        </w:tc>
        <w:tc>
          <w:tcPr>
            <w:tcW w:type="dxa" w:w="4680"/>
            <w:vAlign w:val="top"/>
          </w:tcPr>
          <w:p>
            <w:pPr>
              <w:spacing w:after="20" w:line="252" w:lineRule="auto"/>
            </w:pPr>
            <w:r>
              <w:rPr>
                <w:rFonts w:ascii="Calibri" w:hAnsi="Calibri"/>
                <w:color w:val="000000"/>
                <w:sz w:val="19"/>
              </w:rPr>
              <w:t>Call the Jina OpenAI-compatible embedding API.</w:t>
            </w:r>
          </w:p>
        </w:tc>
      </w:tr>
      <w:tr>
        <w:tc>
          <w:tcPr>
            <w:tcW w:type="dxa" w:w="4680"/>
            <w:vAlign w:val="top"/>
          </w:tcPr>
          <w:p>
            <w:pPr>
              <w:spacing w:after="20" w:line="252" w:lineRule="auto"/>
            </w:pPr>
            <w:r>
              <w:rPr>
                <w:rFonts w:ascii="Calibri" w:hAnsi="Calibri"/>
                <w:color w:val="000000"/>
                <w:sz w:val="19"/>
              </w:rPr>
              <w:t>GROQ_API_KEY</w:t>
            </w:r>
          </w:p>
        </w:tc>
        <w:tc>
          <w:tcPr>
            <w:tcW w:type="dxa" w:w="4680"/>
            <w:vAlign w:val="top"/>
          </w:tcPr>
          <w:p>
            <w:pPr>
              <w:spacing w:after="20" w:line="252" w:lineRule="auto"/>
            </w:pPr>
            <w:r>
              <w:rPr>
                <w:rFonts w:ascii="Calibri" w:hAnsi="Calibri"/>
                <w:color w:val="000000"/>
                <w:sz w:val="19"/>
              </w:rPr>
              <w:t>Generate grounded final answers.</w:t>
            </w:r>
          </w:p>
        </w:tc>
      </w:tr>
      <w:tr>
        <w:tc>
          <w:tcPr>
            <w:tcW w:type="dxa" w:w="4680"/>
            <w:vAlign w:val="top"/>
          </w:tcPr>
          <w:p>
            <w:pPr>
              <w:spacing w:after="20" w:line="252" w:lineRule="auto"/>
            </w:pPr>
            <w:r>
              <w:rPr>
                <w:rFonts w:ascii="Calibri" w:hAnsi="Calibri"/>
                <w:color w:val="000000"/>
                <w:sz w:val="19"/>
              </w:rPr>
              <w:t>SUPABASE_URL / SUPABASE_KEY</w:t>
            </w:r>
          </w:p>
        </w:tc>
        <w:tc>
          <w:tcPr>
            <w:tcW w:type="dxa" w:w="4680"/>
            <w:vAlign w:val="top"/>
          </w:tcPr>
          <w:p>
            <w:pPr>
              <w:spacing w:after="20" w:line="252" w:lineRule="auto"/>
            </w:pPr>
            <w:r>
              <w:rPr>
                <w:rFonts w:ascii="Calibri" w:hAnsi="Calibri"/>
                <w:color w:val="000000"/>
                <w:sz w:val="19"/>
              </w:rPr>
              <w:t>Persist chats and question history.</w:t>
            </w:r>
          </w:p>
        </w:tc>
      </w:tr>
      <w:tr>
        <w:tc>
          <w:tcPr>
            <w:tcW w:type="dxa" w:w="4680"/>
            <w:vAlign w:val="top"/>
          </w:tcPr>
          <w:p>
            <w:pPr>
              <w:spacing w:after="20" w:line="252" w:lineRule="auto"/>
            </w:pPr>
            <w:r>
              <w:rPr>
                <w:rFonts w:ascii="Calibri" w:hAnsi="Calibri"/>
                <w:color w:val="000000"/>
                <w:sz w:val="19"/>
              </w:rPr>
              <w:t>EMBEDDING_DEVICE=cpu</w:t>
            </w:r>
          </w:p>
        </w:tc>
        <w:tc>
          <w:tcPr>
            <w:tcW w:type="dxa" w:w="4680"/>
            <w:vAlign w:val="top"/>
          </w:tcPr>
          <w:p>
            <w:pPr>
              <w:spacing w:after="20" w:line="252" w:lineRule="auto"/>
            </w:pPr>
            <w:r>
              <w:rPr>
                <w:rFonts w:ascii="Calibri" w:hAnsi="Calibri"/>
                <w:color w:val="000000"/>
                <w:sz w:val="19"/>
              </w:rPr>
              <w:t>Appropriate for the hosted service because dense embeddings are API-based.</w:t>
            </w:r>
          </w:p>
        </w:tc>
      </w:tr>
      <w:tr>
        <w:tc>
          <w:tcPr>
            <w:tcW w:type="dxa" w:w="4680"/>
            <w:vAlign w:val="top"/>
          </w:tcPr>
          <w:p>
            <w:pPr>
              <w:spacing w:after="20" w:line="252" w:lineRule="auto"/>
            </w:pPr>
            <w:r>
              <w:rPr>
                <w:rFonts w:ascii="Calibri" w:hAnsi="Calibri"/>
                <w:color w:val="000000"/>
                <w:sz w:val="19"/>
              </w:rPr>
              <w:t>ENABLE_PDF_OCR=false</w:t>
            </w:r>
          </w:p>
        </w:tc>
        <w:tc>
          <w:tcPr>
            <w:tcW w:type="dxa" w:w="4680"/>
            <w:vAlign w:val="top"/>
          </w:tcPr>
          <w:p>
            <w:pPr>
              <w:spacing w:after="20" w:line="252" w:lineRule="auto"/>
            </w:pPr>
            <w:r>
              <w:rPr>
                <w:rFonts w:ascii="Calibri" w:hAnsi="Calibri"/>
                <w:color w:val="000000"/>
                <w:sz w:val="19"/>
              </w:rPr>
              <w:t>Default on the 512 MB Render plan to avoid OCR/ONNX memory crashes.</w:t>
            </w:r>
          </w:p>
        </w:tc>
      </w:tr>
    </w:tbl>
    <w:p>
      <w:pPr>
        <w:spacing w:before="0" w:after="120" w:line="264" w:lineRule="auto"/>
      </w:pPr>
      <w:r>
        <w:rPr>
          <w:rFonts w:ascii="Calibri" w:hAnsi="Calibri"/>
          <w:b w:val="0"/>
          <w:i w:val="0"/>
          <w:color w:val="7A5A00"/>
          <w:sz w:val="22"/>
        </w:rPr>
        <w:t>GPU clarification: the developer laptop GPU can accelerate locally installed models, but it is not available to a hosted Render instance. In the current architecture, dense embeddings are already calculated by the Jina API, so the hosting CPU is not the main dense-embedding bottleneck. A hosted GPU requires a provider plan that explicitly supplies one.</w:t>
      </w:r>
    </w:p>
    <w:p>
      <w:pPr>
        <w:pStyle w:val="Heading1"/>
      </w:pPr>
      <w:r>
        <w:t>12. Validation and Edge-Case Test Plan</w:t>
      </w:r>
    </w:p>
    <w:p>
      <w:pPr>
        <w:spacing w:before="0" w:after="120" w:line="264" w:lineRule="auto"/>
      </w:pPr>
      <w:r>
        <w:rPr>
          <w:rFonts w:ascii="Calibri" w:hAnsi="Calibri"/>
          <w:b w:val="0"/>
          <w:i w:val="0"/>
          <w:color w:val="000000"/>
          <w:sz w:val="22"/>
        </w:rPr>
        <w:t>The following cases reflect the edge cases tested or required during development. The report records expected observable behaviour rather than claiming a test passed without evidence.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3384"/>
            <w:tcMar>
              <w:top w:w="80" w:type="dxa"/>
              <w:start w:w="120" w:type="dxa"/>
              <w:bottom w:w="80" w:type="dxa"/>
              <w:end w:w="120" w:type="dxa"/>
            </w:tcMar>
            <w:shd w:fill="F2F4F7"/>
            <w:vAlign w:val="center"/>
          </w:tcPr>
          <w:p>
            <w:pPr>
              <w:spacing w:after="0"/>
            </w:pPr>
            <w:r>
              <w:rPr>
                <w:rFonts w:ascii="Calibri" w:hAnsi="Calibri"/>
                <w:b/>
                <w:color w:val="0B2545"/>
                <w:sz w:val="18"/>
              </w:rPr>
              <w:t>Scenario</w:t>
            </w:r>
          </w:p>
        </w:tc>
        <w:tc>
          <w:tcPr>
            <w:tcW w:type="dxa" w:w="5976"/>
            <w:tcMar>
              <w:top w:w="80" w:type="dxa"/>
              <w:start w:w="120" w:type="dxa"/>
              <w:bottom w:w="80" w:type="dxa"/>
              <w:end w:w="120" w:type="dxa"/>
            </w:tcMar>
            <w:shd w:fill="F2F4F7"/>
            <w:vAlign w:val="center"/>
          </w:tcPr>
          <w:p>
            <w:pPr>
              <w:spacing w:after="0"/>
            </w:pPr>
            <w:r>
              <w:rPr>
                <w:rFonts w:ascii="Calibri" w:hAnsi="Calibri"/>
                <w:b/>
                <w:color w:val="0B2545"/>
                <w:sz w:val="18"/>
              </w:rPr>
              <w:t>Expected behaviour / evidence</w:t>
            </w:r>
          </w:p>
        </w:tc>
      </w:tr>
      <w:tr>
        <w:tc>
          <w:tcPr>
            <w:tcW w:type="dxa" w:w="4680"/>
            <w:vAlign w:val="top"/>
          </w:tcPr>
          <w:p>
            <w:pPr>
              <w:spacing w:after="20" w:line="252" w:lineRule="auto"/>
            </w:pPr>
            <w:r>
              <w:rPr>
                <w:rFonts w:ascii="Calibri" w:hAnsi="Calibri"/>
                <w:color w:val="000000"/>
                <w:sz w:val="17"/>
              </w:rPr>
              <w:t>Empty PDF/DOCX/TXT</w:t>
            </w:r>
          </w:p>
        </w:tc>
        <w:tc>
          <w:tcPr>
            <w:tcW w:type="dxa" w:w="4680"/>
            <w:vAlign w:val="top"/>
          </w:tcPr>
          <w:p>
            <w:pPr>
              <w:spacing w:after="20" w:line="252" w:lineRule="auto"/>
            </w:pPr>
            <w:r>
              <w:rPr>
                <w:rFonts w:ascii="Calibri" w:hAnsi="Calibri"/>
                <w:color w:val="000000"/>
                <w:sz w:val="17"/>
              </w:rPr>
              <w:t>Graceful message or zero-segment result; application must not crash.</w:t>
            </w:r>
          </w:p>
        </w:tc>
      </w:tr>
      <w:tr>
        <w:tc>
          <w:tcPr>
            <w:tcW w:type="dxa" w:w="4680"/>
            <w:vAlign w:val="top"/>
          </w:tcPr>
          <w:p>
            <w:pPr>
              <w:spacing w:after="20" w:line="252" w:lineRule="auto"/>
            </w:pPr>
            <w:r>
              <w:rPr>
                <w:rFonts w:ascii="Calibri" w:hAnsi="Calibri"/>
                <w:color w:val="000000"/>
                <w:sz w:val="17"/>
              </w:rPr>
              <w:t>Scanned or image-only PDF</w:t>
            </w:r>
          </w:p>
        </w:tc>
        <w:tc>
          <w:tcPr>
            <w:tcW w:type="dxa" w:w="4680"/>
            <w:vAlign w:val="top"/>
          </w:tcPr>
          <w:p>
            <w:pPr>
              <w:spacing w:after="20" w:line="252" w:lineRule="auto"/>
            </w:pPr>
            <w:r>
              <w:rPr>
                <w:rFonts w:ascii="Calibri" w:hAnsi="Calibri"/>
                <w:color w:val="000000"/>
                <w:sz w:val="17"/>
              </w:rPr>
              <w:t>Clear notice when text/OCR is unavailable. On 512 MB Render, OCR remains disabled by design.</w:t>
            </w:r>
          </w:p>
        </w:tc>
      </w:tr>
      <w:tr>
        <w:tc>
          <w:tcPr>
            <w:tcW w:type="dxa" w:w="4680"/>
            <w:vAlign w:val="top"/>
          </w:tcPr>
          <w:p>
            <w:pPr>
              <w:spacing w:after="20" w:line="252" w:lineRule="auto"/>
            </w:pPr>
            <w:r>
              <w:rPr>
                <w:rFonts w:ascii="Calibri" w:hAnsi="Calibri"/>
                <w:color w:val="000000"/>
                <w:sz w:val="17"/>
              </w:rPr>
              <w:t>Large file (100 MB+)</w:t>
            </w:r>
          </w:p>
        </w:tc>
        <w:tc>
          <w:tcPr>
            <w:tcW w:type="dxa" w:w="4680"/>
            <w:vAlign w:val="top"/>
          </w:tcPr>
          <w:p>
            <w:pPr>
              <w:spacing w:after="20" w:line="252" w:lineRule="auto"/>
            </w:pPr>
            <w:r>
              <w:rPr>
                <w:rFonts w:ascii="Calibri" w:hAnsi="Calibri"/>
                <w:color w:val="000000"/>
                <w:sz w:val="17"/>
              </w:rPr>
              <w:t>File-size/timeout feedback rather than silent failure; hosted plan limits must be observed.</w:t>
            </w:r>
          </w:p>
        </w:tc>
      </w:tr>
      <w:tr>
        <w:tc>
          <w:tcPr>
            <w:tcW w:type="dxa" w:w="4680"/>
            <w:vAlign w:val="top"/>
          </w:tcPr>
          <w:p>
            <w:pPr>
              <w:spacing w:after="20" w:line="252" w:lineRule="auto"/>
            </w:pPr>
            <w:r>
              <w:rPr>
                <w:rFonts w:ascii="Calibri" w:hAnsi="Calibri"/>
                <w:color w:val="000000"/>
                <w:sz w:val="17"/>
              </w:rPr>
              <w:t>Special characters in filename</w:t>
            </w:r>
          </w:p>
        </w:tc>
        <w:tc>
          <w:tcPr>
            <w:tcW w:type="dxa" w:w="4680"/>
            <w:vAlign w:val="top"/>
          </w:tcPr>
          <w:p>
            <w:pPr>
              <w:spacing w:after="20" w:line="252" w:lineRule="auto"/>
            </w:pPr>
            <w:r>
              <w:rPr>
                <w:rFonts w:ascii="Calibri" w:hAnsi="Calibri"/>
                <w:color w:val="000000"/>
                <w:sz w:val="17"/>
              </w:rPr>
              <w:t>Parser preserves and handles Unicode/special characters safely.</w:t>
            </w:r>
          </w:p>
        </w:tc>
      </w:tr>
      <w:tr>
        <w:tc>
          <w:tcPr>
            <w:tcW w:type="dxa" w:w="4680"/>
            <w:vAlign w:val="top"/>
          </w:tcPr>
          <w:p>
            <w:pPr>
              <w:spacing w:after="20" w:line="252" w:lineRule="auto"/>
            </w:pPr>
            <w:r>
              <w:rPr>
                <w:rFonts w:ascii="Calibri" w:hAnsi="Calibri"/>
                <w:color w:val="000000"/>
                <w:sz w:val="17"/>
              </w:rPr>
              <w:t>Corrupt PDF/DOCX/XLSX</w:t>
            </w:r>
          </w:p>
        </w:tc>
        <w:tc>
          <w:tcPr>
            <w:tcW w:type="dxa" w:w="4680"/>
            <w:vAlign w:val="top"/>
          </w:tcPr>
          <w:p>
            <w:pPr>
              <w:spacing w:after="20" w:line="252" w:lineRule="auto"/>
            </w:pPr>
            <w:r>
              <w:rPr>
                <w:rFonts w:ascii="Calibri" w:hAnsi="Calibri"/>
                <w:color w:val="000000"/>
                <w:sz w:val="17"/>
              </w:rPr>
              <w:t>Per-file error is shown without crashing the whole indexing session.</w:t>
            </w:r>
          </w:p>
        </w:tc>
      </w:tr>
      <w:tr>
        <w:tc>
          <w:tcPr>
            <w:tcW w:type="dxa" w:w="4680"/>
            <w:vAlign w:val="top"/>
          </w:tcPr>
          <w:p>
            <w:pPr>
              <w:spacing w:after="20" w:line="252" w:lineRule="auto"/>
            </w:pPr>
            <w:r>
              <w:rPr>
                <w:rFonts w:ascii="Calibri" w:hAnsi="Calibri"/>
                <w:color w:val="000000"/>
                <w:sz w:val="17"/>
              </w:rPr>
              <w:t>PNG/JPG direct upload</w:t>
            </w:r>
          </w:p>
        </w:tc>
        <w:tc>
          <w:tcPr>
            <w:tcW w:type="dxa" w:w="4680"/>
            <w:vAlign w:val="top"/>
          </w:tcPr>
          <w:p>
            <w:pPr>
              <w:spacing w:after="20" w:line="252" w:lineRule="auto"/>
            </w:pPr>
            <w:r>
              <w:rPr>
                <w:rFonts w:ascii="Calibri" w:hAnsi="Calibri"/>
                <w:color w:val="000000"/>
                <w:sz w:val="17"/>
              </w:rPr>
              <w:t>Rejected by uploader type filter.</w:t>
            </w:r>
          </w:p>
        </w:tc>
      </w:tr>
      <w:tr>
        <w:tc>
          <w:tcPr>
            <w:tcW w:type="dxa" w:w="4680"/>
            <w:vAlign w:val="top"/>
          </w:tcPr>
          <w:p>
            <w:pPr>
              <w:spacing w:after="20" w:line="252" w:lineRule="auto"/>
            </w:pPr>
            <w:r>
              <w:rPr>
                <w:rFonts w:ascii="Calibri" w:hAnsi="Calibri"/>
                <w:color w:val="000000"/>
                <w:sz w:val="17"/>
              </w:rPr>
              <w:t>ZIP upload</w:t>
            </w:r>
          </w:p>
        </w:tc>
        <w:tc>
          <w:tcPr>
            <w:tcW w:type="dxa" w:w="4680"/>
            <w:vAlign w:val="top"/>
          </w:tcPr>
          <w:p>
            <w:pPr>
              <w:spacing w:after="20" w:line="252" w:lineRule="auto"/>
            </w:pPr>
            <w:r>
              <w:rPr>
                <w:rFonts w:ascii="Calibri" w:hAnsi="Calibri"/>
                <w:color w:val="000000"/>
                <w:sz w:val="17"/>
              </w:rPr>
              <w:t>Safe extraction, supported-file filtering, nested-folder support, member and size limits.</w:t>
            </w:r>
          </w:p>
        </w:tc>
      </w:tr>
      <w:tr>
        <w:tc>
          <w:tcPr>
            <w:tcW w:type="dxa" w:w="4680"/>
            <w:vAlign w:val="top"/>
          </w:tcPr>
          <w:p>
            <w:pPr>
              <w:spacing w:after="20" w:line="252" w:lineRule="auto"/>
            </w:pPr>
            <w:r>
              <w:rPr>
                <w:rFonts w:ascii="Calibri" w:hAnsi="Calibri"/>
                <w:color w:val="000000"/>
                <w:sz w:val="17"/>
              </w:rPr>
              <w:t>10+ files</w:t>
            </w:r>
          </w:p>
        </w:tc>
        <w:tc>
          <w:tcPr>
            <w:tcW w:type="dxa" w:w="4680"/>
            <w:vAlign w:val="top"/>
          </w:tcPr>
          <w:p>
            <w:pPr>
              <w:spacing w:after="20" w:line="252" w:lineRule="auto"/>
            </w:pPr>
            <w:r>
              <w:rPr>
                <w:rFonts w:ascii="Calibri" w:hAnsi="Calibri"/>
                <w:color w:val="000000"/>
                <w:sz w:val="17"/>
              </w:rPr>
              <w:t>Progress updates; valid files index without an unhandled timeout.</w:t>
            </w:r>
          </w:p>
        </w:tc>
      </w:tr>
      <w:tr>
        <w:tc>
          <w:tcPr>
            <w:tcW w:type="dxa" w:w="4680"/>
            <w:vAlign w:val="top"/>
          </w:tcPr>
          <w:p>
            <w:pPr>
              <w:spacing w:after="20" w:line="252" w:lineRule="auto"/>
            </w:pPr>
            <w:r>
              <w:rPr>
                <w:rFonts w:ascii="Calibri" w:hAnsi="Calibri"/>
                <w:color w:val="000000"/>
                <w:sz w:val="17"/>
              </w:rPr>
              <w:t>Same file twice in one chat</w:t>
            </w:r>
          </w:p>
        </w:tc>
        <w:tc>
          <w:tcPr>
            <w:tcW w:type="dxa" w:w="4680"/>
            <w:vAlign w:val="top"/>
          </w:tcPr>
          <w:p>
            <w:pPr>
              <w:spacing w:after="20" w:line="252" w:lineRule="auto"/>
            </w:pPr>
            <w:r>
              <w:rPr>
                <w:rFonts w:ascii="Calibri" w:hAnsi="Calibri"/>
                <w:color w:val="000000"/>
                <w:sz w:val="17"/>
              </w:rPr>
              <w:t>Deterministic IDs make repeat-index behaviour predictable; duplicate-policy should be tested before production.</w:t>
            </w:r>
          </w:p>
        </w:tc>
      </w:tr>
      <w:tr>
        <w:tc>
          <w:tcPr>
            <w:tcW w:type="dxa" w:w="4680"/>
            <w:vAlign w:val="top"/>
          </w:tcPr>
          <w:p>
            <w:pPr>
              <w:spacing w:after="20" w:line="252" w:lineRule="auto"/>
            </w:pPr>
            <w:r>
              <w:rPr>
                <w:rFonts w:ascii="Calibri" w:hAnsi="Calibri"/>
                <w:color w:val="000000"/>
                <w:sz w:val="17"/>
              </w:rPr>
              <w:t>Blank / special-character query</w:t>
            </w:r>
          </w:p>
        </w:tc>
        <w:tc>
          <w:tcPr>
            <w:tcW w:type="dxa" w:w="4680"/>
            <w:vAlign w:val="top"/>
          </w:tcPr>
          <w:p>
            <w:pPr>
              <w:spacing w:after="20" w:line="252" w:lineRule="auto"/>
            </w:pPr>
            <w:r>
              <w:rPr>
                <w:rFonts w:ascii="Calibri" w:hAnsi="Calibri"/>
                <w:color w:val="000000"/>
                <w:sz w:val="17"/>
              </w:rPr>
              <w:t>Prompted or safely handled; no unsafe query construction.</w:t>
            </w:r>
          </w:p>
        </w:tc>
      </w:tr>
      <w:tr>
        <w:tc>
          <w:tcPr>
            <w:tcW w:type="dxa" w:w="4680"/>
            <w:vAlign w:val="top"/>
          </w:tcPr>
          <w:p>
            <w:pPr>
              <w:spacing w:after="20" w:line="252" w:lineRule="auto"/>
            </w:pPr>
            <w:r>
              <w:rPr>
                <w:rFonts w:ascii="Calibri" w:hAnsi="Calibri"/>
                <w:color w:val="000000"/>
                <w:sz w:val="17"/>
              </w:rPr>
              <w:t>No indexed files</w:t>
            </w:r>
          </w:p>
        </w:tc>
        <w:tc>
          <w:tcPr>
            <w:tcW w:type="dxa" w:w="4680"/>
            <w:vAlign w:val="top"/>
          </w:tcPr>
          <w:p>
            <w:pPr>
              <w:spacing w:after="20" w:line="252" w:lineRule="auto"/>
            </w:pPr>
            <w:r>
              <w:rPr>
                <w:rFonts w:ascii="Calibri" w:hAnsi="Calibri"/>
                <w:color w:val="000000"/>
                <w:sz w:val="17"/>
              </w:rPr>
              <w:t>Returns an empty, user-friendly result.</w:t>
            </w:r>
          </w:p>
        </w:tc>
      </w:tr>
      <w:tr>
        <w:tc>
          <w:tcPr>
            <w:tcW w:type="dxa" w:w="4680"/>
            <w:vAlign w:val="top"/>
          </w:tcPr>
          <w:p>
            <w:pPr>
              <w:spacing w:after="20" w:line="252" w:lineRule="auto"/>
            </w:pPr>
            <w:r>
              <w:rPr>
                <w:rFonts w:ascii="Calibri" w:hAnsi="Calibri"/>
                <w:color w:val="000000"/>
                <w:sz w:val="17"/>
              </w:rPr>
              <w:t>Question across document chats</w:t>
            </w:r>
          </w:p>
        </w:tc>
        <w:tc>
          <w:tcPr>
            <w:tcW w:type="dxa" w:w="4680"/>
            <w:vAlign w:val="top"/>
          </w:tcPr>
          <w:p>
            <w:pPr>
              <w:spacing w:after="20" w:line="252" w:lineRule="auto"/>
            </w:pPr>
            <w:r>
              <w:rPr>
                <w:rFonts w:ascii="Calibri" w:hAnsi="Calibri"/>
                <w:color w:val="000000"/>
                <w:sz w:val="17"/>
              </w:rPr>
              <w:t>Only the active document_chat_id is searched.</w:t>
            </w:r>
          </w:p>
        </w:tc>
      </w:tr>
      <w:tr>
        <w:tc>
          <w:tcPr>
            <w:tcW w:type="dxa" w:w="4680"/>
            <w:vAlign w:val="top"/>
          </w:tcPr>
          <w:p>
            <w:pPr>
              <w:spacing w:after="20" w:line="252" w:lineRule="auto"/>
            </w:pPr>
            <w:r>
              <w:rPr>
                <w:rFonts w:ascii="Calibri" w:hAnsi="Calibri"/>
                <w:color w:val="000000"/>
                <w:sz w:val="17"/>
              </w:rPr>
              <w:t>Key concepts in crashing activities</w:t>
            </w:r>
          </w:p>
        </w:tc>
        <w:tc>
          <w:tcPr>
            <w:tcW w:type="dxa" w:w="4680"/>
            <w:vAlign w:val="top"/>
          </w:tcPr>
          <w:p>
            <w:pPr>
              <w:spacing w:after="20" w:line="252" w:lineRule="auto"/>
            </w:pPr>
            <w:r>
              <w:rPr>
                <w:rFonts w:ascii="Calibri" w:hAnsi="Calibri"/>
                <w:color w:val="000000"/>
                <w:sz w:val="17"/>
              </w:rPr>
              <w:t>Definition lines should remain together and citations should identify the chunk containing those definitions.</w:t>
            </w:r>
          </w:p>
        </w:tc>
      </w:tr>
      <w:tr>
        <w:tc>
          <w:tcPr>
            <w:tcW w:type="dxa" w:w="4680"/>
            <w:vAlign w:val="top"/>
          </w:tcPr>
          <w:p>
            <w:pPr>
              <w:spacing w:after="20" w:line="252" w:lineRule="auto"/>
            </w:pPr>
            <w:r>
              <w:rPr>
                <w:rFonts w:ascii="Calibri" w:hAnsi="Calibri"/>
                <w:color w:val="000000"/>
                <w:sz w:val="17"/>
              </w:rPr>
              <w:t>Steps in a procedure</w:t>
            </w:r>
          </w:p>
        </w:tc>
        <w:tc>
          <w:tcPr>
            <w:tcW w:type="dxa" w:w="4680"/>
            <w:vAlign w:val="top"/>
          </w:tcPr>
          <w:p>
            <w:pPr>
              <w:spacing w:after="20" w:line="252" w:lineRule="auto"/>
            </w:pPr>
            <w:r>
              <w:rPr>
                <w:rFonts w:ascii="Calibri" w:hAnsi="Calibri"/>
                <w:color w:val="000000"/>
                <w:sz w:val="17"/>
              </w:rPr>
              <w:t>Neighbouring chunks in the same segment are provided in source order so no leading step is lost.</w:t>
            </w:r>
          </w:p>
        </w:tc>
      </w:tr>
      <w:tr>
        <w:tc>
          <w:tcPr>
            <w:tcW w:type="dxa" w:w="4680"/>
            <w:vAlign w:val="top"/>
          </w:tcPr>
          <w:p>
            <w:pPr>
              <w:spacing w:after="20" w:line="252" w:lineRule="auto"/>
            </w:pPr>
            <w:r>
              <w:rPr>
                <w:rFonts w:ascii="Calibri" w:hAnsi="Calibri"/>
                <w:color w:val="000000"/>
                <w:sz w:val="17"/>
              </w:rPr>
              <w:t>Multi-file chat</w:t>
            </w:r>
          </w:p>
        </w:tc>
        <w:tc>
          <w:tcPr>
            <w:tcW w:type="dxa" w:w="4680"/>
            <w:vAlign w:val="top"/>
          </w:tcPr>
          <w:p>
            <w:pPr>
              <w:spacing w:after="20" w:line="252" w:lineRule="auto"/>
            </w:pPr>
            <w:r>
              <w:rPr>
                <w:rFonts w:ascii="Calibri" w:hAnsi="Calibri"/>
                <w:color w:val="000000"/>
                <w:sz w:val="17"/>
              </w:rPr>
              <w:t>Unrelated file is suppressed unless it reaches the automatic source-selection threshold.</w:t>
            </w:r>
          </w:p>
        </w:tc>
      </w:tr>
    </w:tbl>
    <w:p>
      <w:pPr>
        <w:pStyle w:val="Heading1"/>
      </w:pPr>
      <w:r>
        <w:t>13. Known Constraints and Recommended Next Steps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951"/>
            <w:tcMar>
              <w:top w:w="80" w:type="dxa"/>
              <w:start w:w="120" w:type="dxa"/>
              <w:bottom w:w="80" w:type="dxa"/>
              <w:end w:w="120" w:type="dxa"/>
            </w:tcMar>
            <w:shd w:fill="F2F4F7"/>
            <w:vAlign w:val="center"/>
          </w:tcPr>
          <w:p>
            <w:pPr>
              <w:spacing w:after="0"/>
            </w:pPr>
            <w:r>
              <w:rPr>
                <w:rFonts w:ascii="Calibri" w:hAnsi="Calibri"/>
                <w:b/>
                <w:color w:val="0B2545"/>
                <w:sz w:val="20"/>
              </w:rPr>
              <w:t>Constraint</w:t>
            </w:r>
          </w:p>
        </w:tc>
        <w:tc>
          <w:tcPr>
            <w:tcW w:type="dxa" w:w="6408"/>
            <w:tcMar>
              <w:top w:w="80" w:type="dxa"/>
              <w:start w:w="120" w:type="dxa"/>
              <w:bottom w:w="80" w:type="dxa"/>
              <w:end w:w="120" w:type="dxa"/>
            </w:tcMar>
            <w:shd w:fill="F2F4F7"/>
            <w:vAlign w:val="center"/>
          </w:tcPr>
          <w:p>
            <w:pPr>
              <w:spacing w:after="0"/>
            </w:pPr>
            <w:r>
              <w:rPr>
                <w:rFonts w:ascii="Calibri" w:hAnsi="Calibri"/>
                <w:b/>
                <w:color w:val="0B2545"/>
                <w:sz w:val="20"/>
              </w:rPr>
              <w:t>Practical recommendation</w:t>
            </w:r>
          </w:p>
        </w:tc>
      </w:tr>
      <w:tr>
        <w:tc>
          <w:tcPr>
            <w:tcW w:type="dxa" w:w="4680"/>
            <w:vAlign w:val="top"/>
          </w:tcPr>
          <w:p>
            <w:pPr>
              <w:spacing w:after="20" w:line="252" w:lineRule="auto"/>
            </w:pPr>
            <w:r>
              <w:rPr>
                <w:rFonts w:ascii="Calibri" w:hAnsi="Calibri"/>
                <w:color w:val="000000"/>
                <w:sz w:val="19"/>
              </w:rPr>
              <w:t>Visual formulas and scanned table images</w:t>
            </w:r>
          </w:p>
        </w:tc>
        <w:tc>
          <w:tcPr>
            <w:tcW w:type="dxa" w:w="4680"/>
            <w:vAlign w:val="top"/>
          </w:tcPr>
          <w:p>
            <w:pPr>
              <w:spacing w:after="20" w:line="252" w:lineRule="auto"/>
            </w:pPr>
            <w:r>
              <w:rPr>
                <w:rFonts w:ascii="Calibri" w:hAnsi="Calibri"/>
                <w:color w:val="000000"/>
                <w:sz w:val="19"/>
              </w:rPr>
              <w:t>Use a larger Render instance with ENABLE_PDF_OCR=true, or use a dedicated OCR/vision/math OCR API. Keep text-based tables on the current pipeline.</w:t>
            </w:r>
          </w:p>
        </w:tc>
      </w:tr>
      <w:tr>
        <w:tc>
          <w:tcPr>
            <w:tcW w:type="dxa" w:w="4680"/>
            <w:vAlign w:val="top"/>
          </w:tcPr>
          <w:p>
            <w:pPr>
              <w:spacing w:after="20" w:line="252" w:lineRule="auto"/>
            </w:pPr>
            <w:r>
              <w:rPr>
                <w:rFonts w:ascii="Calibri" w:hAnsi="Calibri"/>
                <w:color w:val="000000"/>
                <w:sz w:val="19"/>
              </w:rPr>
              <w:t>Changes to parser/chunker</w:t>
            </w:r>
          </w:p>
        </w:tc>
        <w:tc>
          <w:tcPr>
            <w:tcW w:type="dxa" w:w="4680"/>
            <w:vAlign w:val="top"/>
          </w:tcPr>
          <w:p>
            <w:pPr>
              <w:spacing w:after="20" w:line="252" w:lineRule="auto"/>
            </w:pPr>
            <w:r>
              <w:rPr>
                <w:rFonts w:ascii="Calibri" w:hAnsi="Calibri"/>
                <w:color w:val="000000"/>
                <w:sz w:val="19"/>
              </w:rPr>
              <w:t>Delete and re-index affected documents. Existing Qdrant points contain the old extracted text and metadata.</w:t>
            </w:r>
          </w:p>
        </w:tc>
      </w:tr>
      <w:tr>
        <w:tc>
          <w:tcPr>
            <w:tcW w:type="dxa" w:w="4680"/>
            <w:vAlign w:val="top"/>
          </w:tcPr>
          <w:p>
            <w:pPr>
              <w:spacing w:after="20" w:line="252" w:lineRule="auto"/>
            </w:pPr>
            <w:r>
              <w:rPr>
                <w:rFonts w:ascii="Calibri" w:hAnsi="Calibri"/>
                <w:color w:val="000000"/>
                <w:sz w:val="19"/>
              </w:rPr>
              <w:t>Retrieval quality</w:t>
            </w:r>
          </w:p>
        </w:tc>
        <w:tc>
          <w:tcPr>
            <w:tcW w:type="dxa" w:w="4680"/>
            <w:vAlign w:val="top"/>
          </w:tcPr>
          <w:p>
            <w:pPr>
              <w:spacing w:after="20" w:line="252" w:lineRule="auto"/>
            </w:pPr>
            <w:r>
              <w:rPr>
                <w:rFonts w:ascii="Calibri" w:hAnsi="Calibri"/>
                <w:color w:val="000000"/>
                <w:sz w:val="19"/>
              </w:rPr>
              <w:t>Continue testing difficult headings, lists, formulas and multi-file questions; tune threshold values only using representative evaluation questions.</w:t>
            </w:r>
          </w:p>
        </w:tc>
      </w:tr>
      <w:tr>
        <w:tc>
          <w:tcPr>
            <w:tcW w:type="dxa" w:w="4680"/>
            <w:vAlign w:val="top"/>
          </w:tcPr>
          <w:p>
            <w:pPr>
              <w:spacing w:after="20" w:line="252" w:lineRule="auto"/>
            </w:pPr>
            <w:r>
              <w:rPr>
                <w:rFonts w:ascii="Calibri" w:hAnsi="Calibri"/>
                <w:color w:val="000000"/>
                <w:sz w:val="19"/>
              </w:rPr>
              <w:t>Duplicate uploads</w:t>
            </w:r>
          </w:p>
        </w:tc>
        <w:tc>
          <w:tcPr>
            <w:tcW w:type="dxa" w:w="4680"/>
            <w:vAlign w:val="top"/>
          </w:tcPr>
          <w:p>
            <w:pPr>
              <w:spacing w:after="20" w:line="252" w:lineRule="auto"/>
            </w:pPr>
            <w:r>
              <w:rPr>
                <w:rFonts w:ascii="Calibri" w:hAnsi="Calibri"/>
                <w:color w:val="000000"/>
                <w:sz w:val="19"/>
              </w:rPr>
              <w:t>Add a visible duplicate warning based on file hash if strict de-duplication becomes a requirement.</w:t>
            </w:r>
          </w:p>
        </w:tc>
      </w:tr>
      <w:tr>
        <w:tc>
          <w:tcPr>
            <w:tcW w:type="dxa" w:w="4680"/>
            <w:vAlign w:val="top"/>
          </w:tcPr>
          <w:p>
            <w:pPr>
              <w:spacing w:after="20" w:line="252" w:lineRule="auto"/>
            </w:pPr>
            <w:r>
              <w:rPr>
                <w:rFonts w:ascii="Calibri" w:hAnsi="Calibri"/>
                <w:color w:val="000000"/>
                <w:sz w:val="19"/>
              </w:rPr>
              <w:t>API availability/cost</w:t>
            </w:r>
          </w:p>
        </w:tc>
        <w:tc>
          <w:tcPr>
            <w:tcW w:type="dxa" w:w="4680"/>
            <w:vAlign w:val="top"/>
          </w:tcPr>
          <w:p>
            <w:pPr>
              <w:spacing w:after="20" w:line="252" w:lineRule="auto"/>
            </w:pPr>
            <w:r>
              <w:rPr>
                <w:rFonts w:ascii="Calibri" w:hAnsi="Calibri"/>
                <w:color w:val="000000"/>
                <w:sz w:val="19"/>
              </w:rPr>
              <w:t>Monitor Jina and Groq API keys, rate limits and usage. Add user-facing errors for temporary API failures.</w:t>
            </w:r>
          </w:p>
        </w:tc>
      </w:tr>
      <w:tr>
        <w:tc>
          <w:tcPr>
            <w:tcW w:type="dxa" w:w="4680"/>
            <w:vAlign w:val="top"/>
          </w:tcPr>
          <w:p>
            <w:pPr>
              <w:spacing w:after="20" w:line="252" w:lineRule="auto"/>
            </w:pPr>
            <w:r>
              <w:rPr>
                <w:rFonts w:ascii="Calibri" w:hAnsi="Calibri"/>
                <w:color w:val="000000"/>
                <w:sz w:val="19"/>
              </w:rPr>
              <w:t>Citation validation</w:t>
            </w:r>
          </w:p>
        </w:tc>
        <w:tc>
          <w:tcPr>
            <w:tcW w:type="dxa" w:w="4680"/>
            <w:vAlign w:val="top"/>
          </w:tcPr>
          <w:p>
            <w:pPr>
              <w:spacing w:after="20" w:line="252" w:lineRule="auto"/>
            </w:pPr>
            <w:r>
              <w:rPr>
                <w:rFonts w:ascii="Calibri" w:hAnsi="Calibri"/>
                <w:color w:val="000000"/>
                <w:sz w:val="19"/>
              </w:rPr>
              <w:t>Retain the retrieved-chunk viewer and spot-check that each [n] supports the sentence preceding it.</w:t>
            </w:r>
          </w:p>
        </w:tc>
      </w:tr>
    </w:tbl>
    <w:p>
      <w:pPr>
        <w:pStyle w:val="Heading1"/>
      </w:pPr>
      <w:r>
        <w:t>14. Code Map for Understanding the Project</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3024"/>
            <w:tcMar>
              <w:top w:w="80" w:type="dxa"/>
              <w:start w:w="120" w:type="dxa"/>
              <w:bottom w:w="80" w:type="dxa"/>
              <w:end w:w="120" w:type="dxa"/>
            </w:tcMar>
            <w:shd w:fill="F2F4F7"/>
            <w:vAlign w:val="center"/>
          </w:tcPr>
          <w:p>
            <w:pPr>
              <w:spacing w:after="0"/>
            </w:pPr>
            <w:r>
              <w:rPr>
                <w:rFonts w:ascii="Calibri" w:hAnsi="Calibri"/>
                <w:b/>
                <w:color w:val="0B2545"/>
                <w:sz w:val="20"/>
              </w:rPr>
              <w:t>File / module</w:t>
            </w:r>
          </w:p>
        </w:tc>
        <w:tc>
          <w:tcPr>
            <w:tcW w:type="dxa" w:w="6336"/>
            <w:tcMar>
              <w:top w:w="80" w:type="dxa"/>
              <w:start w:w="120" w:type="dxa"/>
              <w:bottom w:w="80" w:type="dxa"/>
              <w:end w:w="120" w:type="dxa"/>
            </w:tcMar>
            <w:shd w:fill="F2F4F7"/>
            <w:vAlign w:val="center"/>
          </w:tcPr>
          <w:p>
            <w:pPr>
              <w:spacing w:after="0"/>
            </w:pPr>
            <w:r>
              <w:rPr>
                <w:rFonts w:ascii="Calibri" w:hAnsi="Calibri"/>
                <w:b/>
                <w:color w:val="0B2545"/>
                <w:sz w:val="20"/>
              </w:rPr>
              <w:t>What to read there</w:t>
            </w:r>
          </w:p>
        </w:tc>
      </w:tr>
      <w:tr>
        <w:tc>
          <w:tcPr>
            <w:tcW w:type="dxa" w:w="4680"/>
            <w:vAlign w:val="top"/>
          </w:tcPr>
          <w:p>
            <w:pPr>
              <w:spacing w:after="20" w:line="252" w:lineRule="auto"/>
            </w:pPr>
            <w:r>
              <w:rPr>
                <w:rFonts w:ascii="Calibri" w:hAnsi="Calibri"/>
                <w:color w:val="000000"/>
                <w:sz w:val="19"/>
              </w:rPr>
              <w:t>app/streamlit_app.py</w:t>
            </w:r>
          </w:p>
        </w:tc>
        <w:tc>
          <w:tcPr>
            <w:tcW w:type="dxa" w:w="4680"/>
            <w:vAlign w:val="top"/>
          </w:tcPr>
          <w:p>
            <w:pPr>
              <w:spacing w:after="20" w:line="252" w:lineRule="auto"/>
            </w:pPr>
            <w:r>
              <w:rPr>
                <w:rFonts w:ascii="Calibri" w:hAnsi="Calibri"/>
                <w:color w:val="000000"/>
                <w:sz w:val="19"/>
              </w:rPr>
              <w:t>UI flow, uploads, ZIP extraction, chat controls, progress feedback and answer rendering.</w:t>
            </w:r>
          </w:p>
        </w:tc>
      </w:tr>
      <w:tr>
        <w:tc>
          <w:tcPr>
            <w:tcW w:type="dxa" w:w="4680"/>
            <w:vAlign w:val="top"/>
          </w:tcPr>
          <w:p>
            <w:pPr>
              <w:spacing w:after="20" w:line="252" w:lineRule="auto"/>
            </w:pPr>
            <w:r>
              <w:rPr>
                <w:rFonts w:ascii="Calibri" w:hAnsi="Calibri"/>
                <w:color w:val="000000"/>
                <w:sz w:val="19"/>
              </w:rPr>
              <w:t>app/config.py</w:t>
            </w:r>
          </w:p>
        </w:tc>
        <w:tc>
          <w:tcPr>
            <w:tcW w:type="dxa" w:w="4680"/>
            <w:vAlign w:val="top"/>
          </w:tcPr>
          <w:p>
            <w:pPr>
              <w:spacing w:after="20" w:line="252" w:lineRule="auto"/>
            </w:pPr>
            <w:r>
              <w:rPr>
                <w:rFonts w:ascii="Calibri" w:hAnsi="Calibri"/>
                <w:color w:val="000000"/>
                <w:sz w:val="19"/>
              </w:rPr>
              <w:t>All key thresholds, model names, vector configuration and the ENABLE_PDF_OCR switch.</w:t>
            </w:r>
          </w:p>
        </w:tc>
      </w:tr>
      <w:tr>
        <w:tc>
          <w:tcPr>
            <w:tcW w:type="dxa" w:w="4680"/>
            <w:vAlign w:val="top"/>
          </w:tcPr>
          <w:p>
            <w:pPr>
              <w:spacing w:after="20" w:line="252" w:lineRule="auto"/>
            </w:pPr>
            <w:r>
              <w:rPr>
                <w:rFonts w:ascii="Calibri" w:hAnsi="Calibri"/>
                <w:color w:val="000000"/>
                <w:sz w:val="19"/>
              </w:rPr>
              <w:t>app/parsers/documents.py</w:t>
            </w:r>
          </w:p>
        </w:tc>
        <w:tc>
          <w:tcPr>
            <w:tcW w:type="dxa" w:w="4680"/>
            <w:vAlign w:val="top"/>
          </w:tcPr>
          <w:p>
            <w:pPr>
              <w:spacing w:after="20" w:line="252" w:lineRule="auto"/>
            </w:pPr>
            <w:r>
              <w:rPr>
                <w:rFonts w:ascii="Calibri" w:hAnsi="Calibri"/>
                <w:color w:val="000000"/>
                <w:sz w:val="19"/>
              </w:rPr>
              <w:t>PDF, DOCX, Excel and text extraction; headings, tables, formulas and optional OCR.</w:t>
            </w:r>
          </w:p>
        </w:tc>
      </w:tr>
      <w:tr>
        <w:tc>
          <w:tcPr>
            <w:tcW w:type="dxa" w:w="4680"/>
            <w:vAlign w:val="top"/>
          </w:tcPr>
          <w:p>
            <w:pPr>
              <w:spacing w:after="20" w:line="252" w:lineRule="auto"/>
            </w:pPr>
            <w:r>
              <w:rPr>
                <w:rFonts w:ascii="Calibri" w:hAnsi="Calibri"/>
                <w:color w:val="000000"/>
                <w:sz w:val="19"/>
              </w:rPr>
              <w:t>app/ingestion/chunking.py</w:t>
            </w:r>
          </w:p>
        </w:tc>
        <w:tc>
          <w:tcPr>
            <w:tcW w:type="dxa" w:w="4680"/>
            <w:vAlign w:val="top"/>
          </w:tcPr>
          <w:p>
            <w:pPr>
              <w:spacing w:after="20" w:line="252" w:lineRule="auto"/>
            </w:pPr>
            <w:r>
              <w:rPr>
                <w:rFonts w:ascii="Calibri" w:hAnsi="Calibri"/>
                <w:color w:val="000000"/>
                <w:sz w:val="19"/>
              </w:rPr>
              <w:t>Sentence splitting, semantic similarity boundary logic, glossary/procedure safeguards and metadata propagation.</w:t>
            </w:r>
          </w:p>
        </w:tc>
      </w:tr>
      <w:tr>
        <w:tc>
          <w:tcPr>
            <w:tcW w:type="dxa" w:w="4680"/>
            <w:vAlign w:val="top"/>
          </w:tcPr>
          <w:p>
            <w:pPr>
              <w:spacing w:after="20" w:line="252" w:lineRule="auto"/>
            </w:pPr>
            <w:r>
              <w:rPr>
                <w:rFonts w:ascii="Calibri" w:hAnsi="Calibri"/>
                <w:color w:val="000000"/>
                <w:sz w:val="19"/>
              </w:rPr>
              <w:t>app/embeddings.py</w:t>
            </w:r>
          </w:p>
        </w:tc>
        <w:tc>
          <w:tcPr>
            <w:tcW w:type="dxa" w:w="4680"/>
            <w:vAlign w:val="top"/>
          </w:tcPr>
          <w:p>
            <w:pPr>
              <w:spacing w:after="20" w:line="252" w:lineRule="auto"/>
            </w:pPr>
            <w:r>
              <w:rPr>
                <w:rFonts w:ascii="Calibri" w:hAnsi="Calibri"/>
                <w:color w:val="000000"/>
                <w:sz w:val="19"/>
              </w:rPr>
              <w:t>Jina dense API calls and FastEmbed BM25 vector creation.</w:t>
            </w:r>
          </w:p>
        </w:tc>
      </w:tr>
      <w:tr>
        <w:tc>
          <w:tcPr>
            <w:tcW w:type="dxa" w:w="4680"/>
            <w:vAlign w:val="top"/>
          </w:tcPr>
          <w:p>
            <w:pPr>
              <w:spacing w:after="20" w:line="252" w:lineRule="auto"/>
            </w:pPr>
            <w:r>
              <w:rPr>
                <w:rFonts w:ascii="Calibri" w:hAnsi="Calibri"/>
                <w:color w:val="000000"/>
                <w:sz w:val="19"/>
              </w:rPr>
              <w:t>app/ingestion/indexing.py</w:t>
            </w:r>
          </w:p>
        </w:tc>
        <w:tc>
          <w:tcPr>
            <w:tcW w:type="dxa" w:w="4680"/>
            <w:vAlign w:val="top"/>
          </w:tcPr>
          <w:p>
            <w:pPr>
              <w:spacing w:after="20" w:line="252" w:lineRule="auto"/>
            </w:pPr>
            <w:r>
              <w:rPr>
                <w:rFonts w:ascii="Calibri" w:hAnsi="Calibri"/>
                <w:color w:val="000000"/>
                <w:sz w:val="19"/>
              </w:rPr>
              <w:t>Batch upsert of chunk text, vectors and deterministic point IDs to Qdrant.</w:t>
            </w:r>
          </w:p>
        </w:tc>
      </w:tr>
      <w:tr>
        <w:tc>
          <w:tcPr>
            <w:tcW w:type="dxa" w:w="4680"/>
            <w:vAlign w:val="top"/>
          </w:tcPr>
          <w:p>
            <w:pPr>
              <w:spacing w:after="20" w:line="252" w:lineRule="auto"/>
            </w:pPr>
            <w:r>
              <w:rPr>
                <w:rFonts w:ascii="Calibri" w:hAnsi="Calibri"/>
                <w:color w:val="000000"/>
                <w:sz w:val="19"/>
              </w:rPr>
              <w:t>app/retrieval/collection.py</w:t>
            </w:r>
          </w:p>
        </w:tc>
        <w:tc>
          <w:tcPr>
            <w:tcW w:type="dxa" w:w="4680"/>
            <w:vAlign w:val="top"/>
          </w:tcPr>
          <w:p>
            <w:pPr>
              <w:spacing w:after="20" w:line="252" w:lineRule="auto"/>
            </w:pPr>
            <w:r>
              <w:rPr>
                <w:rFonts w:ascii="Calibri" w:hAnsi="Calibri"/>
                <w:color w:val="000000"/>
                <w:sz w:val="19"/>
              </w:rPr>
              <w:t>Qdrant collection schema and payload indexes.</w:t>
            </w:r>
          </w:p>
        </w:tc>
      </w:tr>
      <w:tr>
        <w:tc>
          <w:tcPr>
            <w:tcW w:type="dxa" w:w="4680"/>
            <w:vAlign w:val="top"/>
          </w:tcPr>
          <w:p>
            <w:pPr>
              <w:spacing w:after="20" w:line="252" w:lineRule="auto"/>
            </w:pPr>
            <w:r>
              <w:rPr>
                <w:rFonts w:ascii="Calibri" w:hAnsi="Calibri"/>
                <w:color w:val="000000"/>
                <w:sz w:val="19"/>
              </w:rPr>
              <w:t>app/retrieval/search.py</w:t>
            </w:r>
          </w:p>
        </w:tc>
        <w:tc>
          <w:tcPr>
            <w:tcW w:type="dxa" w:w="4680"/>
            <w:vAlign w:val="top"/>
          </w:tcPr>
          <w:p>
            <w:pPr>
              <w:spacing w:after="20" w:line="252" w:lineRule="auto"/>
            </w:pPr>
            <w:r>
              <w:rPr>
                <w:rFonts w:ascii="Calibri" w:hAnsi="Calibri"/>
                <w:color w:val="000000"/>
                <w:sz w:val="19"/>
              </w:rPr>
              <w:t>Dense+sparse search, RRF fusion, source selection and sequence-context expansion.</w:t>
            </w:r>
          </w:p>
        </w:tc>
      </w:tr>
      <w:tr>
        <w:tc>
          <w:tcPr>
            <w:tcW w:type="dxa" w:w="4680"/>
            <w:vAlign w:val="top"/>
          </w:tcPr>
          <w:p>
            <w:pPr>
              <w:spacing w:after="20" w:line="252" w:lineRule="auto"/>
            </w:pPr>
            <w:r>
              <w:rPr>
                <w:rFonts w:ascii="Calibri" w:hAnsi="Calibri"/>
                <w:color w:val="000000"/>
                <w:sz w:val="19"/>
              </w:rPr>
              <w:t>app/generation/generator.py</w:t>
            </w:r>
          </w:p>
        </w:tc>
        <w:tc>
          <w:tcPr>
            <w:tcW w:type="dxa" w:w="4680"/>
            <w:vAlign w:val="top"/>
          </w:tcPr>
          <w:p>
            <w:pPr>
              <w:spacing w:after="20" w:line="252" w:lineRule="auto"/>
            </w:pPr>
            <w:r>
              <w:rPr>
                <w:rFonts w:ascii="Calibri" w:hAnsi="Calibri"/>
                <w:color w:val="000000"/>
                <w:sz w:val="19"/>
              </w:rPr>
              <w:t>Grounded answer prompt and citation extraction.</w:t>
            </w:r>
          </w:p>
        </w:tc>
      </w:tr>
      <w:tr>
        <w:tc>
          <w:tcPr>
            <w:tcW w:type="dxa" w:w="4680"/>
            <w:vAlign w:val="top"/>
          </w:tcPr>
          <w:p>
            <w:pPr>
              <w:spacing w:after="20" w:line="252" w:lineRule="auto"/>
            </w:pPr>
            <w:r>
              <w:rPr>
                <w:rFonts w:ascii="Calibri" w:hAnsi="Calibri"/>
                <w:color w:val="000000"/>
                <w:sz w:val="19"/>
              </w:rPr>
              <w:t>app/database.py</w:t>
            </w:r>
          </w:p>
        </w:tc>
        <w:tc>
          <w:tcPr>
            <w:tcW w:type="dxa" w:w="4680"/>
            <w:vAlign w:val="top"/>
          </w:tcPr>
          <w:p>
            <w:pPr>
              <w:spacing w:after="20" w:line="252" w:lineRule="auto"/>
            </w:pPr>
            <w:r>
              <w:rPr>
                <w:rFonts w:ascii="Calibri" w:hAnsi="Calibri"/>
                <w:color w:val="000000"/>
                <w:sz w:val="19"/>
              </w:rPr>
              <w:t>Supabase operations for chats and question history.</w:t>
            </w:r>
          </w:p>
        </w:tc>
      </w:tr>
      <w:tr>
        <w:tc>
          <w:tcPr>
            <w:tcW w:type="dxa" w:w="4680"/>
            <w:vAlign w:val="top"/>
          </w:tcPr>
          <w:p>
            <w:pPr>
              <w:spacing w:after="20" w:line="252" w:lineRule="auto"/>
            </w:pPr>
            <w:r>
              <w:rPr>
                <w:rFonts w:ascii="Calibri" w:hAnsi="Calibri"/>
                <w:color w:val="000000"/>
                <w:sz w:val="19"/>
              </w:rPr>
              <w:t>Dockerfile / render.yaml</w:t>
            </w:r>
          </w:p>
        </w:tc>
        <w:tc>
          <w:tcPr>
            <w:tcW w:type="dxa" w:w="4680"/>
            <w:vAlign w:val="top"/>
          </w:tcPr>
          <w:p>
            <w:pPr>
              <w:spacing w:after="20" w:line="252" w:lineRule="auto"/>
            </w:pPr>
            <w:r>
              <w:rPr>
                <w:rFonts w:ascii="Calibri" w:hAnsi="Calibri"/>
                <w:color w:val="000000"/>
                <w:sz w:val="19"/>
              </w:rPr>
              <w:t>Hosted runtime, system libraries and deployment environment variables.</w:t>
            </w:r>
          </w:p>
        </w:tc>
      </w:tr>
    </w:tbl>
    <w:p>
      <w:pPr>
        <w:pStyle w:val="Heading1"/>
      </w:pPr>
      <w:r>
        <w:t>15. Conclusion</w:t>
      </w:r>
    </w:p>
    <w:p>
      <w:pPr>
        <w:spacing w:before="0" w:after="120" w:line="264" w:lineRule="auto"/>
      </w:pPr>
      <w:r>
        <w:rPr>
          <w:rFonts w:ascii="Calibri" w:hAnsi="Calibri"/>
          <w:b w:val="0"/>
          <w:i w:val="0"/>
          <w:color w:val="000000"/>
          <w:sz w:val="22"/>
        </w:rPr>
        <w:t>The current Document Q&amp;A Chatbot is no longer only a basic file-search prototype. It is a chat-scoped hybrid RAG application with cloud vector storage, API-based semantic embeddings, metadata-preserving parsing, semantic chunking, automatic source selection and inspectable citations. The remaining design boundary is visual OCR and mathematical image extraction on a low-memory hosted plan; the rest of the core document-text, table and retrieval flow is designed to run reliably without the developer laptop's GPU.</w:t>
      </w:r>
    </w:p>
    <w:p>
      <w:pPr>
        <w:spacing w:before="200" w:after="120" w:line="264" w:lineRule="auto"/>
      </w:pPr>
      <w:r>
        <w:rPr>
          <w:rFonts w:ascii="Calibri" w:hAnsi="Calibri"/>
          <w:b w:val="0"/>
          <w:i/>
          <w:color w:val="5B6573"/>
          <w:sz w:val="20"/>
        </w:rPr>
        <w:t>This report reflects the latest implementation files and the development changes made to improve accuracy, usability and deployment stability.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8"/>
      </w:rPr>
      <w:t>Document Q&amp;A Chatbot | Technical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Q&amp;A Chatbot - Updated Project Report</dc:title>
  <dc:subject>Architecture, changes, workflow and validation</dc:subject>
  <dc:creator>Document Q&amp;A Chatbot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