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b/>
          <w:color w:val="9A712B"/>
        </w:rPr>
        <w:t>INFORME HISTÓRICO Y CRÍTICO</w:t>
      </w:r>
    </w:p>
    <w:p>
      <w:pPr>
        <w:pStyle w:val="Title"/>
      </w:pPr>
      <w:r>
        <w:t>La destrucción de Yugoslavia</w:t>
      </w:r>
    </w:p>
    <w:p>
      <w:pPr>
        <w:jc w:val="center"/>
      </w:pPr>
      <w:r>
        <w:rPr>
          <w:color w:val="305D7D"/>
          <w:sz w:val="32"/>
        </w:rPr>
        <w:t>Nacionalismo, guerra, intervención exterior y legado geopolítico</w:t>
      </w:r>
    </w:p>
    <w:p>
      <w:pPr>
        <w:spacing w:before="440"/>
        <w:jc w:val="center"/>
      </w:pPr>
      <w:r>
        <w:rPr>
          <w:i/>
          <w:color w:val="5C646C"/>
          <w:sz w:val="22"/>
        </w:rPr>
        <w:t>Estudio conjunto del libro Y llegó la barbarie, de José Ángel Ruiz Jiménez, y del diálogo entre David Gibbs y Douglas Macgregor</w:t>
      </w:r>
    </w:p>
    <w:p>
      <w:pPr>
        <w:spacing w:before="2200"/>
        <w:jc w:val="center"/>
      </w:pPr>
      <w:r>
        <w:rPr>
          <w:b/>
          <w:color w:val="1E374B"/>
        </w:rPr>
        <w:t>Agosto de 2026</w:t>
      </w:r>
    </w:p>
    <w:p>
      <w:r>
        <w:br w:type="page"/>
      </w:r>
    </w:p>
    <w:p>
      <w:pPr>
        <w:pStyle w:val="Title"/>
      </w:pPr>
      <w:r>
        <w:t>Resumen ejecutivo</w:t>
      </w:r>
    </w:p>
    <w:p>
      <w:pPr>
        <w:pStyle w:val="Lead"/>
      </w:pPr>
      <w:r>
        <w:t>La tesis central que emerge del examen conjunto es que las guerras yugoslavas no fueron el desenlace automático de odios étnicos inmemoriales. Fueron procesos históricos contingentes: una federación debilitada por la crisis económica, el agotamiento del socialismo y una descentralización sin verdadera democratización quedó expuesta a élites republicanas que convirtieron agravios, memorias selectivas y temores colectivos en recursos de poder. La violencia fue posible porque esas estrategias internas interactuaron con decisiones externas —reconocimientos diplomáticos, apoyos selectivos, sanciones, negociación coercitiva y fuerza militar— que alteraron los incentivos de los contendientes y la propia evolución de la guerra.</w:t>
      </w:r>
    </w:p>
    <w:p>
      <w:r>
        <w:t>Ruiz Jiménez ofrece una explicación histórica, social y moral de largo alcance. Reconstruye la secuencia que va desde el revisionismo de los años ochenta hasta Eslovenia, Croacia, Bosnia-Herzegovina, Dayton, Kosovo y los Estados posteriores. Su foco privilegiado es la ciudadanía: cómo vecinos que habían convivido pudieron convertirse en enemigos, cómo la mayoría fue arrastrada o paralizada, y cómo otras personas conservaron su humanidad. Gibbs y Macgregor desplazan el centro de gravedad hacia la política occidental: cuestionan el relato de la intervención humanitaria, atribuyen a la OTAN intereses institucionales y geopolíticos, y presentan Bosnia y Kosovo como antecedentes del orden de posguerra fría y de la posterior confrontación con Rusia.</w:t>
      </w:r>
    </w:p>
    <w:p>
      <w:r>
        <w:t>Las dos perspectivas son complementarias hasta cierto punto, pero no equivalentes. El libro distribuye responsabilidades entre líderes y fuerzas de todas las comunidades, sin borrar la asimetría material de la guerra ni los crímenes concretos. El vídeo adopta una tesis más concentrada en la responsabilidad estadounidense y atlántica y, por ello, corre un riesgo mayor de subestimar la agencia de Milošević, Tuđman, Izetbegović, los dirigentes separatistas, las fuerzas locales y los aparatos paramilitares. El análisis más sólido surge al integrar ambos planos: sin la movilización nacionalista interna no se entiende la guerra; sin las intervenciones, reconocimientos y cálculos de las potencias no se entiende su duración, su forma ni su desenlace.</w:t>
      </w:r>
    </w:p>
    <w:p>
      <w:pPr>
        <w:pStyle w:val="Heading1"/>
      </w:pPr>
      <w:r>
        <w:t>1. Fuentes, objeto y método</w:t>
      </w:r>
    </w:p>
    <w:p>
      <w:r>
        <w:t>El presente informe estudia dos materiales de naturaleza distinta. El primero es el libro completo Y llegó la barbarie. Nacionalismo y juegos de poder en la destrucción de Yugoslavia (Ariel, 2016), de José Ángel Ruiz Jiménez. Sus siete capítulos recorren el revisionismo histórico y el ascenso nacionalista, la desintegración inicial, Bosnia-Herzegovina, la intervención de las potencias, la paz estadounidense, Kosovo y el balance de los nuevos Estados. El segundo material es el diálogo audiovisual “Qué ocurrió realmente en Yugoslavia”, con el historiador David Gibbs y el coronel retirado Douglas Macgregor, publicado por Neutrality Studies y organizado en torno a Bosnia, Kosovo, Rusia, la OTAN, Rambouillet y el legado estratégico de las intervenciones.</w:t>
      </w:r>
    </w:p>
    <w:p>
      <w:r>
        <w:t>El método empleado es comparativo y crítico. Primero se reconstruye el argumento de cada fuente en sus propios términos; después se contrastan sus coincidencias y diferencias; finalmente se evalúan sus afirmaciones atendiendo a la distinción entre hechos establecidos, interpretaciones plausibles y tesis controvertidas. No se pretende fabricar una falsa neutralidad entre víctimas y verdugos ni reducir la historia a una contabilidad moral. Se busca explicar mecanismos causales, responsabilidades diferenciadas y efectos políticos.</w:t>
      </w:r>
    </w:p>
    <w:p>
      <w:pPr>
        <w:pStyle w:val="Heading1"/>
      </w:pPr>
      <w:r>
        <w:t>2. Yugoslavia antes de la ruptura: una solución federal frágil</w:t>
      </w:r>
    </w:p>
    <w:p>
      <w:r>
        <w:t>La Yugoslavia socialista surgida de la resistencia partisana trató de resolver una dificultad estructural: la imposibilidad de hacer coincidir limpiamente fronteras estatales y comunidades nacionales en un territorio intensamente mezclado. La fórmula federal, articulada bajo el lema de “hermandad y unidad”, reconoció seis repúblicas —Eslovenia, Croacia, Bosnia-Herzegovina, Serbia, Montenegro y Macedonia— y dos provincias autónomas dentro de Serbia —Kosovo y Voivodina—. No eliminó los conflictos históricos, pero creó instituciones, identidades compartidas y redes sociales capaces de contenerlos.</w:t>
      </w:r>
    </w:p>
    <w:p>
      <w:r>
        <w:t>El sistema poseía logros reales: modernización, servicios públicos, movilidad social, una posición internacional singular en el Movimiento de Países No Alineados y una identidad yugoslava que convivía con las identidades republicanas. Sin embargo, también acumuló debilidades: partido único, represión de disidencias, dependencia del liderazgo de Tito, desigualdades regionales y un federalismo cada vez más complejo. La Constitución de 1974 profundizó la descentralización y otorgó amplias competencias a repúblicas y provincias. Esa arquitectura protegía la pluralidad, pero sin democracia federal robusta creó centros de poder republicanos que más tarde podrían actuar como cuasi-Estados.</w:t>
      </w:r>
    </w:p>
    <w:p>
      <w:r>
        <w:t>Tras la muerte de Tito en 1980, la deuda, la inflación, el desempleo y los programas de ajuste erosionaron la legitimidad del régimen. La crisis económica no produjo por sí sola el nacionalismo, pero proporcionó el entorno en el que las élites podían atribuir los costes a otras repúblicas o al centro federal. Eslovenos y croatas denunciaban transferencias hacia regiones menos desarrolladas; en Serbia se denunciaba la fragmentación de la república y la situación de los serbios en Kosovo y fuera de Serbia. El conflicto distributivo fue traducido gradualmente al lenguaje de la identidad y la supervivencia nacional.</w:t>
      </w:r>
    </w:p>
    <w:p>
      <w:pPr>
        <w:pStyle w:val="Heading1"/>
      </w:pPr>
      <w:r>
        <w:t>3. Nacionalismo, revisionismo y fabricación política del miedo</w:t>
      </w:r>
    </w:p>
    <w:p>
      <w:r>
        <w:t>Para Ruiz Jiménez, el primer paso decisivo fue la revisión victimista de la historia. Intelectuales, academias, medios y partidos seleccionaron episodios del pasado, minimizaron los crímenes propios y amplificaron los ajenos. La Segunda Guerra Mundial —el Estado ustacha croata, Jasenovac, las represalias chetniks y partisanas— se convirtió en un repertorio político presente. Las memorias no eran inventadas desde cero: partían de heridas auténticas, silencios impuestos y experiencias familiares. La manipulación consistió en organizarlas como relato nacional unilateral y en presentar al vecino contemporáneo como heredero del verdugo histórico.</w:t>
      </w:r>
    </w:p>
    <w:p>
      <w:r>
        <w:t>El nacionalismo funcionó a la vez como identidad, promesa y tecnología de poder. Ofrecía dignidad y soberanía; prometía que la independencia traería prosperidad; permitía a antiguos cuadros comunistas reconvertirse en líderes nacionales; y desviaba hacia un enemigo externo o interno las responsabilidades por la crisis. Slobodan Milošević explotó el agravio serbio y la cuestión de Kosovo para centralizar poder. Franjo Tuđman articuló un proyecto de soberanía croata que inquietó a la minoría serbia. En Bosnia-Herzegovina, los partidos nacionales serbio, croata y musulmán sustituyeron progresivamente al espacio político común.</w:t>
      </w:r>
    </w:p>
    <w:p>
      <w:r>
        <w:t>El mecanismo de escalada puede resumirse así: agravio histórico selectivo; control partidista de los medios; temor por el futuro de la comunidad; organización de partidos étnicos; formación o armamento de fuerzas paralelas; incidentes interpretados como confirmación del peligro; represalias; desplazamiento de moderados; y normalización de la violencia. La profecía de una agresión enemiga se volvió autocumplida. La mayoría no comenzó deseando la guerra, pero cada medida “preventiva” de un bando reforzaba la sensación de amenaza del otro.</w:t>
      </w:r>
    </w:p>
    <w:p>
      <w:pPr>
        <w:pStyle w:val="Heading1"/>
      </w:pPr>
      <w:r>
        <w:t>4. De la crisis constitucional a las primeras guerras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84"/>
            <w:shd w:fill="EEF3F6"/>
            <w:tcMar>
              <w:top w:w="80" w:type="dxa"/>
              <w:start w:w="120" w:type="dxa"/>
              <w:bottom w:w="80" w:type="dxa"/>
              <w:end w:w="120" w:type="dxa"/>
            </w:tcMar>
          </w:tcPr>
          <w:p>
            <w:r>
              <w:rPr>
                <w:b/>
                <w:color w:val="1E374B"/>
              </w:rPr>
              <w:t>Fecha</w:t>
            </w:r>
          </w:p>
        </w:tc>
        <w:tc>
          <w:tcPr>
            <w:tcW w:type="dxa" w:w="3024"/>
            <w:shd w:fill="EEF3F6"/>
            <w:tcMar>
              <w:top w:w="80" w:type="dxa"/>
              <w:start w:w="120" w:type="dxa"/>
              <w:bottom w:w="80" w:type="dxa"/>
              <w:end w:w="120" w:type="dxa"/>
            </w:tcMar>
          </w:tcPr>
          <w:p>
            <w:r>
              <w:rPr>
                <w:b/>
                <w:color w:val="1E374B"/>
              </w:rPr>
              <w:t>Proceso</w:t>
            </w:r>
          </w:p>
        </w:tc>
        <w:tc>
          <w:tcPr>
            <w:tcW w:type="dxa" w:w="4752"/>
            <w:shd w:fill="EEF3F6"/>
            <w:tcMar>
              <w:top w:w="80" w:type="dxa"/>
              <w:start w:w="120" w:type="dxa"/>
              <w:bottom w:w="80" w:type="dxa"/>
              <w:end w:w="120" w:type="dxa"/>
            </w:tcMar>
          </w:tcPr>
          <w:p>
            <w:r>
              <w:rPr>
                <w:b/>
                <w:color w:val="1E374B"/>
              </w:rPr>
              <w:t>Significado</w:t>
            </w:r>
          </w:p>
        </w:tc>
      </w:tr>
      <w:tr>
        <w:tc>
          <w:tcPr>
            <w:tcW w:type="dxa" w:w="1584"/>
            <w:tcMar>
              <w:top w:w="80" w:type="dxa"/>
              <w:start w:w="120" w:type="dxa"/>
              <w:bottom w:w="80" w:type="dxa"/>
              <w:end w:w="120" w:type="dxa"/>
            </w:tcMar>
            <w:vAlign w:val="top"/>
          </w:tcPr>
          <w:p>
            <w:r>
              <w:t>1980-1989</w:t>
            </w:r>
          </w:p>
        </w:tc>
        <w:tc>
          <w:tcPr>
            <w:tcW w:type="dxa" w:w="3024"/>
            <w:tcMar>
              <w:top w:w="80" w:type="dxa"/>
              <w:start w:w="120" w:type="dxa"/>
              <w:bottom w:w="80" w:type="dxa"/>
              <w:end w:w="120" w:type="dxa"/>
            </w:tcMar>
            <w:vAlign w:val="top"/>
          </w:tcPr>
          <w:p>
            <w:r>
              <w:t>Crisis económica y reordenación del poder</w:t>
            </w:r>
          </w:p>
        </w:tc>
        <w:tc>
          <w:tcPr>
            <w:tcW w:type="dxa" w:w="4752"/>
            <w:tcMar>
              <w:top w:w="80" w:type="dxa"/>
              <w:start w:w="120" w:type="dxa"/>
              <w:bottom w:w="80" w:type="dxa"/>
              <w:end w:w="120" w:type="dxa"/>
            </w:tcMar>
            <w:vAlign w:val="top"/>
          </w:tcPr>
          <w:p>
            <w:r>
              <w:t>Desgaste del consenso federal; ascenso de élites republicanas y discursos victimistas.</w:t>
            </w:r>
          </w:p>
        </w:tc>
      </w:tr>
      <w:tr>
        <w:tc>
          <w:tcPr>
            <w:tcW w:type="dxa" w:w="1584"/>
            <w:tcMar>
              <w:top w:w="80" w:type="dxa"/>
              <w:start w:w="120" w:type="dxa"/>
              <w:bottom w:w="80" w:type="dxa"/>
              <w:end w:w="120" w:type="dxa"/>
            </w:tcMar>
            <w:vAlign w:val="top"/>
          </w:tcPr>
          <w:p>
            <w:r>
              <w:t>1990</w:t>
            </w:r>
          </w:p>
        </w:tc>
        <w:tc>
          <w:tcPr>
            <w:tcW w:type="dxa" w:w="3024"/>
            <w:tcMar>
              <w:top w:w="80" w:type="dxa"/>
              <w:start w:w="120" w:type="dxa"/>
              <w:bottom w:w="80" w:type="dxa"/>
              <w:end w:w="120" w:type="dxa"/>
            </w:tcMar>
            <w:vAlign w:val="top"/>
          </w:tcPr>
          <w:p>
            <w:r>
              <w:t>Elecciones multipartidistas republicanas</w:t>
            </w:r>
          </w:p>
        </w:tc>
        <w:tc>
          <w:tcPr>
            <w:tcW w:type="dxa" w:w="4752"/>
            <w:tcMar>
              <w:top w:w="80" w:type="dxa"/>
              <w:start w:w="120" w:type="dxa"/>
              <w:bottom w:w="80" w:type="dxa"/>
              <w:end w:w="120" w:type="dxa"/>
            </w:tcMar>
            <w:vAlign w:val="top"/>
          </w:tcPr>
          <w:p>
            <w:r>
              <w:t>La democratización se territorializa: vencen partidos nacionales sin un demos federal equivalente.</w:t>
            </w:r>
          </w:p>
        </w:tc>
      </w:tr>
      <w:tr>
        <w:tc>
          <w:tcPr>
            <w:tcW w:type="dxa" w:w="1584"/>
            <w:tcMar>
              <w:top w:w="80" w:type="dxa"/>
              <w:start w:w="120" w:type="dxa"/>
              <w:bottom w:w="80" w:type="dxa"/>
              <w:end w:w="120" w:type="dxa"/>
            </w:tcMar>
            <w:vAlign w:val="top"/>
          </w:tcPr>
          <w:p>
            <w:r>
              <w:t>Junio-julio de 1991</w:t>
            </w:r>
          </w:p>
        </w:tc>
        <w:tc>
          <w:tcPr>
            <w:tcW w:type="dxa" w:w="3024"/>
            <w:tcMar>
              <w:top w:w="80" w:type="dxa"/>
              <w:start w:w="120" w:type="dxa"/>
              <w:bottom w:w="80" w:type="dxa"/>
              <w:end w:w="120" w:type="dxa"/>
            </w:tcMar>
            <w:vAlign w:val="top"/>
          </w:tcPr>
          <w:p>
            <w:r>
              <w:t>Independencia y guerra de Eslovenia</w:t>
            </w:r>
          </w:p>
        </w:tc>
        <w:tc>
          <w:tcPr>
            <w:tcW w:type="dxa" w:w="4752"/>
            <w:tcMar>
              <w:top w:w="80" w:type="dxa"/>
              <w:start w:w="120" w:type="dxa"/>
              <w:bottom w:w="80" w:type="dxa"/>
              <w:end w:w="120" w:type="dxa"/>
            </w:tcMar>
            <w:vAlign w:val="top"/>
          </w:tcPr>
          <w:p>
            <w:r>
              <w:t>Conflicto breve; homogeneidad eslovena y cálculo externo facilitan la salida.</w:t>
            </w:r>
          </w:p>
        </w:tc>
      </w:tr>
      <w:tr>
        <w:tc>
          <w:tcPr>
            <w:tcW w:type="dxa" w:w="1584"/>
            <w:tcMar>
              <w:top w:w="80" w:type="dxa"/>
              <w:start w:w="120" w:type="dxa"/>
              <w:bottom w:w="80" w:type="dxa"/>
              <w:end w:w="120" w:type="dxa"/>
            </w:tcMar>
            <w:vAlign w:val="top"/>
          </w:tcPr>
          <w:p>
            <w:r>
              <w:t>1991-1995</w:t>
            </w:r>
          </w:p>
        </w:tc>
        <w:tc>
          <w:tcPr>
            <w:tcW w:type="dxa" w:w="3024"/>
            <w:tcMar>
              <w:top w:w="80" w:type="dxa"/>
              <w:start w:w="120" w:type="dxa"/>
              <w:bottom w:w="80" w:type="dxa"/>
              <w:end w:w="120" w:type="dxa"/>
            </w:tcMar>
            <w:vAlign w:val="top"/>
          </w:tcPr>
          <w:p>
            <w:r>
              <w:t>Guerra de Croacia</w:t>
            </w:r>
          </w:p>
        </w:tc>
        <w:tc>
          <w:tcPr>
            <w:tcW w:type="dxa" w:w="4752"/>
            <w:tcMar>
              <w:top w:w="80" w:type="dxa"/>
              <w:start w:w="120" w:type="dxa"/>
              <w:bottom w:w="80" w:type="dxa"/>
              <w:end w:w="120" w:type="dxa"/>
            </w:tcMar>
            <w:vAlign w:val="top"/>
          </w:tcPr>
          <w:p>
            <w:r>
              <w:t>Rebelión serbocroata, intervención del JNA, limpieza étnica y reconquista croata mediante operaciones militares.</w:t>
            </w:r>
          </w:p>
        </w:tc>
      </w:tr>
      <w:tr>
        <w:tc>
          <w:tcPr>
            <w:tcW w:type="dxa" w:w="1584"/>
            <w:tcMar>
              <w:top w:w="80" w:type="dxa"/>
              <w:start w:w="120" w:type="dxa"/>
              <w:bottom w:w="80" w:type="dxa"/>
              <w:end w:w="120" w:type="dxa"/>
            </w:tcMar>
            <w:vAlign w:val="top"/>
          </w:tcPr>
          <w:p>
            <w:r>
              <w:t>1992-1995</w:t>
            </w:r>
          </w:p>
        </w:tc>
        <w:tc>
          <w:tcPr>
            <w:tcW w:type="dxa" w:w="3024"/>
            <w:tcMar>
              <w:top w:w="80" w:type="dxa"/>
              <w:start w:w="120" w:type="dxa"/>
              <w:bottom w:w="80" w:type="dxa"/>
              <w:end w:w="120" w:type="dxa"/>
            </w:tcMar>
            <w:vAlign w:val="top"/>
          </w:tcPr>
          <w:p>
            <w:r>
              <w:t>Guerra de Bosnia-Herzegovina</w:t>
            </w:r>
          </w:p>
        </w:tc>
        <w:tc>
          <w:tcPr>
            <w:tcW w:type="dxa" w:w="4752"/>
            <w:tcMar>
              <w:top w:w="80" w:type="dxa"/>
              <w:start w:w="120" w:type="dxa"/>
              <w:bottom w:w="80" w:type="dxa"/>
              <w:end w:w="120" w:type="dxa"/>
            </w:tcMar>
            <w:vAlign w:val="top"/>
          </w:tcPr>
          <w:p>
            <w:r>
              <w:t>Guerra multilateral, sitios, campos, expulsiones y masacres; culmina en Dayton.</w:t>
            </w:r>
          </w:p>
        </w:tc>
      </w:tr>
      <w:tr>
        <w:tc>
          <w:tcPr>
            <w:tcW w:type="dxa" w:w="1584"/>
            <w:tcMar>
              <w:top w:w="80" w:type="dxa"/>
              <w:start w:w="120" w:type="dxa"/>
              <w:bottom w:w="80" w:type="dxa"/>
              <w:end w:w="120" w:type="dxa"/>
            </w:tcMar>
            <w:vAlign w:val="top"/>
          </w:tcPr>
          <w:p>
            <w:r>
              <w:t>1998-1999</w:t>
            </w:r>
          </w:p>
        </w:tc>
        <w:tc>
          <w:tcPr>
            <w:tcW w:type="dxa" w:w="3024"/>
            <w:tcMar>
              <w:top w:w="80" w:type="dxa"/>
              <w:start w:w="120" w:type="dxa"/>
              <w:bottom w:w="80" w:type="dxa"/>
              <w:end w:w="120" w:type="dxa"/>
            </w:tcMar>
            <w:vAlign w:val="top"/>
          </w:tcPr>
          <w:p>
            <w:r>
              <w:t>Kosovo y bombardeo de la OTAN</w:t>
            </w:r>
          </w:p>
        </w:tc>
        <w:tc>
          <w:tcPr>
            <w:tcW w:type="dxa" w:w="4752"/>
            <w:tcMar>
              <w:top w:w="80" w:type="dxa"/>
              <w:start w:w="120" w:type="dxa"/>
              <w:bottom w:w="80" w:type="dxa"/>
              <w:end w:w="120" w:type="dxa"/>
            </w:tcMar>
            <w:vAlign w:val="top"/>
          </w:tcPr>
          <w:p>
            <w:r>
              <w:t>Insurgencia del UÇK, represión serbia, fracaso diplomático y guerra aérea sin autorización del Consejo de Seguridad.</w:t>
            </w:r>
          </w:p>
        </w:tc>
      </w:tr>
      <w:tr>
        <w:tc>
          <w:tcPr>
            <w:tcW w:type="dxa" w:w="1584"/>
            <w:tcMar>
              <w:top w:w="80" w:type="dxa"/>
              <w:start w:w="120" w:type="dxa"/>
              <w:bottom w:w="80" w:type="dxa"/>
              <w:end w:w="120" w:type="dxa"/>
            </w:tcMar>
            <w:vAlign w:val="top"/>
          </w:tcPr>
          <w:p>
            <w:r>
              <w:t>2001</w:t>
            </w:r>
          </w:p>
        </w:tc>
        <w:tc>
          <w:tcPr>
            <w:tcW w:type="dxa" w:w="3024"/>
            <w:tcMar>
              <w:top w:w="80" w:type="dxa"/>
              <w:start w:w="120" w:type="dxa"/>
              <w:bottom w:w="80" w:type="dxa"/>
              <w:end w:w="120" w:type="dxa"/>
            </w:tcMar>
            <w:vAlign w:val="top"/>
          </w:tcPr>
          <w:p>
            <w:r>
              <w:t>Conflicto de Macedonia</w:t>
            </w:r>
          </w:p>
        </w:tc>
        <w:tc>
          <w:tcPr>
            <w:tcW w:type="dxa" w:w="4752"/>
            <w:tcMar>
              <w:top w:w="80" w:type="dxa"/>
              <w:start w:w="120" w:type="dxa"/>
              <w:bottom w:w="80" w:type="dxa"/>
              <w:end w:w="120" w:type="dxa"/>
            </w:tcMar>
            <w:vAlign w:val="top"/>
          </w:tcPr>
          <w:p>
            <w:r>
              <w:t>Último gran episodio armado del ciclo yugoslavo; acuerdo político evita una guerra mayor.</w:t>
            </w:r>
          </w:p>
        </w:tc>
      </w:tr>
    </w:tbl>
    <w:p>
      <w:pPr>
        <w:spacing w:after="40"/>
      </w:pPr>
    </w:p>
    <w:p>
      <w:r>
        <w:t>La guerra de Eslovenia duró diez días y fue limitada porque la república era relativamente homogénea y Belgrado no consideró prioritario retenerla. Croacia planteaba un problema distinto: una importante población serbia residía en Krajina y Eslavonia, territorios ligados histórica y administrativamente a la república croata. La simbología nacionalista del nuevo gobierno, los cambios constitucionales y la propaganda despertaron entre los serbios el miedo a quedar subordinados; Belgrado y elementos del Ejército Popular Yugoslavo facilitaron su armamento y secesión. Vukovar, Dubrovnik y las expulsiones mostraron que la desintegración ya no era una negociación constitucional, sino una lucha por territorio y población.</w:t>
      </w:r>
    </w:p>
    <w:p>
      <w:r>
        <w:t>Ruiz Jiménez rechaza las narraciones monocausales. La superioridad militar inicial del JNA y de las fuerzas serbias produjo una asimetría clara y permitió amplias conquistas y expulsiones. Pero eso no convierte a los restantes proyectos nacionales en actores pasivos o inocentes. El gobierno croata construyó su propio aparato militar y, en 1995, las operaciones Relámpago y Tormenta recuperaron territorios a costa del éxodo masivo de serbios de Croacia. La sucesión de victimización y revancha no iguala automáticamente todos los crímenes, pero obliga a observar la guerra como proceso, no como fotografía fija.</w:t>
      </w:r>
    </w:p>
    <w:p>
      <w:pPr>
        <w:pStyle w:val="Heading1"/>
      </w:pPr>
      <w:r>
        <w:t>5. Bosnia-Herzegovina: el centro de la barbarie</w:t>
      </w:r>
    </w:p>
    <w:p>
      <w:r>
        <w:t>Bosnia-Herzegovina condensaba el problema yugoslavo: ninguna comunidad podía convertirla en Estado nacional propio sin someter, expulsar o separar a las demás. Serbios, musulmanes bosnios —posteriormente denominados bosníacos— y croatas estaban territorialmente entremezclados. El referéndum de independencia, boicoteado mayoritariamente por los serbios, dio legitimidad a la secesión para unos y confirmó para otros el riesgo de quedar en minoría. La guerra comenzó con proyectos incompatibles: preservar una Bosnia unitaria, unir territorios serbios a Serbia o Yugoslavia y vincular espacios croatas a Croacia.</w:t>
      </w:r>
    </w:p>
    <w:p>
      <w:r>
        <w:t>La guerra no fue una simple lucha binaria. Hubo una primera fase de predominio serbobosnio, sostenido por armamento y cuadros del antiguo JNA; una guerra croata-bosníaca dentro de la guerra; acuerdos tácticos cambiantes; enclaves protegidos por Naciones Unidas; economías criminales; y una población civil convertida en objetivo estratégico. Sarajevo sufrió un prolongado sitio. Prijedor, Foča, Višegrad, Mostar y numerosos municipios padecieron detenciones, expulsiones, violaciones y asesinatos. La limpieza étnica no fue un efecto lateral, sino una técnica para producir territorios políticamente controlables.</w:t>
      </w:r>
    </w:p>
    <w:p>
      <w:r>
        <w:t>Srebrenica ocupa un lugar singular. En julio de 1995, fuerzas serbobosnias comandadas por Ratko Mladić asesinaron a miles de varones musulmanes tras tomar el enclave declarado seguro por Naciones Unidas. Los tribunales internacionales calificaron la matanza como genocidio. Reconocer este hecho no exige aceptar una historia maniquea del conflicto completo; negarlo o diluirlo en comparaciones equivale a prolongar la violencia en el terreno de la memoria. Ruiz Jiménez insiste en que la reconciliación requiere asumir los crímenes propios sin convertir el sufrimiento nacional en patente de inocencia.</w:t>
      </w:r>
    </w:p>
    <w:p>
      <w:r>
        <w:t>El libro presta especial atención al paso de la convivencia a la crueldad. La propaganda deshumaniza; la autoridad armada distribuye responsabilidad; los paramilitares ofrecen espacio a delincuentes y extremistas; el saqueo crea incentivos materiales; y la pasividad se extiende porque oponerse puede costar la vida. Pero también documenta la conducta inversa: personas que escondieron, alimentaron o evacuaron a vecinos de otra comunidad. La “banalidad del mal” tiene un contrapunto en una posible banalidad del bien: contextos y redes capaces de sostener la ayuda mutua.</w:t>
      </w:r>
    </w:p>
    <w:p>
      <w:pPr>
        <w:pStyle w:val="Heading1"/>
      </w:pPr>
      <w:r>
        <w:t>6. Potencias extranjeras, diplomacia y guerra</w:t>
      </w:r>
    </w:p>
    <w:p>
      <w:r>
        <w:t>La comunidad internacional no actuó como un sujeto unitario. Alemania y el Vaticano favorecieron tempranamente el reconocimiento de Eslovenia y Croacia; otros gobiernos temían que ello acelerara la guerra. La Comunidad Europea intentó negociar planes mientras sus miembros mantenían posiciones distintas. Naciones Unidas desplegó fuerzas de protección con mandatos insuficientes para imponer la paz. Estados Unidos pasó de una implicación limitada a dirigir la diplomacia coercitiva. Rusia procuró mantener influencia y defender intereses serbios, pero su debilidad postsoviética restringía su margen.</w:t>
      </w:r>
    </w:p>
    <w:p>
      <w:r>
        <w:t>El reconocimiento internacional fue una decisión constitutiva, no un gesto neutral. Al aceptar las fronteras internas republicanas como fronteras internacionales sin resolver de antemano la posición de las minorías, se legitimaron unas secesiones y se deslegitimaron otras. Esto no significa que la independencia causara por sí misma la guerra ni que las minorías poseyeran derecho ilimitado a fragmentar territorios. Significa que el orden jurídico fue aplicado en un espacio donde las unidades administrativas no coincidían con la distribución de las comunidades y donde cada actor invocaba selectivamente autodeterminación o integridad territorial.</w:t>
      </w:r>
    </w:p>
    <w:p>
      <w:r>
        <w:t>Las sanciones y el embargo de armas tuvieron efectos ambiguos. El embargo congeló inicialmente una correlación favorable al JNA y a fuerzas serbias; luego fue erosionado por redes clandestinas y apoyos exteriores. La ayuda humanitaria alivió sufrimientos, pero en ocasiones sustituyó una estrategia política coherente. Los planes de paz fueron aceptados o rechazados según el cálculo militar de cada momento: los actores esperaban mejorar sobre el terreno antes de negociar. La intervención externa, por tanto, podía reducir la violencia o prolongar la expectativa de victoria.</w:t>
      </w:r>
    </w:p>
    <w:p>
      <w:pPr>
        <w:pStyle w:val="Heading1"/>
      </w:pPr>
      <w:r>
        <w:t>7. Dayton y la “Pax Americana”</w:t>
      </w:r>
    </w:p>
    <w:p>
      <w:r>
        <w:t>En 1995 confluyeron varios factores: desgaste militar, ofensivas croatas y bosnias, bombardeos de la OTAN, presión estadounidense y la decisión de Milošević de negociar en nombre de los serbios de Bosnia. Los Acuerdos de Dayton detuvieron la guerra, que era la prioridad moral inmediata. Mantuvieron formalmente Bosnia-Herzegovina como Estado, pero la dividieron en dos entidades principales —Federación de Bosnia y Herzegovina y República Srpska—, con una arquitectura institucional compleja y fuerte tutela internacional.</w:t>
      </w:r>
    </w:p>
    <w:p>
      <w:r>
        <w:t>Dayton encierra una paradoja. Condenó la limpieza étnica y permitió el retorno, pero institucionalizó parcialmente el mapa producido por la guerra; defendió un Estado multiétnico, pero organizó gran parte de la representación alrededor de pueblos constituyentes; celebró elecciones, pero bajo supervisión externa y con poderes extraordinarios del Alto Representante. Fue eficaz para detener la matanza, menos eficaz para crear una comunidad política autosuficiente. La paz negativa —ausencia de guerra— no se transformó plenamente en paz positiva —instituciones legítimas, confianza compartida y oportunidades sociales—.</w:t>
      </w:r>
    </w:p>
    <w:p>
      <w:pPr>
        <w:pStyle w:val="Heading1"/>
      </w:pPr>
      <w:r>
        <w:t>8. Kosovo: insurgencia, represión y bombardeo de 1999</w:t>
      </w:r>
    </w:p>
    <w:p>
      <w:r>
        <w:t>Kosovo poseía enorme importancia simbólica para el nacionalismo serbio y mayoría demográfica albanesa. La retirada de su autonomía efectiva bajo Milošević, la discriminación y la construcción de instituciones paralelas bajo Ibrahim Rugova alimentaron un largo conflicto. La estrategia no violenta perdió credibilidad cuando la atención internacional se concentró en Bosnia y no produjo cambios sustanciales. El Ejército de Liberación de Kosovo (UÇK/KLA) recurrió a la insurgencia, asesinó a policías y a colaboradores y buscó internacionalizar el conflicto; la respuesta serbia fue desproporcionada y castigó ampliamente a la población civil.</w:t>
      </w:r>
    </w:p>
    <w:p>
      <w:r>
        <w:t>Gibbs y Macgregor subrayan el carácter problemático del UÇK y sostienen que Washington terminó alineándose con un actor que previamente había sido descrito como terrorista. La intervención, según su lectura, no fue una reacción humanitaria pura, sino una decisión geopolítica orientada a demostrar la utilidad de la OTAN y la capacidad de imponer un arreglo. Esta crítica acierta al señalar que los aliados ocultaron o minimizaron aspectos inconvenientes de sus socios locales. Sin embargo, la existencia de abusos del UÇK no elimina la represión estatal serbia ni permite tratar a todas las fuerzas como equivalentes en capacidad y responsabilidad.</w:t>
      </w:r>
    </w:p>
    <w:p>
      <w:r>
        <w:t>Las negociaciones de Rambouillet constituyen el principal punto controvertido. Los críticos sostienen que las condiciones militares asociadas al acuerdo y la presencia de tropas de la OTAN hacían inaceptable la propuesta para Belgrado y que la diplomacia fue diseñada para fracasar o para justificar la guerra. La interpretación occidental sostiene que el despliegue era necesario para garantizar el cumplimiento tras la experiencia bosnia. El hecho indiscutible es que no hubo acuerdo y que la OTAN inició una campaña aérea sin autorización expresa del Consejo de Seguridad de Naciones Unidas, invocando necesidad humanitaria.</w:t>
      </w:r>
    </w:p>
    <w:p>
      <w:r>
        <w:t>El bombardeo degradó infraestructura militar y civil, causó víctimas, fortaleció temporalmente el control interno de Milošević y coincidió con una aceleración dramática de expulsiones de albanokosovares. Tras la retirada serbia y el despliegue internacional, una parte importante de la población serbia y romaní huyó o fue expulsada, y se produjeron venganzas y ataques contra patrimonio religioso. El resultado evitó la continuidad del dominio coercitivo serbio sobre Kosovo, pero no creó una sociedad plenamente multiétnica ni resolvió la disputa de soberanía.</w:t>
      </w:r>
    </w:p>
    <w:p>
      <w:pPr>
        <w:pStyle w:val="Heading1"/>
      </w:pPr>
      <w:r>
        <w:t>9. La interpretación de Gibbs y Macgregor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84"/>
            <w:shd w:fill="EEF3F6"/>
            <w:tcMar>
              <w:top w:w="80" w:type="dxa"/>
              <w:start w:w="120" w:type="dxa"/>
              <w:bottom w:w="80" w:type="dxa"/>
              <w:end w:w="120" w:type="dxa"/>
            </w:tcMar>
          </w:tcPr>
          <w:p>
            <w:r>
              <w:rPr>
                <w:b/>
                <w:color w:val="1E374B"/>
              </w:rPr>
              <w:t>Eje del vídeo</w:t>
            </w:r>
          </w:p>
        </w:tc>
        <w:tc>
          <w:tcPr>
            <w:tcW w:type="dxa" w:w="3528"/>
            <w:shd w:fill="EEF3F6"/>
            <w:tcMar>
              <w:top w:w="80" w:type="dxa"/>
              <w:start w:w="120" w:type="dxa"/>
              <w:bottom w:w="80" w:type="dxa"/>
              <w:end w:w="120" w:type="dxa"/>
            </w:tcMar>
          </w:tcPr>
          <w:p>
            <w:r>
              <w:rPr>
                <w:b/>
                <w:color w:val="1E374B"/>
              </w:rPr>
              <w:t>Argumento principal</w:t>
            </w:r>
          </w:p>
        </w:tc>
        <w:tc>
          <w:tcPr>
            <w:tcW w:type="dxa" w:w="4248"/>
            <w:shd w:fill="EEF3F6"/>
            <w:tcMar>
              <w:top w:w="80" w:type="dxa"/>
              <w:start w:w="120" w:type="dxa"/>
              <w:bottom w:w="80" w:type="dxa"/>
              <w:end w:w="120" w:type="dxa"/>
            </w:tcMar>
          </w:tcPr>
          <w:p>
            <w:r>
              <w:rPr>
                <w:b/>
                <w:color w:val="1E374B"/>
              </w:rPr>
              <w:t>Evaluación crítica</w:t>
            </w:r>
          </w:p>
        </w:tc>
      </w:tr>
      <w:tr>
        <w:tc>
          <w:tcPr>
            <w:tcW w:type="dxa" w:w="1584"/>
            <w:tcMar>
              <w:top w:w="80" w:type="dxa"/>
              <w:start w:w="120" w:type="dxa"/>
              <w:bottom w:w="80" w:type="dxa"/>
              <w:end w:w="120" w:type="dxa"/>
            </w:tcMar>
            <w:vAlign w:val="top"/>
          </w:tcPr>
          <w:p>
            <w:r>
              <w:t>Rusia</w:t>
            </w:r>
          </w:p>
        </w:tc>
        <w:tc>
          <w:tcPr>
            <w:tcW w:type="dxa" w:w="3528"/>
            <w:tcMar>
              <w:top w:w="80" w:type="dxa"/>
              <w:start w:w="120" w:type="dxa"/>
              <w:bottom w:w="80" w:type="dxa"/>
              <w:end w:w="120" w:type="dxa"/>
            </w:tcMar>
            <w:vAlign w:val="top"/>
          </w:tcPr>
          <w:p>
            <w:r>
              <w:t>Moscú cooperó en Bosnia y Kosovo, pero fue tratada como actor subordinado.</w:t>
            </w:r>
          </w:p>
        </w:tc>
        <w:tc>
          <w:tcPr>
            <w:tcW w:type="dxa" w:w="4248"/>
            <w:tcMar>
              <w:top w:w="80" w:type="dxa"/>
              <w:start w:w="120" w:type="dxa"/>
              <w:bottom w:w="80" w:type="dxa"/>
              <w:end w:w="120" w:type="dxa"/>
            </w:tcMar>
            <w:vAlign w:val="top"/>
          </w:tcPr>
          <w:p>
            <w:r>
              <w:t>Plausible y relevante para comprender el resentimiento posterior; requiere distinguir entre cooperación rusa, desacuerdos internos y debilidad material.</w:t>
            </w:r>
          </w:p>
        </w:tc>
      </w:tr>
      <w:tr>
        <w:tc>
          <w:tcPr>
            <w:tcW w:type="dxa" w:w="1584"/>
            <w:tcMar>
              <w:top w:w="80" w:type="dxa"/>
              <w:start w:w="120" w:type="dxa"/>
              <w:bottom w:w="80" w:type="dxa"/>
              <w:end w:w="120" w:type="dxa"/>
            </w:tcMar>
            <w:vAlign w:val="top"/>
          </w:tcPr>
          <w:p>
            <w:r>
              <w:t>OTAN</w:t>
            </w:r>
          </w:p>
        </w:tc>
        <w:tc>
          <w:tcPr>
            <w:tcW w:type="dxa" w:w="3528"/>
            <w:tcMar>
              <w:top w:w="80" w:type="dxa"/>
              <w:start w:w="120" w:type="dxa"/>
              <w:bottom w:w="80" w:type="dxa"/>
              <w:end w:w="120" w:type="dxa"/>
            </w:tcMar>
            <w:vAlign w:val="top"/>
          </w:tcPr>
          <w:p>
            <w:r>
              <w:t>Las guerras sirvieron para justificar la continuidad y expansión de la Alianza tras la Guerra Fría.</w:t>
            </w:r>
          </w:p>
        </w:tc>
        <w:tc>
          <w:tcPr>
            <w:tcW w:type="dxa" w:w="4248"/>
            <w:tcMar>
              <w:top w:w="80" w:type="dxa"/>
              <w:start w:w="120" w:type="dxa"/>
              <w:bottom w:w="80" w:type="dxa"/>
              <w:end w:w="120" w:type="dxa"/>
            </w:tcMar>
            <w:vAlign w:val="top"/>
          </w:tcPr>
          <w:p>
            <w:r>
              <w:t>Tesis fuerte y coherente con el problema institucional de posguerra fría; no demuestra que todo el proceso se originara con ese único fin.</w:t>
            </w:r>
          </w:p>
        </w:tc>
      </w:tr>
      <w:tr>
        <w:tc>
          <w:tcPr>
            <w:tcW w:type="dxa" w:w="1584"/>
            <w:tcMar>
              <w:top w:w="80" w:type="dxa"/>
              <w:start w:w="120" w:type="dxa"/>
              <w:bottom w:w="80" w:type="dxa"/>
              <w:end w:w="120" w:type="dxa"/>
            </w:tcMar>
            <w:vAlign w:val="top"/>
          </w:tcPr>
          <w:p>
            <w:r>
              <w:t>UÇK</w:t>
            </w:r>
          </w:p>
        </w:tc>
        <w:tc>
          <w:tcPr>
            <w:tcW w:type="dxa" w:w="3528"/>
            <w:tcMar>
              <w:top w:w="80" w:type="dxa"/>
              <w:start w:w="120" w:type="dxa"/>
              <w:bottom w:w="80" w:type="dxa"/>
              <w:end w:w="120" w:type="dxa"/>
            </w:tcMar>
            <w:vAlign w:val="top"/>
          </w:tcPr>
          <w:p>
            <w:r>
              <w:t>Occidente convirtió a una insurgencia con prácticas terroristas en socio político-militar.</w:t>
            </w:r>
          </w:p>
        </w:tc>
        <w:tc>
          <w:tcPr>
            <w:tcW w:type="dxa" w:w="4248"/>
            <w:tcMar>
              <w:top w:w="80" w:type="dxa"/>
              <w:start w:w="120" w:type="dxa"/>
              <w:bottom w:w="80" w:type="dxa"/>
              <w:end w:w="120" w:type="dxa"/>
            </w:tcMar>
            <w:vAlign w:val="top"/>
          </w:tcPr>
          <w:p>
            <w:r>
              <w:t>Sustancialmente fundada como crítica a la selección interesada de aliados; no absuelve la represión serbia.</w:t>
            </w:r>
          </w:p>
        </w:tc>
      </w:tr>
      <w:tr>
        <w:tc>
          <w:tcPr>
            <w:tcW w:type="dxa" w:w="1584"/>
            <w:tcMar>
              <w:top w:w="80" w:type="dxa"/>
              <w:start w:w="120" w:type="dxa"/>
              <w:bottom w:w="80" w:type="dxa"/>
              <w:end w:w="120" w:type="dxa"/>
            </w:tcMar>
            <w:vAlign w:val="top"/>
          </w:tcPr>
          <w:p>
            <w:r>
              <w:t>Rambouillet</w:t>
            </w:r>
          </w:p>
        </w:tc>
        <w:tc>
          <w:tcPr>
            <w:tcW w:type="dxa" w:w="3528"/>
            <w:tcMar>
              <w:top w:w="80" w:type="dxa"/>
              <w:start w:w="120" w:type="dxa"/>
              <w:bottom w:w="80" w:type="dxa"/>
              <w:end w:w="120" w:type="dxa"/>
            </w:tcMar>
            <w:vAlign w:val="top"/>
          </w:tcPr>
          <w:p>
            <w:r>
              <w:t>El acuerdo contenía exigencias que facilitaban el rechazo serbio y la guerra.</w:t>
            </w:r>
          </w:p>
        </w:tc>
        <w:tc>
          <w:tcPr>
            <w:tcW w:type="dxa" w:w="4248"/>
            <w:tcMar>
              <w:top w:w="80" w:type="dxa"/>
              <w:start w:w="120" w:type="dxa"/>
              <w:bottom w:w="80" w:type="dxa"/>
              <w:end w:w="120" w:type="dxa"/>
            </w:tcMar>
            <w:vAlign w:val="top"/>
          </w:tcPr>
          <w:p>
            <w:r>
              <w:t>Debate historiográfico real; conviene evitar afirmar intención deliberada sin documentación decisiva.</w:t>
            </w:r>
          </w:p>
        </w:tc>
      </w:tr>
      <w:tr>
        <w:tc>
          <w:tcPr>
            <w:tcW w:type="dxa" w:w="1584"/>
            <w:tcMar>
              <w:top w:w="80" w:type="dxa"/>
              <w:start w:w="120" w:type="dxa"/>
              <w:bottom w:w="80" w:type="dxa"/>
              <w:end w:w="120" w:type="dxa"/>
            </w:tcMar>
            <w:vAlign w:val="top"/>
          </w:tcPr>
          <w:p>
            <w:r>
              <w:t>Europa</w:t>
            </w:r>
          </w:p>
        </w:tc>
        <w:tc>
          <w:tcPr>
            <w:tcW w:type="dxa" w:w="3528"/>
            <w:tcMar>
              <w:top w:w="80" w:type="dxa"/>
              <w:start w:w="120" w:type="dxa"/>
              <w:bottom w:w="80" w:type="dxa"/>
              <w:end w:w="120" w:type="dxa"/>
            </w:tcMar>
            <w:vAlign w:val="top"/>
          </w:tcPr>
          <w:p>
            <w:r>
              <w:t>La intervención reforzó la dependencia militar europea respecto de Estados Unidos.</w:t>
            </w:r>
          </w:p>
        </w:tc>
        <w:tc>
          <w:tcPr>
            <w:tcW w:type="dxa" w:w="4248"/>
            <w:tcMar>
              <w:top w:w="80" w:type="dxa"/>
              <w:start w:w="120" w:type="dxa"/>
              <w:bottom w:w="80" w:type="dxa"/>
              <w:end w:w="120" w:type="dxa"/>
            </w:tcMar>
            <w:vAlign w:val="top"/>
          </w:tcPr>
          <w:p>
            <w:r>
              <w:t>Resultado visible: capacidad europea limitada y liderazgo estadounidense; la causalidad de largo plazo es más compleja.</w:t>
            </w:r>
          </w:p>
        </w:tc>
      </w:tr>
      <w:tr>
        <w:tc>
          <w:tcPr>
            <w:tcW w:type="dxa" w:w="1584"/>
            <w:tcMar>
              <w:top w:w="80" w:type="dxa"/>
              <w:start w:w="120" w:type="dxa"/>
              <w:bottom w:w="80" w:type="dxa"/>
              <w:end w:w="120" w:type="dxa"/>
            </w:tcMar>
            <w:vAlign w:val="top"/>
          </w:tcPr>
          <w:p>
            <w:r>
              <w:t>Precedente</w:t>
            </w:r>
          </w:p>
        </w:tc>
        <w:tc>
          <w:tcPr>
            <w:tcW w:type="dxa" w:w="3528"/>
            <w:tcMar>
              <w:top w:w="80" w:type="dxa"/>
              <w:start w:w="120" w:type="dxa"/>
              <w:bottom w:w="80" w:type="dxa"/>
              <w:end w:w="120" w:type="dxa"/>
            </w:tcMar>
            <w:vAlign w:val="top"/>
          </w:tcPr>
          <w:p>
            <w:r>
              <w:t>Bosnia y Kosovo fueron ensayo de posteriores intervenciones y de la confrontación con Rusia.</w:t>
            </w:r>
          </w:p>
        </w:tc>
        <w:tc>
          <w:tcPr>
            <w:tcW w:type="dxa" w:w="4248"/>
            <w:tcMar>
              <w:top w:w="80" w:type="dxa"/>
              <w:start w:w="120" w:type="dxa"/>
              <w:bottom w:w="80" w:type="dxa"/>
              <w:end w:w="120" w:type="dxa"/>
            </w:tcMar>
            <w:vAlign w:val="top"/>
          </w:tcPr>
          <w:p>
            <w:r>
              <w:t>Comparación sugerente si se habla de repertorios institucionales y narrativos; excesiva si se postula una línea causal única hasta Ucrania.</w:t>
            </w:r>
          </w:p>
        </w:tc>
      </w:tr>
    </w:tbl>
    <w:p>
      <w:pPr>
        <w:spacing w:after="40"/>
      </w:pPr>
    </w:p>
    <w:p>
      <w:r>
        <w:t>Macgregor aporta el testimonio de un oficial vinculado a estructuras de mando de la OTAN y enfatiza la distancia entre los objetivos declarados y los cálculos estratégicos. Gibbs sitúa los Balcanes dentro de la transformación del poder estadounidense tras 1991: la búsqueda de una misión para la OTAN, el uso de causas morales como legitimación y la consolidación de una Europa militarmente dependiente. Ambos coinciden en que el lenguaje humanitario redujo un conflicto complejo a una lucha entre inocentes y villanos y facilitó la aceptación pública de la guerra.</w:t>
      </w:r>
    </w:p>
    <w:p>
      <w:r>
        <w:t>El valor del vídeo reside en iluminar intereses y mecanismos que los relatos oficiales suelen dejar en segundo plano: burocracias que buscan conservar función, alianzas que seleccionan socios imperfectos, negociaciones bajo amenaza y narrativas morales que disciplinan el debate. Su límite consiste en el riesgo de inversión del maniqueísmo: reemplazar “Serbia como única culpable” por “Occidente como causa decisiva de todo”. La crítica a la propaganda occidental debe conservar la misma exigencia crítica frente a las narrativas serbias, rusas o antiatlánticas.</w:t>
      </w:r>
    </w:p>
    <w:p>
      <w:pPr>
        <w:pStyle w:val="Heading1"/>
      </w:pPr>
      <w:r>
        <w:t>10. Convergencias y divergencias entre las fuentes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shd w:fill="EEF3F6"/>
            <w:tcMar>
              <w:top w:w="80" w:type="dxa"/>
              <w:start w:w="120" w:type="dxa"/>
              <w:bottom w:w="80" w:type="dxa"/>
              <w:end w:w="120" w:type="dxa"/>
            </w:tcMar>
          </w:tcPr>
          <w:p>
            <w:r>
              <w:rPr>
                <w:b/>
                <w:color w:val="1E374B"/>
              </w:rPr>
              <w:t>Cuestión</w:t>
            </w:r>
          </w:p>
        </w:tc>
        <w:tc>
          <w:tcPr>
            <w:tcW w:type="dxa" w:w="3600"/>
            <w:shd w:fill="EEF3F6"/>
            <w:tcMar>
              <w:top w:w="80" w:type="dxa"/>
              <w:start w:w="120" w:type="dxa"/>
              <w:bottom w:w="80" w:type="dxa"/>
              <w:end w:w="120" w:type="dxa"/>
            </w:tcMar>
          </w:tcPr>
          <w:p>
            <w:r>
              <w:rPr>
                <w:b/>
                <w:color w:val="1E374B"/>
              </w:rPr>
              <w:t>Ruiz Jiménez</w:t>
            </w:r>
          </w:p>
        </w:tc>
        <w:tc>
          <w:tcPr>
            <w:tcW w:type="dxa" w:w="3960"/>
            <w:shd w:fill="EEF3F6"/>
            <w:tcMar>
              <w:top w:w="80" w:type="dxa"/>
              <w:start w:w="120" w:type="dxa"/>
              <w:bottom w:w="80" w:type="dxa"/>
              <w:end w:w="120" w:type="dxa"/>
            </w:tcMar>
          </w:tcPr>
          <w:p>
            <w:r>
              <w:rPr>
                <w:b/>
                <w:color w:val="1E374B"/>
              </w:rPr>
              <w:t>Gibbs–Macgregor</w:t>
            </w:r>
          </w:p>
        </w:tc>
      </w:tr>
      <w:tr>
        <w:tc>
          <w:tcPr>
            <w:tcW w:type="dxa" w:w="1800"/>
            <w:tcMar>
              <w:top w:w="80" w:type="dxa"/>
              <w:start w:w="120" w:type="dxa"/>
              <w:bottom w:w="80" w:type="dxa"/>
              <w:end w:w="120" w:type="dxa"/>
            </w:tcMar>
            <w:vAlign w:val="top"/>
          </w:tcPr>
          <w:p>
            <w:r>
              <w:t>Causa básica</w:t>
            </w:r>
          </w:p>
        </w:tc>
        <w:tc>
          <w:tcPr>
            <w:tcW w:type="dxa" w:w="3600"/>
            <w:tcMar>
              <w:top w:w="80" w:type="dxa"/>
              <w:start w:w="120" w:type="dxa"/>
              <w:bottom w:w="80" w:type="dxa"/>
              <w:end w:w="120" w:type="dxa"/>
            </w:tcMar>
            <w:vAlign w:val="top"/>
          </w:tcPr>
          <w:p>
            <w:r>
              <w:t>Crisis federal, nacionalismos, élites oportunistas y memorias manipuladas.</w:t>
            </w:r>
          </w:p>
        </w:tc>
        <w:tc>
          <w:tcPr>
            <w:tcW w:type="dxa" w:w="3960"/>
            <w:tcMar>
              <w:top w:w="80" w:type="dxa"/>
              <w:start w:w="120" w:type="dxa"/>
              <w:bottom w:w="80" w:type="dxa"/>
              <w:end w:w="120" w:type="dxa"/>
            </w:tcMar>
            <w:vAlign w:val="top"/>
          </w:tcPr>
          <w:p>
            <w:r>
              <w:t>Intervención occidental, misión de la OTAN y objetivos geopolíticos.</w:t>
            </w:r>
          </w:p>
        </w:tc>
      </w:tr>
      <w:tr>
        <w:tc>
          <w:tcPr>
            <w:tcW w:type="dxa" w:w="1800"/>
            <w:tcMar>
              <w:top w:w="80" w:type="dxa"/>
              <w:start w:w="120" w:type="dxa"/>
              <w:bottom w:w="80" w:type="dxa"/>
              <w:end w:w="120" w:type="dxa"/>
            </w:tcMar>
            <w:vAlign w:val="top"/>
          </w:tcPr>
          <w:p>
            <w:r>
              <w:t>Agencia local</w:t>
            </w:r>
          </w:p>
        </w:tc>
        <w:tc>
          <w:tcPr>
            <w:tcW w:type="dxa" w:w="3600"/>
            <w:tcMar>
              <w:top w:w="80" w:type="dxa"/>
              <w:start w:w="120" w:type="dxa"/>
              <w:bottom w:w="80" w:type="dxa"/>
              <w:end w:w="120" w:type="dxa"/>
            </w:tcMar>
            <w:vAlign w:val="top"/>
          </w:tcPr>
          <w:p>
            <w:r>
              <w:t>Central y distribuida entre dirigentes, fuerzas y sociedades.</w:t>
            </w:r>
          </w:p>
        </w:tc>
        <w:tc>
          <w:tcPr>
            <w:tcW w:type="dxa" w:w="3960"/>
            <w:tcMar>
              <w:top w:w="80" w:type="dxa"/>
              <w:start w:w="120" w:type="dxa"/>
              <w:bottom w:w="80" w:type="dxa"/>
              <w:end w:w="120" w:type="dxa"/>
            </w:tcMar>
            <w:vAlign w:val="top"/>
          </w:tcPr>
          <w:p>
            <w:r>
              <w:t>Reconocida, pero subordinada al análisis del poder exterior.</w:t>
            </w:r>
          </w:p>
        </w:tc>
      </w:tr>
      <w:tr>
        <w:tc>
          <w:tcPr>
            <w:tcW w:type="dxa" w:w="1800"/>
            <w:tcMar>
              <w:top w:w="80" w:type="dxa"/>
              <w:start w:w="120" w:type="dxa"/>
              <w:bottom w:w="80" w:type="dxa"/>
              <w:end w:w="120" w:type="dxa"/>
            </w:tcMar>
            <w:vAlign w:val="top"/>
          </w:tcPr>
          <w:p>
            <w:r>
              <w:t>Serbia y Milošević</w:t>
            </w:r>
          </w:p>
        </w:tc>
        <w:tc>
          <w:tcPr>
            <w:tcW w:type="dxa" w:w="3600"/>
            <w:tcMar>
              <w:top w:w="80" w:type="dxa"/>
              <w:start w:w="120" w:type="dxa"/>
              <w:bottom w:w="80" w:type="dxa"/>
              <w:end w:w="120" w:type="dxa"/>
            </w:tcMar>
            <w:vAlign w:val="top"/>
          </w:tcPr>
          <w:p>
            <w:r>
              <w:t>Responsabilidad grave sin convertirlos en explicación total; Milošević es oportunista antes que ideólogo coherente.</w:t>
            </w:r>
          </w:p>
        </w:tc>
        <w:tc>
          <w:tcPr>
            <w:tcW w:type="dxa" w:w="3960"/>
            <w:tcMar>
              <w:top w:w="80" w:type="dxa"/>
              <w:start w:w="120" w:type="dxa"/>
              <w:bottom w:w="80" w:type="dxa"/>
              <w:end w:w="120" w:type="dxa"/>
            </w:tcMar>
            <w:vAlign w:val="top"/>
          </w:tcPr>
          <w:p>
            <w:r>
              <w:t>Presentación más correctiva frente a la demonización occidental.</w:t>
            </w:r>
          </w:p>
        </w:tc>
      </w:tr>
      <w:tr>
        <w:tc>
          <w:tcPr>
            <w:tcW w:type="dxa" w:w="1800"/>
            <w:tcMar>
              <w:top w:w="80" w:type="dxa"/>
              <w:start w:w="120" w:type="dxa"/>
              <w:bottom w:w="80" w:type="dxa"/>
              <w:end w:w="120" w:type="dxa"/>
            </w:tcMar>
            <w:vAlign w:val="top"/>
          </w:tcPr>
          <w:p>
            <w:r>
              <w:t>Humanitarismo</w:t>
            </w:r>
          </w:p>
        </w:tc>
        <w:tc>
          <w:tcPr>
            <w:tcW w:type="dxa" w:w="3600"/>
            <w:tcMar>
              <w:top w:w="80" w:type="dxa"/>
              <w:start w:w="120" w:type="dxa"/>
              <w:bottom w:w="80" w:type="dxa"/>
              <w:end w:w="120" w:type="dxa"/>
            </w:tcMar>
            <w:vAlign w:val="top"/>
          </w:tcPr>
          <w:p>
            <w:r>
              <w:t>Motivación presente, mezclada con intereses, incoherencias y selectividad.</w:t>
            </w:r>
          </w:p>
        </w:tc>
        <w:tc>
          <w:tcPr>
            <w:tcW w:type="dxa" w:w="3960"/>
            <w:tcMar>
              <w:top w:w="80" w:type="dxa"/>
              <w:start w:w="120" w:type="dxa"/>
              <w:bottom w:w="80" w:type="dxa"/>
              <w:end w:w="120" w:type="dxa"/>
            </w:tcMar>
            <w:vAlign w:val="top"/>
          </w:tcPr>
          <w:p>
            <w:r>
              <w:t>Fundamentalmente cobertura legitimadora de una política de poder.</w:t>
            </w:r>
          </w:p>
        </w:tc>
      </w:tr>
      <w:tr>
        <w:tc>
          <w:tcPr>
            <w:tcW w:type="dxa" w:w="1800"/>
            <w:tcMar>
              <w:top w:w="80" w:type="dxa"/>
              <w:start w:w="120" w:type="dxa"/>
              <w:bottom w:w="80" w:type="dxa"/>
              <w:end w:w="120" w:type="dxa"/>
            </w:tcMar>
            <w:vAlign w:val="top"/>
          </w:tcPr>
          <w:p>
            <w:r>
              <w:t>Ciudadanía</w:t>
            </w:r>
          </w:p>
        </w:tc>
        <w:tc>
          <w:tcPr>
            <w:tcW w:type="dxa" w:w="3600"/>
            <w:tcMar>
              <w:top w:w="80" w:type="dxa"/>
              <w:start w:w="120" w:type="dxa"/>
              <w:bottom w:w="80" w:type="dxa"/>
              <w:end w:w="120" w:type="dxa"/>
            </w:tcMar>
            <w:vAlign w:val="top"/>
          </w:tcPr>
          <w:p>
            <w:r>
              <w:t>Objeto central: victimización, miedo, adaptación, crimen, pasividad y solidaridad.</w:t>
            </w:r>
          </w:p>
        </w:tc>
        <w:tc>
          <w:tcPr>
            <w:tcW w:type="dxa" w:w="3960"/>
            <w:tcMar>
              <w:top w:w="80" w:type="dxa"/>
              <w:start w:w="120" w:type="dxa"/>
              <w:bottom w:w="80" w:type="dxa"/>
              <w:end w:w="120" w:type="dxa"/>
            </w:tcMar>
            <w:vAlign w:val="top"/>
          </w:tcPr>
          <w:p>
            <w:r>
              <w:t>Papel secundario frente a estrategia, alianzas y mandos.</w:t>
            </w:r>
          </w:p>
        </w:tc>
      </w:tr>
      <w:tr>
        <w:tc>
          <w:tcPr>
            <w:tcW w:type="dxa" w:w="1800"/>
            <w:tcMar>
              <w:top w:w="80" w:type="dxa"/>
              <w:start w:w="120" w:type="dxa"/>
              <w:bottom w:w="80" w:type="dxa"/>
              <w:end w:w="120" w:type="dxa"/>
            </w:tcMar>
            <w:vAlign w:val="top"/>
          </w:tcPr>
          <w:p>
            <w:r>
              <w:t>Legado</w:t>
            </w:r>
          </w:p>
        </w:tc>
        <w:tc>
          <w:tcPr>
            <w:tcW w:type="dxa" w:w="3600"/>
            <w:tcMar>
              <w:top w:w="80" w:type="dxa"/>
              <w:start w:w="120" w:type="dxa"/>
              <w:bottom w:w="80" w:type="dxa"/>
              <w:end w:w="120" w:type="dxa"/>
            </w:tcMar>
            <w:vAlign w:val="top"/>
          </w:tcPr>
          <w:p>
            <w:r>
              <w:t>Estados frágiles, memorias enfrentadas, tutela y reconciliación incompleta.</w:t>
            </w:r>
          </w:p>
        </w:tc>
        <w:tc>
          <w:tcPr>
            <w:tcW w:type="dxa" w:w="3960"/>
            <w:tcMar>
              <w:top w:w="80" w:type="dxa"/>
              <w:start w:w="120" w:type="dxa"/>
              <w:bottom w:w="80" w:type="dxa"/>
              <w:end w:w="120" w:type="dxa"/>
            </w:tcMar>
            <w:vAlign w:val="top"/>
          </w:tcPr>
          <w:p>
            <w:r>
              <w:t>Precedente de expansión atlántica, dependencia europea y conflicto con Rusia.</w:t>
            </w:r>
          </w:p>
        </w:tc>
      </w:tr>
    </w:tbl>
    <w:p>
      <w:pPr>
        <w:spacing w:after="40"/>
      </w:pPr>
    </w:p>
    <w:p>
      <w:r>
        <w:t>Coinciden en cuatro puntos esenciales. Primero, rechazan la fábula de odios ancestrales que estallan espontáneamente. Segundo, cuestionan el relato de una intervención exterior neutral y puramente altruista. Tercero, consideran que la información pública fue simplificada y moralizada. Cuarto, ven las guerras como un momento constitutivo del orden europeo posterior a 1991.</w:t>
      </w:r>
    </w:p>
    <w:p>
      <w:r>
        <w:t>Difieren en el centro de causalidad y en la escala. Ruiz Jiménez parte de la historia social y política yugoslava; Gibbs y Macgregor parten del sistema internacional y de la OTAN. El primero pregunta cómo una sociedad plural fue descompuesta; los segundos, para qué sirvió esa descomposición e intervención en la reorganización del poder occidental. El libro ofrece mayor densidad empírica sobre actores locales y procesos de violencia; el vídeo aporta una hipótesis geopolítica más compacta, provocadora y discutible.</w:t>
      </w:r>
    </w:p>
    <w:p>
      <w:pPr>
        <w:pStyle w:val="Heading1"/>
      </w:pPr>
      <w:r>
        <w:t>11. Los nuevos Estados: victoria nacional y fracaso social</w:t>
      </w:r>
    </w:p>
    <w:p>
      <w:r>
        <w:t>La desintegración produjo Estados internacionalmente reconocidos, pero no cumplió muchas promesas nacionalistas. Croacia consolidó soberanía y más tarde ingresó en la Unión Europea, aunque la homogeneización territorial se vinculó al éxodo serbio y a memorias contrapuestas. Bosnia-Herzegovina preservó su existencia bajo una estructura que dificulta decisiones comunes. Serbia pasó por autoritarismo, sanciones, derrota, caída de Milošević y una transición marcada por Kosovo. Kosovo obtuvo reconocimiento parcial y tutela internacional, pero continúa disputado y con minorías inseguras. Macedonia evitó una guerra extensa mediante el Acuerdo de Ohrid, aunque la cuestión identitaria siguió condicionando su política.</w:t>
      </w:r>
    </w:p>
    <w:p>
      <w:r>
        <w:t>La pregunta “¿luchamos para esto?” resume el desencanto: privatizaciones opacas, desempleo, redes clientelares, emigración juvenil, veteranos abandonados y elites que convirtieron capital político de guerra en poder económico. El nacionalismo prometió liberar a comunidades enteras, pero frecuentemente liberó a las élites de controles federales y sociales. La guerra destruyó patrimonios, mezclas urbanas, cadenas productivas y confianza; la economía de paz heredó actores enriquecidos por contrabando, saqueo y conexiones políticas.</w:t>
      </w:r>
    </w:p>
    <w:p>
      <w:pPr>
        <w:pStyle w:val="Heading1"/>
      </w:pPr>
      <w:r>
        <w:t>12. Memoria, justicia y reconciliación</w:t>
      </w:r>
    </w:p>
    <w:p>
      <w:r>
        <w:t>Los tribunales nacionales e internacionales documentaron crímenes y establecieron responsabilidades individuales, un avance indispensable frente a la atribución de culpa colectiva. No obstante, la justicia penal no puede por sí sola reconciliar sociedades. Las sentencias son incorporadas selectivamente a memorias nacionales: se celebran cuando condenan al enemigo y se denuncian como sesgadas cuando afectan al propio grupo. La conmemoración puede dignificar a las víctimas o convertirse en nueva munición identitaria.</w:t>
      </w:r>
    </w:p>
    <w:p>
      <w:r>
        <w:t>Ruiz Jiménez defiende una memoria moralmente consciente. La historia no es un depósito neutral: se selecciona desde el presente. La salida no consiste en olvidar ni en imponer una equivalencia artificial, sino en aceptar hechos incómodos, escuchar el dolor ajeno y separar responsabilidad individual de identidad colectiva. El reconocimiento de Srebrenica no convierte a todos los serbios en culpables; del mismo modo, reconocer crímenes contra serbios no relativiza Srebrenica. La reconciliación exige abandonar la competencia por monopolizar el sufrimiento.</w:t>
      </w:r>
    </w:p>
    <w:p>
      <w:pPr>
        <w:pStyle w:val="Heading1"/>
      </w:pPr>
      <w:r>
        <w:t>13. Evaluación historiográfica y cautelas</w:t>
      </w:r>
    </w:p>
    <w:p>
      <w:pPr>
        <w:pStyle w:val="ListBullet"/>
        <w:spacing w:after="80" w:line="290" w:lineRule="auto"/>
        <w:ind w:left="540" w:hanging="279"/>
      </w:pPr>
      <w:r>
        <w:t>Evitar el monocausalismo. Ni “odios ancestrales”, ni Milošević por sí solo, ni Alemania, ni Estados Unidos, ni la OTAN explican todo el ciclo.</w:t>
      </w:r>
    </w:p>
    <w:p>
      <w:pPr>
        <w:pStyle w:val="ListBullet"/>
        <w:spacing w:after="80" w:line="290" w:lineRule="auto"/>
        <w:ind w:left="540" w:hanging="279"/>
      </w:pPr>
      <w:r>
        <w:t>Distinguir explicación de exculpación. Explicar el miedo serbio o la instrumentalización occidental no absuelve crímenes; explicar la represión serbia no convierte toda intervención en legítima.</w:t>
      </w:r>
    </w:p>
    <w:p>
      <w:pPr>
        <w:pStyle w:val="ListBullet"/>
        <w:spacing w:after="80" w:line="290" w:lineRule="auto"/>
        <w:ind w:left="540" w:hanging="279"/>
      </w:pPr>
      <w:r>
        <w:t>Distinguir simetría moral de asimetría material. Hubo crímenes en todos los bandos, pero no idéntica capacidad militar, extensión, cronología ni responsabilidad institucional.</w:t>
      </w:r>
    </w:p>
    <w:p>
      <w:pPr>
        <w:pStyle w:val="ListBullet"/>
        <w:spacing w:after="80" w:line="290" w:lineRule="auto"/>
        <w:ind w:left="540" w:hanging="279"/>
      </w:pPr>
      <w:r>
        <w:t>Tratar las intenciones con prudencia. Los resultados —expansión de la OTAN, dependencia europea, debilitamiento serbio— están mejor documentados que una supuesta conspiración única concebida desde el inicio.</w:t>
      </w:r>
    </w:p>
    <w:p>
      <w:pPr>
        <w:pStyle w:val="ListBullet"/>
        <w:spacing w:after="80" w:line="290" w:lineRule="auto"/>
        <w:ind w:left="540" w:hanging="279"/>
      </w:pPr>
      <w:r>
        <w:t>No confundir legalidad y legitimidad. La intervención de Kosovo careció de autorización expresa del Consejo de Seguridad; el debate humanitario sobre su legitimidad permanece separado de esa cuestión jurídica.</w:t>
      </w:r>
    </w:p>
    <w:p>
      <w:pPr>
        <w:pStyle w:val="ListBullet"/>
        <w:spacing w:after="80" w:line="290" w:lineRule="auto"/>
        <w:ind w:left="540" w:hanging="279"/>
      </w:pPr>
      <w:r>
        <w:t>Situar las cifras y categorías en su contexto. “Genocidio”, “limpieza étnica”, “guerra civil”, “agresión” e “intervención humanitaria” no son sinónimos: contienen definiciones jurídicas y disputas políticas.</w:t>
      </w:r>
    </w:p>
    <w:p>
      <w:pPr>
        <w:pStyle w:val="Heading1"/>
      </w:pPr>
      <w:r>
        <w:t>Conclusiones generales</w:t>
      </w:r>
    </w:p>
    <w:p>
      <w:r>
        <w:t>1. La destrucción de Yugoslavia fue una catástrofe políticamente producida. Las diferencias nacionales eran reales, pero no conducían necesariamente a la guerra. Se transformaron en fronteras armadas mediante instituciones debilitadas, propaganda, miedo, decisiones de élites y oportunidades materiales.</w:t>
      </w:r>
    </w:p>
    <w:p>
      <w:r>
        <w:t>2. El nacionalismo fue menos una supervivencia arcaica que una forma moderna de organizar soberanía y poder. En un territorio mezclado, la pretensión de hacer coincidir nación y Estado empujó hacia la subordinación, la partición o la expulsión de quienes quedaban del lado equivocado de la nueva frontera.</w:t>
      </w:r>
    </w:p>
    <w:p>
      <w:r>
        <w:t>3. Las potencias extranjeras no inventaron todos los conflictos, pero participaron activamente en su marco y desenlace. Reconocieron Estados, seleccionaron aliados, impusieron sanciones, diseñaron negociaciones y usaron la fuerza. Su acción fue cambiante, selectiva y atravesada por intereses nacionales e institucionales.</w:t>
      </w:r>
    </w:p>
    <w:p>
      <w:r>
        <w:t>4. Bosnia demostró tanto la necesidad de detener militar y diplomáticamente la violencia como los límites de una paz impuesta desde fuera. Dayton salvó vidas, pero congeló parte de la lógica comunitaria que había alimentado la guerra.</w:t>
      </w:r>
    </w:p>
    <w:p>
      <w:r>
        <w:t>5. Kosovo mostró la tensión entre protección humana, soberanía estatal y legalidad internacional. La OTAN detuvo la capacidad serbia de gobernar coercitivamente el territorio, pero lo hizo mediante una guerra jurídicamente controvertida y dejó un orden incompleto, con expulsiones inversas y soberanía disputada.</w:t>
      </w:r>
    </w:p>
    <w:p>
      <w:r>
        <w:t>6. La lectura de Gibbs y Macgregor es valiosa como corrección de la narrativa autocomplaciente de Occidente. Señala la dimensión institucional de la OTAN, la selección interesada de aliados y el efecto sobre Rusia. Su poder explicativo disminuye cuando convierte esas dimensiones en causa predominante y relega las dinámicas internas.</w:t>
      </w:r>
    </w:p>
    <w:p>
      <w:r>
        <w:t>7. La contribución más profunda de Ruiz Jiménez es su advertencia universal: ninguna sociedad está vacunada contra la barbarie. La convivencia puede parecer sólida mientras instituciones, educación y vínculos comunes la sostienen; puede deshacerse con rapidez cuando el poder recompensa el miedo, la identidad excluyente y la impunidad. Prevenir la violencia exige proteger los espacios compartidos antes de que la diferencia sea convertida en amenaza.</w:t>
      </w:r>
    </w:p>
    <w:p>
      <w:r>
        <w:t>8. El aprendizaje histórico no consiste en elegir un “bando bueno” retrospectivo, sino en reconstruir cómo interactuaron proyectos nacionales, aparatos armados, ciudadanos, mercados de guerra y potencias. Solo una explicación multinivel permite reconocer a las víctimas, asignar responsabilidades sin culpas colectivas y comprender el legado europeo del conflicto.</w:t>
      </w:r>
    </w:p>
    <w:p>
      <w:pPr>
        <w:pStyle w:val="Heading1"/>
      </w:pPr>
      <w:r>
        <w:t>Cronología analítica ampliada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80"/>
            <w:shd w:fill="EEF3F6"/>
            <w:tcMar>
              <w:top w:w="80" w:type="dxa"/>
              <w:start w:w="120" w:type="dxa"/>
              <w:bottom w:w="80" w:type="dxa"/>
              <w:end w:w="120" w:type="dxa"/>
            </w:tcMar>
          </w:tcPr>
          <w:p>
            <w:r>
              <w:rPr>
                <w:b/>
                <w:color w:val="1E374B"/>
              </w:rPr>
              <w:t>Año</w:t>
            </w:r>
          </w:p>
        </w:tc>
        <w:tc>
          <w:tcPr>
            <w:tcW w:type="dxa" w:w="3024"/>
            <w:shd w:fill="EEF3F6"/>
            <w:tcMar>
              <w:top w:w="80" w:type="dxa"/>
              <w:start w:w="120" w:type="dxa"/>
              <w:bottom w:w="80" w:type="dxa"/>
              <w:end w:w="120" w:type="dxa"/>
            </w:tcMar>
          </w:tcPr>
          <w:p>
            <w:r>
              <w:rPr>
                <w:b/>
                <w:color w:val="1E374B"/>
              </w:rPr>
              <w:t>Hito</w:t>
            </w:r>
          </w:p>
        </w:tc>
        <w:tc>
          <w:tcPr>
            <w:tcW w:type="dxa" w:w="5256"/>
            <w:shd w:fill="EEF3F6"/>
            <w:tcMar>
              <w:top w:w="80" w:type="dxa"/>
              <w:start w:w="120" w:type="dxa"/>
              <w:bottom w:w="80" w:type="dxa"/>
              <w:end w:w="120" w:type="dxa"/>
            </w:tcMar>
          </w:tcPr>
          <w:p>
            <w:r>
              <w:rPr>
                <w:b/>
                <w:color w:val="1E374B"/>
              </w:rPr>
              <w:t>Lectura analítica</w:t>
            </w:r>
          </w:p>
        </w:tc>
      </w:tr>
      <w:tr>
        <w:tc>
          <w:tcPr>
            <w:tcW w:type="dxa" w:w="1080"/>
            <w:tcMar>
              <w:top w:w="80" w:type="dxa"/>
              <w:start w:w="120" w:type="dxa"/>
              <w:bottom w:w="80" w:type="dxa"/>
              <w:end w:w="120" w:type="dxa"/>
            </w:tcMar>
            <w:vAlign w:val="top"/>
          </w:tcPr>
          <w:p>
            <w:r>
              <w:t>1974</w:t>
            </w:r>
          </w:p>
        </w:tc>
        <w:tc>
          <w:tcPr>
            <w:tcW w:type="dxa" w:w="3024"/>
            <w:tcMar>
              <w:top w:w="80" w:type="dxa"/>
              <w:start w:w="120" w:type="dxa"/>
              <w:bottom w:w="80" w:type="dxa"/>
              <w:end w:w="120" w:type="dxa"/>
            </w:tcMar>
            <w:vAlign w:val="top"/>
          </w:tcPr>
          <w:p>
            <w:r>
              <w:t>Nueva Constitución federal</w:t>
            </w:r>
          </w:p>
        </w:tc>
        <w:tc>
          <w:tcPr>
            <w:tcW w:type="dxa" w:w="5256"/>
            <w:tcMar>
              <w:top w:w="80" w:type="dxa"/>
              <w:start w:w="120" w:type="dxa"/>
              <w:bottom w:w="80" w:type="dxa"/>
              <w:end w:w="120" w:type="dxa"/>
            </w:tcMar>
            <w:vAlign w:val="top"/>
          </w:tcPr>
          <w:p>
            <w:r>
              <w:t>Profundiza autonomía y complejidad; la federación depende aún más de negociación política.</w:t>
            </w:r>
          </w:p>
        </w:tc>
      </w:tr>
      <w:tr>
        <w:tc>
          <w:tcPr>
            <w:tcW w:type="dxa" w:w="1080"/>
            <w:tcMar>
              <w:top w:w="80" w:type="dxa"/>
              <w:start w:w="120" w:type="dxa"/>
              <w:bottom w:w="80" w:type="dxa"/>
              <w:end w:w="120" w:type="dxa"/>
            </w:tcMar>
            <w:vAlign w:val="top"/>
          </w:tcPr>
          <w:p>
            <w:r>
              <w:t>1980</w:t>
            </w:r>
          </w:p>
        </w:tc>
        <w:tc>
          <w:tcPr>
            <w:tcW w:type="dxa" w:w="3024"/>
            <w:tcMar>
              <w:top w:w="80" w:type="dxa"/>
              <w:start w:w="120" w:type="dxa"/>
              <w:bottom w:w="80" w:type="dxa"/>
              <w:end w:w="120" w:type="dxa"/>
            </w:tcMar>
            <w:vAlign w:val="top"/>
          </w:tcPr>
          <w:p>
            <w:r>
              <w:t>Muerte de Tito</w:t>
            </w:r>
          </w:p>
        </w:tc>
        <w:tc>
          <w:tcPr>
            <w:tcW w:type="dxa" w:w="5256"/>
            <w:tcMar>
              <w:top w:w="80" w:type="dxa"/>
              <w:start w:w="120" w:type="dxa"/>
              <w:bottom w:w="80" w:type="dxa"/>
              <w:end w:w="120" w:type="dxa"/>
            </w:tcMar>
            <w:vAlign w:val="top"/>
          </w:tcPr>
          <w:p>
            <w:r>
              <w:t>Desaparece el árbitro personal del sistema.</w:t>
            </w:r>
          </w:p>
        </w:tc>
      </w:tr>
      <w:tr>
        <w:tc>
          <w:tcPr>
            <w:tcW w:type="dxa" w:w="1080"/>
            <w:tcMar>
              <w:top w:w="80" w:type="dxa"/>
              <w:start w:w="120" w:type="dxa"/>
              <w:bottom w:w="80" w:type="dxa"/>
              <w:end w:w="120" w:type="dxa"/>
            </w:tcMar>
            <w:vAlign w:val="top"/>
          </w:tcPr>
          <w:p>
            <w:r>
              <w:t>1981</w:t>
            </w:r>
          </w:p>
        </w:tc>
        <w:tc>
          <w:tcPr>
            <w:tcW w:type="dxa" w:w="3024"/>
            <w:tcMar>
              <w:top w:w="80" w:type="dxa"/>
              <w:start w:w="120" w:type="dxa"/>
              <w:bottom w:w="80" w:type="dxa"/>
              <w:end w:w="120" w:type="dxa"/>
            </w:tcMar>
            <w:vAlign w:val="top"/>
          </w:tcPr>
          <w:p>
            <w:r>
              <w:t>Protestas en Kosovo</w:t>
            </w:r>
          </w:p>
        </w:tc>
        <w:tc>
          <w:tcPr>
            <w:tcW w:type="dxa" w:w="5256"/>
            <w:tcMar>
              <w:top w:w="80" w:type="dxa"/>
              <w:start w:w="120" w:type="dxa"/>
              <w:bottom w:w="80" w:type="dxa"/>
              <w:end w:w="120" w:type="dxa"/>
            </w:tcMar>
            <w:vAlign w:val="top"/>
          </w:tcPr>
          <w:p>
            <w:r>
              <w:t>La cuestión albanesa-serbia gana centralidad.</w:t>
            </w:r>
          </w:p>
        </w:tc>
      </w:tr>
      <w:tr>
        <w:tc>
          <w:tcPr>
            <w:tcW w:type="dxa" w:w="1080"/>
            <w:tcMar>
              <w:top w:w="80" w:type="dxa"/>
              <w:start w:w="120" w:type="dxa"/>
              <w:bottom w:w="80" w:type="dxa"/>
              <w:end w:w="120" w:type="dxa"/>
            </w:tcMar>
            <w:vAlign w:val="top"/>
          </w:tcPr>
          <w:p>
            <w:r>
              <w:t>1986-1989</w:t>
            </w:r>
          </w:p>
        </w:tc>
        <w:tc>
          <w:tcPr>
            <w:tcW w:type="dxa" w:w="3024"/>
            <w:tcMar>
              <w:top w:w="80" w:type="dxa"/>
              <w:start w:w="120" w:type="dxa"/>
              <w:bottom w:w="80" w:type="dxa"/>
              <w:end w:w="120" w:type="dxa"/>
            </w:tcMar>
            <w:vAlign w:val="top"/>
          </w:tcPr>
          <w:p>
            <w:r>
              <w:t>Crisis y movilización serbia</w:t>
            </w:r>
          </w:p>
        </w:tc>
        <w:tc>
          <w:tcPr>
            <w:tcW w:type="dxa" w:w="5256"/>
            <w:tcMar>
              <w:top w:w="80" w:type="dxa"/>
              <w:start w:w="120" w:type="dxa"/>
              <w:bottom w:w="80" w:type="dxa"/>
              <w:end w:w="120" w:type="dxa"/>
            </w:tcMar>
            <w:vAlign w:val="top"/>
          </w:tcPr>
          <w:p>
            <w:r>
              <w:t>Milošević convierte agravios en plataforma de poder y reduce autonomías.</w:t>
            </w:r>
          </w:p>
        </w:tc>
      </w:tr>
      <w:tr>
        <w:tc>
          <w:tcPr>
            <w:tcW w:type="dxa" w:w="1080"/>
            <w:tcMar>
              <w:top w:w="80" w:type="dxa"/>
              <w:start w:w="120" w:type="dxa"/>
              <w:bottom w:w="80" w:type="dxa"/>
              <w:end w:w="120" w:type="dxa"/>
            </w:tcMar>
            <w:vAlign w:val="top"/>
          </w:tcPr>
          <w:p>
            <w:r>
              <w:t>1990</w:t>
            </w:r>
          </w:p>
        </w:tc>
        <w:tc>
          <w:tcPr>
            <w:tcW w:type="dxa" w:w="3024"/>
            <w:tcMar>
              <w:top w:w="80" w:type="dxa"/>
              <w:start w:w="120" w:type="dxa"/>
              <w:bottom w:w="80" w:type="dxa"/>
              <w:end w:w="120" w:type="dxa"/>
            </w:tcMar>
            <w:vAlign w:val="top"/>
          </w:tcPr>
          <w:p>
            <w:r>
              <w:t>Elecciones republicanas</w:t>
            </w:r>
          </w:p>
        </w:tc>
        <w:tc>
          <w:tcPr>
            <w:tcW w:type="dxa" w:w="5256"/>
            <w:tcMar>
              <w:top w:w="80" w:type="dxa"/>
              <w:start w:w="120" w:type="dxa"/>
              <w:bottom w:w="80" w:type="dxa"/>
              <w:end w:w="120" w:type="dxa"/>
            </w:tcMar>
            <w:vAlign w:val="top"/>
          </w:tcPr>
          <w:p>
            <w:r>
              <w:t>La competencia democrática se nacionaliza y fragmenta.</w:t>
            </w:r>
          </w:p>
        </w:tc>
      </w:tr>
      <w:tr>
        <w:tc>
          <w:tcPr>
            <w:tcW w:type="dxa" w:w="1080"/>
            <w:tcMar>
              <w:top w:w="80" w:type="dxa"/>
              <w:start w:w="120" w:type="dxa"/>
              <w:bottom w:w="80" w:type="dxa"/>
              <w:end w:w="120" w:type="dxa"/>
            </w:tcMar>
            <w:vAlign w:val="top"/>
          </w:tcPr>
          <w:p>
            <w:r>
              <w:t>1991</w:t>
            </w:r>
          </w:p>
        </w:tc>
        <w:tc>
          <w:tcPr>
            <w:tcW w:type="dxa" w:w="3024"/>
            <w:tcMar>
              <w:top w:w="80" w:type="dxa"/>
              <w:start w:w="120" w:type="dxa"/>
              <w:bottom w:w="80" w:type="dxa"/>
              <w:end w:w="120" w:type="dxa"/>
            </w:tcMar>
            <w:vAlign w:val="top"/>
          </w:tcPr>
          <w:p>
            <w:r>
              <w:t>Eslovenia y Croacia</w:t>
            </w:r>
          </w:p>
        </w:tc>
        <w:tc>
          <w:tcPr>
            <w:tcW w:type="dxa" w:w="5256"/>
            <w:tcMar>
              <w:top w:w="80" w:type="dxa"/>
              <w:start w:w="120" w:type="dxa"/>
              <w:bottom w:w="80" w:type="dxa"/>
              <w:end w:w="120" w:type="dxa"/>
            </w:tcMar>
            <w:vAlign w:val="top"/>
          </w:tcPr>
          <w:p>
            <w:r>
              <w:t>Comienza la disolución armada; reconocimiento exterior modifica el conflicto.</w:t>
            </w:r>
          </w:p>
        </w:tc>
      </w:tr>
      <w:tr>
        <w:tc>
          <w:tcPr>
            <w:tcW w:type="dxa" w:w="1080"/>
            <w:tcMar>
              <w:top w:w="80" w:type="dxa"/>
              <w:start w:w="120" w:type="dxa"/>
              <w:bottom w:w="80" w:type="dxa"/>
              <w:end w:w="120" w:type="dxa"/>
            </w:tcMar>
            <w:vAlign w:val="top"/>
          </w:tcPr>
          <w:p>
            <w:r>
              <w:t>1992</w:t>
            </w:r>
          </w:p>
        </w:tc>
        <w:tc>
          <w:tcPr>
            <w:tcW w:type="dxa" w:w="3024"/>
            <w:tcMar>
              <w:top w:w="80" w:type="dxa"/>
              <w:start w:w="120" w:type="dxa"/>
              <w:bottom w:w="80" w:type="dxa"/>
              <w:end w:w="120" w:type="dxa"/>
            </w:tcMar>
            <w:vAlign w:val="top"/>
          </w:tcPr>
          <w:p>
            <w:r>
              <w:t>Independencia de Bosnia</w:t>
            </w:r>
          </w:p>
        </w:tc>
        <w:tc>
          <w:tcPr>
            <w:tcW w:type="dxa" w:w="5256"/>
            <w:tcMar>
              <w:top w:w="80" w:type="dxa"/>
              <w:start w:w="120" w:type="dxa"/>
              <w:bottom w:w="80" w:type="dxa"/>
              <w:end w:w="120" w:type="dxa"/>
            </w:tcMar>
            <w:vAlign w:val="top"/>
          </w:tcPr>
          <w:p>
            <w:r>
              <w:t>La pluralidad territorial convierte la secesión en guerra multilateral.</w:t>
            </w:r>
          </w:p>
        </w:tc>
      </w:tr>
      <w:tr>
        <w:tc>
          <w:tcPr>
            <w:tcW w:type="dxa" w:w="1080"/>
            <w:tcMar>
              <w:top w:w="80" w:type="dxa"/>
              <w:start w:w="120" w:type="dxa"/>
              <w:bottom w:w="80" w:type="dxa"/>
              <w:end w:w="120" w:type="dxa"/>
            </w:tcMar>
            <w:vAlign w:val="top"/>
          </w:tcPr>
          <w:p>
            <w:r>
              <w:t>1993-1994</w:t>
            </w:r>
          </w:p>
        </w:tc>
        <w:tc>
          <w:tcPr>
            <w:tcW w:type="dxa" w:w="3024"/>
            <w:tcMar>
              <w:top w:w="80" w:type="dxa"/>
              <w:start w:w="120" w:type="dxa"/>
              <w:bottom w:w="80" w:type="dxa"/>
              <w:end w:w="120" w:type="dxa"/>
            </w:tcMar>
            <w:vAlign w:val="top"/>
          </w:tcPr>
          <w:p>
            <w:r>
              <w:t>Guerra croata-bosníaca y acuerdo de Washington</w:t>
            </w:r>
          </w:p>
        </w:tc>
        <w:tc>
          <w:tcPr>
            <w:tcW w:type="dxa" w:w="5256"/>
            <w:tcMar>
              <w:top w:w="80" w:type="dxa"/>
              <w:start w:w="120" w:type="dxa"/>
              <w:bottom w:w="80" w:type="dxa"/>
              <w:end w:w="120" w:type="dxa"/>
            </w:tcMar>
            <w:vAlign w:val="top"/>
          </w:tcPr>
          <w:p>
            <w:r>
              <w:t>La alianza cambia bajo presión estadounidense.</w:t>
            </w:r>
          </w:p>
        </w:tc>
      </w:tr>
      <w:tr>
        <w:tc>
          <w:tcPr>
            <w:tcW w:type="dxa" w:w="1080"/>
            <w:tcMar>
              <w:top w:w="80" w:type="dxa"/>
              <w:start w:w="120" w:type="dxa"/>
              <w:bottom w:w="80" w:type="dxa"/>
              <w:end w:w="120" w:type="dxa"/>
            </w:tcMar>
            <w:vAlign w:val="top"/>
          </w:tcPr>
          <w:p>
            <w:r>
              <w:t>1995</w:t>
            </w:r>
          </w:p>
        </w:tc>
        <w:tc>
          <w:tcPr>
            <w:tcW w:type="dxa" w:w="3024"/>
            <w:tcMar>
              <w:top w:w="80" w:type="dxa"/>
              <w:start w:w="120" w:type="dxa"/>
              <w:bottom w:w="80" w:type="dxa"/>
              <w:end w:w="120" w:type="dxa"/>
            </w:tcMar>
            <w:vAlign w:val="top"/>
          </w:tcPr>
          <w:p>
            <w:r>
              <w:t>Srebrenica, Tormenta y Dayton</w:t>
            </w:r>
          </w:p>
        </w:tc>
        <w:tc>
          <w:tcPr>
            <w:tcW w:type="dxa" w:w="5256"/>
            <w:tcMar>
              <w:top w:w="80" w:type="dxa"/>
              <w:start w:w="120" w:type="dxa"/>
              <w:bottom w:w="80" w:type="dxa"/>
              <w:end w:w="120" w:type="dxa"/>
            </w:tcMar>
            <w:vAlign w:val="top"/>
          </w:tcPr>
          <w:p>
            <w:r>
              <w:t>Máxima atrocidad, transformación militar y paz coercitiva.</w:t>
            </w:r>
          </w:p>
        </w:tc>
      </w:tr>
      <w:tr>
        <w:tc>
          <w:tcPr>
            <w:tcW w:type="dxa" w:w="1080"/>
            <w:tcMar>
              <w:top w:w="80" w:type="dxa"/>
              <w:start w:w="120" w:type="dxa"/>
              <w:bottom w:w="80" w:type="dxa"/>
              <w:end w:w="120" w:type="dxa"/>
            </w:tcMar>
            <w:vAlign w:val="top"/>
          </w:tcPr>
          <w:p>
            <w:r>
              <w:t>1998</w:t>
            </w:r>
          </w:p>
        </w:tc>
        <w:tc>
          <w:tcPr>
            <w:tcW w:type="dxa" w:w="3024"/>
            <w:tcMar>
              <w:top w:w="80" w:type="dxa"/>
              <w:start w:w="120" w:type="dxa"/>
              <w:bottom w:w="80" w:type="dxa"/>
              <w:end w:w="120" w:type="dxa"/>
            </w:tcMar>
            <w:vAlign w:val="top"/>
          </w:tcPr>
          <w:p>
            <w:r>
              <w:t>Escalada en Kosovo</w:t>
            </w:r>
          </w:p>
        </w:tc>
        <w:tc>
          <w:tcPr>
            <w:tcW w:type="dxa" w:w="5256"/>
            <w:tcMar>
              <w:top w:w="80" w:type="dxa"/>
              <w:start w:w="120" w:type="dxa"/>
              <w:bottom w:w="80" w:type="dxa"/>
              <w:end w:w="120" w:type="dxa"/>
            </w:tcMar>
            <w:vAlign w:val="top"/>
          </w:tcPr>
          <w:p>
            <w:r>
              <w:t>El UÇK crece; la represión serbia internacionaliza la crisis.</w:t>
            </w:r>
          </w:p>
        </w:tc>
      </w:tr>
      <w:tr>
        <w:tc>
          <w:tcPr>
            <w:tcW w:type="dxa" w:w="1080"/>
            <w:tcMar>
              <w:top w:w="80" w:type="dxa"/>
              <w:start w:w="120" w:type="dxa"/>
              <w:bottom w:w="80" w:type="dxa"/>
              <w:end w:w="120" w:type="dxa"/>
            </w:tcMar>
            <w:vAlign w:val="top"/>
          </w:tcPr>
          <w:p>
            <w:r>
              <w:t>1999</w:t>
            </w:r>
          </w:p>
        </w:tc>
        <w:tc>
          <w:tcPr>
            <w:tcW w:type="dxa" w:w="3024"/>
            <w:tcMar>
              <w:top w:w="80" w:type="dxa"/>
              <w:start w:w="120" w:type="dxa"/>
              <w:bottom w:w="80" w:type="dxa"/>
              <w:end w:w="120" w:type="dxa"/>
            </w:tcMar>
            <w:vAlign w:val="top"/>
          </w:tcPr>
          <w:p>
            <w:r>
              <w:t>Rambouillet y guerra aérea</w:t>
            </w:r>
          </w:p>
        </w:tc>
        <w:tc>
          <w:tcPr>
            <w:tcW w:type="dxa" w:w="5256"/>
            <w:tcMar>
              <w:top w:w="80" w:type="dxa"/>
              <w:start w:w="120" w:type="dxa"/>
              <w:bottom w:w="80" w:type="dxa"/>
              <w:end w:w="120" w:type="dxa"/>
            </w:tcMar>
            <w:vAlign w:val="top"/>
          </w:tcPr>
          <w:p>
            <w:r>
              <w:t>La OTAN interviene sin autorización expresa del Consejo de Seguridad.</w:t>
            </w:r>
          </w:p>
        </w:tc>
      </w:tr>
      <w:tr>
        <w:tc>
          <w:tcPr>
            <w:tcW w:type="dxa" w:w="1080"/>
            <w:tcMar>
              <w:top w:w="80" w:type="dxa"/>
              <w:start w:w="120" w:type="dxa"/>
              <w:bottom w:w="80" w:type="dxa"/>
              <w:end w:w="120" w:type="dxa"/>
            </w:tcMar>
            <w:vAlign w:val="top"/>
          </w:tcPr>
          <w:p>
            <w:r>
              <w:t>2000</w:t>
            </w:r>
          </w:p>
        </w:tc>
        <w:tc>
          <w:tcPr>
            <w:tcW w:type="dxa" w:w="3024"/>
            <w:tcMar>
              <w:top w:w="80" w:type="dxa"/>
              <w:start w:w="120" w:type="dxa"/>
              <w:bottom w:w="80" w:type="dxa"/>
              <w:end w:w="120" w:type="dxa"/>
            </w:tcMar>
            <w:vAlign w:val="top"/>
          </w:tcPr>
          <w:p>
            <w:r>
              <w:t>Caída de Milošević</w:t>
            </w:r>
          </w:p>
        </w:tc>
        <w:tc>
          <w:tcPr>
            <w:tcW w:type="dxa" w:w="5256"/>
            <w:tcMar>
              <w:top w:w="80" w:type="dxa"/>
              <w:start w:w="120" w:type="dxa"/>
              <w:bottom w:w="80" w:type="dxa"/>
              <w:end w:w="120" w:type="dxa"/>
            </w:tcMar>
            <w:vAlign w:val="top"/>
          </w:tcPr>
          <w:p>
            <w:r>
              <w:t>Comienza una transición política y judicial incompleta.</w:t>
            </w:r>
          </w:p>
        </w:tc>
      </w:tr>
      <w:tr>
        <w:tc>
          <w:tcPr>
            <w:tcW w:type="dxa" w:w="1080"/>
            <w:tcMar>
              <w:top w:w="80" w:type="dxa"/>
              <w:start w:w="120" w:type="dxa"/>
              <w:bottom w:w="80" w:type="dxa"/>
              <w:end w:w="120" w:type="dxa"/>
            </w:tcMar>
            <w:vAlign w:val="top"/>
          </w:tcPr>
          <w:p>
            <w:r>
              <w:t>2001</w:t>
            </w:r>
          </w:p>
        </w:tc>
        <w:tc>
          <w:tcPr>
            <w:tcW w:type="dxa" w:w="3024"/>
            <w:tcMar>
              <w:top w:w="80" w:type="dxa"/>
              <w:start w:w="120" w:type="dxa"/>
              <w:bottom w:w="80" w:type="dxa"/>
              <w:end w:w="120" w:type="dxa"/>
            </w:tcMar>
            <w:vAlign w:val="top"/>
          </w:tcPr>
          <w:p>
            <w:r>
              <w:t>Acuerdo de Ohrid</w:t>
            </w:r>
          </w:p>
        </w:tc>
        <w:tc>
          <w:tcPr>
            <w:tcW w:type="dxa" w:w="5256"/>
            <w:tcMar>
              <w:top w:w="80" w:type="dxa"/>
              <w:start w:w="120" w:type="dxa"/>
              <w:bottom w:w="80" w:type="dxa"/>
              <w:end w:w="120" w:type="dxa"/>
            </w:tcMar>
            <w:vAlign w:val="top"/>
          </w:tcPr>
          <w:p>
            <w:r>
              <w:t>Macedonia contiene la escalada mediante reformas y mediación.</w:t>
            </w:r>
          </w:p>
        </w:tc>
      </w:tr>
      <w:tr>
        <w:tc>
          <w:tcPr>
            <w:tcW w:type="dxa" w:w="1080"/>
            <w:tcMar>
              <w:top w:w="80" w:type="dxa"/>
              <w:start w:w="120" w:type="dxa"/>
              <w:bottom w:w="80" w:type="dxa"/>
              <w:end w:w="120" w:type="dxa"/>
            </w:tcMar>
            <w:vAlign w:val="top"/>
          </w:tcPr>
          <w:p>
            <w:r>
              <w:t>2006-2008</w:t>
            </w:r>
          </w:p>
        </w:tc>
        <w:tc>
          <w:tcPr>
            <w:tcW w:type="dxa" w:w="3024"/>
            <w:tcMar>
              <w:top w:w="80" w:type="dxa"/>
              <w:start w:w="120" w:type="dxa"/>
              <w:bottom w:w="80" w:type="dxa"/>
              <w:end w:w="120" w:type="dxa"/>
            </w:tcMar>
            <w:vAlign w:val="top"/>
          </w:tcPr>
          <w:p>
            <w:r>
              <w:t>Montenegro y Kosovo</w:t>
            </w:r>
          </w:p>
        </w:tc>
        <w:tc>
          <w:tcPr>
            <w:tcW w:type="dxa" w:w="5256"/>
            <w:tcMar>
              <w:top w:w="80" w:type="dxa"/>
              <w:start w:w="120" w:type="dxa"/>
              <w:bottom w:w="80" w:type="dxa"/>
              <w:end w:w="120" w:type="dxa"/>
            </w:tcMar>
            <w:vAlign w:val="top"/>
          </w:tcPr>
          <w:p>
            <w:r>
              <w:t>Se completa la disolución formal; Kosovo permanece con reconocimiento parcial.</w:t>
            </w:r>
          </w:p>
        </w:tc>
      </w:tr>
    </w:tbl>
    <w:p>
      <w:pPr>
        <w:spacing w:after="40"/>
      </w:pPr>
    </w:p>
    <w:p>
      <w:pPr>
        <w:pStyle w:val="Heading1"/>
      </w:pPr>
      <w:r>
        <w:t>Fuentes y referencias básicas</w:t>
      </w:r>
    </w:p>
    <w:p>
      <w:pPr>
        <w:pStyle w:val="ListBullet"/>
        <w:spacing w:after="80" w:line="290" w:lineRule="auto"/>
        <w:ind w:left="540" w:hanging="279"/>
      </w:pPr>
      <w:r>
        <w:t>Ruiz Jiménez, José Ángel. Y llegó la barbarie. Nacionalismo y juegos de poder en la destrucción de Yugoslavia. Barcelona: Ariel, 2016.</w:t>
      </w:r>
    </w:p>
    <w:p>
      <w:pPr>
        <w:pStyle w:val="ListBullet"/>
        <w:spacing w:after="80" w:line="290" w:lineRule="auto"/>
        <w:ind w:left="540" w:hanging="279"/>
      </w:pPr>
      <w:r>
        <w:t>Neutrality Studies. “What Really Happened In Yugoslavia | Douglas Macgregor &amp; David Gibbs”, 27 de agosto de 2026. Versión española enlazada por el usuario.</w:t>
      </w:r>
    </w:p>
    <w:p>
      <w:pPr>
        <w:pStyle w:val="ListBullet"/>
        <w:spacing w:after="80" w:line="290" w:lineRule="auto"/>
        <w:ind w:left="540" w:hanging="279"/>
      </w:pPr>
      <w:r>
        <w:t>Gibbs, David N. First Do No Harm: Humanitarian Intervention and the Destruction of Yugoslavia. Vanderbilt University Press, 2009.</w:t>
      </w:r>
    </w:p>
    <w:p>
      <w:pPr>
        <w:pStyle w:val="ListBullet"/>
        <w:spacing w:after="80" w:line="290" w:lineRule="auto"/>
        <w:ind w:left="540" w:hanging="279"/>
      </w:pPr>
      <w:r>
        <w:t>Acuerdos de Paz de Dayton, 1995; Acuerdo de Rambouillet, 1999; resoluciones y documentación de Naciones Unidas relativas a Bosnia-Herzegovina y Kosovo.</w:t>
      </w:r>
    </w:p>
    <w:p>
      <w:pPr>
        <w:pStyle w:val="ListBullet"/>
        <w:spacing w:after="80" w:line="290" w:lineRule="auto"/>
        <w:ind w:left="540" w:hanging="279"/>
      </w:pPr>
      <w:r>
        <w:t>Tribunal Penal Internacional para la ex Yugoslavia y Corte Internacional de Justicia: sentencias y materiales relativos a crímenes de guerra, crímenes contra la humanidad y genocidio.</w:t>
      </w:r>
    </w:p>
    <w:p>
      <w:pPr>
        <w:pStyle w:val="ListBullet"/>
        <w:spacing w:after="80" w:line="290" w:lineRule="auto"/>
        <w:ind w:left="540" w:hanging="279"/>
      </w:pPr>
      <w:r>
        <w:t>Ruiz Jiménez, José Ángel. Balcanes, la herida abierta de Europa. Conflicto y reconstrucción de la convivencia. Plaza y Valdés, 2010.</w:t>
      </w:r>
    </w:p>
    <w:p>
      <w:r>
        <w:t>Nota sobre el vídeo: la plataforma no ofrecía una transcripción descargable para la versión española ni para la publicación original. La reconstrucción del contenido audiovisual se ha basado en su estructura temporal pública, su descripción editorial y las posiciones expuestas por los participantes en el propio debate y en trabajos e intervenciones anteriores. Por esta razón, el informe evita atribuirles formulaciones literales no verificadas y trata sus afirmaciones como argumentos resumidos, no como citas textuales.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46C"/>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C646C"/>
        <w:sz w:val="16"/>
      </w:rPr>
      <w:t>LA DESTRUCCIÓN DE YUGOSLAVIA  |  INFORME HISTÓRICO Y CRÍTICO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05D7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05D7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E37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Calibri" w:hAnsi="Calibri"/>
      <w:b/>
      <w:color w:val="1E37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300" w:lineRule="auto"/>
      <w:jc w:val="both"/>
    </w:pPr>
    <w:rPr>
      <w:rFonts w:ascii="Calibri" w:hAnsi="Calibri"/>
      <w:i/>
      <w:color w:val="5C646C"/>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destrucción de Yugoslavia: nacionalismo, guerra e intervención exterior</dc:title>
  <dc:subject>Informe histórico y crítico a partir de Ruiz Jiménez y Gibbs–Macgregor</dc:subject>
  <dc:creator>OpenAI - informe elaborado para Diego</dc:creator>
  <cp:keywords/>
  <dc:description>generated by python-docx</dc:description>
  <cp:lastModifiedBy/>
  <cp:revision>1</cp:revision>
  <dcterms:created xsi:type="dcterms:W3CDTF">2013-12-23T23:15:00Z</dcterms:created>
  <dcterms:modified xsi:type="dcterms:W3CDTF">2013-12-23T23:15:00Z</dcterms:modified>
  <cp:category/>
</cp:coreProperties>
</file>