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B58A36"/>
          <w:sz w:val="22"/>
        </w:rPr>
        <w:t>THE NEW ENLIGHTENMENT CONFERENCE 2026</w:t>
      </w:r>
    </w:p>
    <w:p>
      <w:pPr>
        <w:spacing w:after="180"/>
        <w:jc w:val="center"/>
      </w:pPr>
      <w:r>
        <w:rPr>
          <w:rFonts w:ascii="Calibri" w:hAnsi="Calibri"/>
          <w:b/>
          <w:color w:val="173F50"/>
          <w:sz w:val="60"/>
        </w:rPr>
        <w:t>LA NUEVA ILUSTRACIÓN</w:t>
      </w:r>
    </w:p>
    <w:p>
      <w:pPr>
        <w:spacing w:after="520"/>
        <w:jc w:val="center"/>
      </w:pPr>
      <w:r>
        <w:rPr>
          <w:rFonts w:ascii="Calibri" w:hAnsi="Calibri"/>
          <w:color w:val="168C8C"/>
          <w:sz w:val="32"/>
        </w:rPr>
        <w:t>George Yeo ante la geoeconomía, la energía,</w:t>
        <w:br/>
        <w:t>la inteligencia artificial y el orden multipolar</w:t>
      </w:r>
    </w:p>
    <w:p>
      <w:pPr>
        <w:spacing w:after="1280"/>
        <w:jc w:val="center"/>
      </w:pPr>
      <w:r>
        <w:rPr>
          <w:rFonts w:ascii="Calibri" w:hAnsi="Calibri"/>
          <w:i/>
          <w:color w:val="687982"/>
          <w:sz w:val="22"/>
        </w:rPr>
        <w:t>Informe exhaustivo basado exclusivamente en la ponencia y el coloquio</w:t>
      </w:r>
    </w:p>
    <w:p>
      <w:pPr>
        <w:jc w:val="center"/>
      </w:pPr>
      <w:r>
        <w:rPr>
          <w:rFonts w:ascii="Calibri" w:hAnsi="Calibri"/>
          <w:color w:val="687982"/>
          <w:sz w:val="20"/>
        </w:rPr>
        <w:t>Fuente única: vídeo y transcripción facilitada por el usuario</w:t>
        <w:br/>
        <w:t>Duración: 52 minutos  |  Elaborado el 02-09-2026</w:t>
      </w:r>
    </w:p>
    <w:p>
      <w:pPr>
        <w:jc w:val="center"/>
      </w:pPr>
      <w:hyperlink r:id="rId13">
        <w:r>
          <w:rPr>
            <w:color w:val="168C8C"/>
            <w:u w:val="single"/>
          </w:rPr>
          <w:t>Ver la conferencia en YouTube</w:t>
        </w:r>
      </w:hyperlink>
    </w:p>
    <w:p>
      <w:r>
        <w:br w:type="page"/>
      </w:r>
    </w:p>
    <w:p>
      <w:pPr>
        <w:pStyle w:val="Heading1"/>
      </w:pPr>
      <w:r>
        <w:t>Contenido</w:t>
      </w:r>
    </w:p>
    <w:p>
      <w:pPr>
        <w:pStyle w:val="ListBullet"/>
      </w:pPr>
      <w:r>
        <w:rPr>
          <w:rFonts w:ascii="Calibri" w:hAnsi="Calibri"/>
        </w:rPr>
        <w:t>Resumen ejecutivo</w:t>
      </w:r>
    </w:p>
    <w:p>
      <w:pPr>
        <w:pStyle w:val="ListBullet"/>
      </w:pPr>
      <w:r>
        <w:rPr>
          <w:rFonts w:ascii="Calibri" w:hAnsi="Calibri"/>
        </w:rPr>
        <w:t>1. Escocia, Singapur y genealogía de la prosperidad</w:t>
      </w:r>
    </w:p>
    <w:p>
      <w:pPr>
        <w:pStyle w:val="ListBullet"/>
      </w:pPr>
      <w:r>
        <w:rPr>
          <w:rFonts w:ascii="Calibri" w:hAnsi="Calibri"/>
        </w:rPr>
        <w:t>2-3. Límites de la fuerza y repliegue estadounidense</w:t>
      </w:r>
    </w:p>
    <w:p>
      <w:pPr>
        <w:pStyle w:val="ListBullet"/>
      </w:pPr>
      <w:r>
        <w:rPr>
          <w:rFonts w:ascii="Calibri" w:hAnsi="Calibri"/>
        </w:rPr>
        <w:t>4-5. China: muros, escritura, papel y codificación</w:t>
      </w:r>
    </w:p>
    <w:p>
      <w:pPr>
        <w:pStyle w:val="ListBullet"/>
      </w:pPr>
      <w:r>
        <w:rPr>
          <w:rFonts w:ascii="Calibri" w:hAnsi="Calibri"/>
        </w:rPr>
        <w:t>6-8. Energía, IA y las dos manos de Adam Smith</w:t>
      </w:r>
    </w:p>
    <w:p>
      <w:pPr>
        <w:pStyle w:val="ListBullet"/>
      </w:pPr>
      <w:r>
        <w:rPr>
          <w:rFonts w:ascii="Calibri" w:hAnsi="Calibri"/>
        </w:rPr>
        <w:t>Parte II. Coloquio: regiones, democracia, Golfo y control político</w:t>
      </w:r>
    </w:p>
    <w:p>
      <w:pPr>
        <w:pStyle w:val="ListBullet"/>
      </w:pPr>
      <w:r>
        <w:rPr>
          <w:rFonts w:ascii="Calibri" w:hAnsi="Calibri"/>
        </w:rPr>
        <w:t>13-17. Integración, arquitectura, conceptos, cronología y conclusiones</w:t>
      </w:r>
    </w:p>
    <w:p>
      <w:r>
        <w:t>La numeración sigue la estructura analítica del informe. La cronología final permite localizar cada argumento en el vídeo.</w:t>
      </w:r>
    </w:p>
    <w:p>
      <w:pPr>
        <w:pStyle w:val="Heading1"/>
      </w:pPr>
      <w:r>
        <w:rPr>
          <w:rFonts w:ascii="Calibri" w:hAnsi="Calibri"/>
        </w:rPr>
        <w:t>Resumen ejecutivo</w:t>
      </w:r>
    </w:p>
    <w:p>
      <w:r>
        <w:rPr>
          <w:rFonts w:ascii="Calibri" w:hAnsi="Calibri"/>
        </w:rPr>
        <w:t>La ponencia de George Yeo propone una interpretación unitaria de la transformación contemporánea. Su tema aparente es la competencia geoeconómica y la “nueva riqueza de las naciones”; su asunto de fondo es más amplio: qué hace posible que una sociedad convierta energía e información en organización, prosperidad y poder, y por qué las instituciones que favorecieron el éxito en una época pueden convertirse después en obstáculos.</w:t>
      </w:r>
    </w:p>
    <w:p>
      <w:r>
        <w:rPr>
          <w:rFonts w:ascii="Calibri" w:hAnsi="Calibri"/>
        </w:rPr>
        <w:t>El discurso comienza en Escocia, no en Washington o Pekín. Yeo recuerda la contribución escocesa a la construcción imperial británica y las huellas materiales e institucionales dejadas en Singapur y Hong Kong. Raffles, William Farquhar, puentes, edificios, mercados, bancos y compañías mercantiles constituyen para él indicios de una transferencia histórica de capacidades. La Ilustración escocesa no fue únicamente una sucesión de grandes libros: fue un momento de transición en el que una sociedad relativamente pequeña, marcada por una historia difícil y situada a cierta distancia del centro londinense, generó ideas, instituciones y personas capaces de reorganizar espacios muy alejados. La pregunta inaugural —qué hizo posible aquel fermento— se convierte en la pregunta que ordena toda la conferencia: qué condiciones podrían producir una nueva Ilustración adecuada a la transición actual.</w:t>
      </w:r>
    </w:p>
    <w:p>
      <w:r>
        <w:rPr>
          <w:rFonts w:ascii="Calibri" w:hAnsi="Calibri"/>
        </w:rPr>
        <w:t xml:space="preserve">La coyuntura presente está definida por dos fuerzas simultáneas. La primera es geopolítica: Estados Unidos ha alcanzado los límites financieros y estratégicos de la expansión, mientras sus bases, alianzas y métodos de intervención se vuelven más costosos y vulnerables. La segunda es tecnológica: la inteligencia artificial altera las formas de conocimiento, producción, guerra y administración, y hace tambalear supuestos que parecían estables. Yeo conecta ambos procesos mediante una advertencia contra la </w:t>
      </w:r>
      <w:r>
        <w:rPr>
          <w:rFonts w:ascii="Calibri" w:hAnsi="Calibri"/>
          <w:b w:val="0"/>
          <w:i/>
        </w:rPr>
        <w:t>hubris</w:t>
      </w:r>
      <w:r>
        <w:rPr>
          <w:rFonts w:ascii="Calibri" w:hAnsi="Calibri"/>
        </w:rPr>
        <w:t>. Ninguna superioridad técnica concede omnipotencia. La capacidad de localizar dirigentes, coordinar ataques o procesar cantidades gigantescas de información puede producir operaciones espectaculares, pero el adversario aprende, descentraliza el mando, moviliza memorias religiosas y nacionales y convierte la superioridad inicial en un problema político.</w:t>
      </w:r>
    </w:p>
    <w:p>
      <w:r>
        <w:rPr>
          <w:rFonts w:ascii="Calibri" w:hAnsi="Calibri"/>
        </w:rPr>
        <w:t>La guerra de Ucrania, los conflictos de Oriente Medio y la vulnerabilidad de las bases estadounidenses sirven para ilustrar el límite de la fuerza. Yeo atribuye a Putin una percepción histórica de amenaza vinculada a la expansión de la OTAN y al recuerdo de Barbarroja, aunque también afirma que el dirigente ruso calculó mal la facilidad de la campaña. Del mismo modo, interpreta que Irán aprendió de ataques anteriores y descentralizó su estructura de mando. La conclusión no es pacifista en sentido abstracto: es estratégica. La tecnología modifica la guerra, pero no elimina la adaptación, la cultura, la legitimidad ni el coste de ocupación y control.</w:t>
      </w:r>
    </w:p>
    <w:p>
      <w:r>
        <w:rPr>
          <w:rFonts w:ascii="Calibri" w:hAnsi="Calibri"/>
        </w:rPr>
        <w:t xml:space="preserve">El límite militar se corresponde con un límite fiscal. Yeo presenta la deuda estadounidense, el aumento de sus intereses y la presión para que los aliados incrementen el gasto defensivo como señales de sobreextensión. Si Washington reduce su presencia, sus socios desarrollarán capacidades propias y pensarán de manera menos dependiente. El orden que emerge no sería una sustitución simple de Estados Unidos por China, sino una configuración multipolar. Yeo considera deseable que Estados Unidos continúe como </w:t>
      </w:r>
      <w:r>
        <w:rPr>
          <w:rFonts w:ascii="Calibri" w:hAnsi="Calibri"/>
          <w:b w:val="0"/>
          <w:i/>
        </w:rPr>
        <w:t>primus inter pares</w:t>
      </w:r>
      <w:r>
        <w:rPr>
          <w:rFonts w:ascii="Calibri" w:hAnsi="Calibri"/>
        </w:rPr>
        <w:t xml:space="preserve"> y que, si ha de retirarse, lo haga de manera lenta y ordenada. Un colapso abrupto produciría vacíos, guerras y revoluciones comparables a los efectos de retiradas imperiales anteriores.</w:t>
      </w:r>
    </w:p>
    <w:p>
      <w:r>
        <w:rPr>
          <w:rFonts w:ascii="Calibri" w:hAnsi="Calibri"/>
        </w:rPr>
        <w:t>La negativa china a asumir un “G2” o una hegemonía mundial ocupa el núcleo civilizatorio de la ponencia. Según Yeo, China no rehúye esa función por modestia táctica, sino porque su experiencia histórica le enseña que la expansión ilimitada genera problemas interminables. La muralla física se prolonga en muros regulatorios, culturales, digitales y sanitarios. La homogeneidad relativa constituye al mismo tiempo fortaleza y debilidad: facilita continuidad y coordinación, pero obliga a controlar influencias que puedan fragmentarla. La distinción entre circulación interna y externa expresa esa preferencia por consolidar el desarrollo dentro de un espacio propio y reducir la exposición a turbulencias internacionales.</w:t>
      </w:r>
    </w:p>
    <w:p>
      <w:r>
        <w:rPr>
          <w:rFonts w:ascii="Calibri" w:hAnsi="Calibri"/>
        </w:rPr>
        <w:t>Yeo explica la continuidad china mediante dos tecnologías de codificación: la escritura y el papel. La separación entre caracteres y pronunciación habría permitido que poblaciones lingüísticamente diversas compartieran textos, héroes y memoria. El papel multiplicó la capacidad de registrar, almacenar y procesar información: historia, epidemias, agua, clima, impuestos, grano, irrigación y administración. Inspirándose en Alan Turing, Yeo aproxima el papel a una infraestructura de computación: una superficie abundante para ejecutar operaciones simbólicas, codificar conocimiento y coordinar personas a través del tiempo y el espacio. La intensidad documental hace a China conservadora y previsible, porque toda innovación se enfrenta a una masa enorme de precedentes y memoria acumulada.</w:t>
      </w:r>
    </w:p>
    <w:p>
      <w:r>
        <w:rPr>
          <w:rFonts w:ascii="Calibri" w:hAnsi="Calibri"/>
        </w:rPr>
        <w:t>La reflexión sobre información desemboca en una teoría energética de la civilización. La vida, al codificar información genética, mantiene organización frente a la tendencia entrópica. En la naturaleza, la competencia gira alrededor de la adquisición y el uso de energía. Las sociedades humanas siguen una secuencia comparable: agricultura, gestión de deltas, almacenamiento y administración generan excedente; el carbón y la máquina de vapor convierten calor en fuerza mecánica; el petróleo sostiene automóvil, aviación, blindados y poder estadounidense; la inteligencia artificial inaugura otra etapa cuyo límite último no es sólo algorítmico, sino energético.</w:t>
      </w:r>
    </w:p>
    <w:p>
      <w:r>
        <w:rPr>
          <w:rFonts w:ascii="Calibri" w:hAnsi="Calibri"/>
        </w:rPr>
        <w:t>Sin embargo, la nueva energía presenta una particularidad: sol, viento, pequeños reactores y otras fuentes pueden encontrarse en numerosos lugares y son más difíciles de monopolizar desde un único centro. Algo similar ocurre con los modelos chinos de inteligencia artificial de código abierto. Yeo interpreta DeepSeek y otros sistemas abiertos como una política de difusión destinada a llevar la IA a todos los sectores y reducir el poder monopolístico. Si tecnología y energía se vuelven más accesibles, la diferencia entre sociedades no residirá sólo en poseer recursos, sino en su capacidad de organizarse, incorporar innovaciones, amortiguar los daños sociales y evitar reacciones destructivas.</w:t>
      </w:r>
    </w:p>
    <w:p>
      <w:r>
        <w:rPr>
          <w:rFonts w:ascii="Calibri" w:hAnsi="Calibri"/>
        </w:rPr>
        <w:t>Aquí reaparece Adam Smith. Yeo rechaza una lectura que reduzca al pensador escocés a la “mano invisible”. El interés individual y el mercado sólo operan dentro de una “mano visible” constituida por recuerdos, educación, leyes, valores, instituciones y normas morales. Cuando esa mano visible es demasiado débil, la sociedad pierde capacidad de orientar el cambio; cuando se vuelve rígida, asfixia iniciativa e innovación. La gestión económica es el arte dinámico de ajustar la presión, como quien sostiene un pájaro: apretar demasiado lo mata; sujetarlo demasiado poco permite que escape. La respuesta no puede automatizarse ni extraerse de un manual. Exige dirigentes modestos, atentos a la población y conscientes de las consecuencias no previstas.</w:t>
      </w:r>
    </w:p>
    <w:p>
      <w:r>
        <w:rPr>
          <w:rFonts w:ascii="Calibri" w:hAnsi="Calibri"/>
        </w:rPr>
        <w:t>El coloquio aplica este marco comparativo. Estados Unidos dispone de energía, capital y dinamismo, pero su “mano visible” regulatoria se habría rigidizado. China conserva mayor flexibilidad para construir infraestructura energética y digital, aunque Yeo advierte que no será eterna. Europa aparece en una posición especialmente difícil debido al coste de la energía y a políticas exteriores que, en su opinión, limitan el acceso a fuentes cercanas. India posee demografía y talento, carece de abundancia energética equivalente y apuesta por la energía solar. Brasil cuenta con escala; África se encuentra en una fase anterior que puede beneficiarse de tecnologías desarrolladas fuera.</w:t>
      </w:r>
    </w:p>
    <w:p>
      <w:r>
        <w:rPr>
          <w:rFonts w:ascii="Calibri" w:hAnsi="Calibri"/>
        </w:rPr>
        <w:t>Las preguntas finales abren tres problemas. Primero, Yeo redefine la democracia desde las condiciones de vida de la población, especialmente del diez por ciento inferior, y no únicamente desde el procedimiento electoral. Segundo, juzga que el desarrollo tecnológico del Golfo es dependiente de capital concentrado y trabajadores extranjeros, por lo que el mundo islámico necesitará una modernización “orgánica” compatible con sus valores. Tercero, reconoce que ni él ni las autoridades chinas saben cómo afectará la IA a la homogeneidad y al monopolio político del Partido Comunista. China respondería mediante experimentación, control de portales, atención extrema a los conflictos sociales y ajuste continuo entre apertura e intervención.</w:t>
      </w:r>
    </w:p>
    <w:p>
      <w:r>
        <w:rPr>
          <w:rFonts w:ascii="Calibri" w:hAnsi="Calibri"/>
        </w:rPr>
        <w:t>La tesis final puede formularse así: energía e información amplían el campo de lo posible, pero no deciden por sí solas quién prospera. La nueva riqueza de las naciones dependerá de la calidad adaptativa de sus instituciones, de su capacidad para combinar iniciativa y cohesión, de su sensibilidad ante los costes sociales y de la modestia con la que ejerzan el poder. Una nueva Ilustración no consistirá en repetir la escocesa, sino en crear espacios donde “preocupados reflexivos” puedan elevarse sobre la urgencia cotidiana y pensar las relaciones entre tecnología, moral, política y civilización.</w:t>
      </w:r>
    </w:p>
    <w:p>
      <w:pPr>
        <w:pStyle w:val="Heading1"/>
      </w:pPr>
      <w:r>
        <w:rPr>
          <w:rFonts w:ascii="Calibri" w:hAnsi="Calibri"/>
        </w:rPr>
        <w:t>1. Escocia, Singapur y la genealogía de la prosperidad geoeconómica</w:t>
      </w:r>
    </w:p>
    <w:p>
      <w:pPr>
        <w:pStyle w:val="Heading2"/>
      </w:pPr>
      <w:r>
        <w:rPr>
          <w:rFonts w:ascii="Calibri" w:hAnsi="Calibri"/>
        </w:rPr>
        <w:t>1.1. El significado del lugar y de la fecha</w:t>
      </w:r>
    </w:p>
    <w:p>
      <w:r>
        <w:rPr>
          <w:rFonts w:ascii="Calibri" w:hAnsi="Calibri"/>
        </w:rPr>
        <w:t xml:space="preserve">Yeo acepta intervenir por dos razones simbólicas: el 250 aniversario de </w:t>
      </w:r>
      <w:r>
        <w:rPr>
          <w:rFonts w:ascii="Calibri" w:hAnsi="Calibri"/>
          <w:b w:val="0"/>
          <w:i/>
        </w:rPr>
        <w:t>La riqueza de las naciones</w:t>
      </w:r>
      <w:r>
        <w:rPr>
          <w:rFonts w:ascii="Calibri" w:hAnsi="Calibri"/>
        </w:rPr>
        <w:t xml:space="preserve"> y la oportunidad de visitar Escocia. El aniversario no funciona como mero ornamento conmemorativo. Adam Smith representa una tentativa histórica de explicar cómo la libertad de intercambio, la especialización, las instituciones y la moral transforman la capacidad productiva. Escocia representa el entorno social en el que esa tentativa fue posible.</w:t>
      </w:r>
    </w:p>
    <w:p>
      <w:r>
        <w:rPr>
          <w:rFonts w:ascii="Calibri" w:hAnsi="Calibri"/>
        </w:rPr>
        <w:t>La intervención se sitúa así en una doble transición. La Ilustración escocesa acompañó el paso hacia el capitalismo industrial, el imperio comercial y la modernidad política. La conferencia de 2026 se celebra cuando el orden surgido de aquella expansión occidental pierde centralidad y la IA altera las bases de producción, conocimiento y autoridad. Yeo no propone copiar el siglo XVIII: utiliza su memoria como invitación a crear una nueva concentración de pensamiento capaz de interpretar una época distinta.</w:t>
      </w:r>
    </w:p>
    <w:p>
      <w:pPr>
        <w:pStyle w:val="Heading2"/>
      </w:pPr>
      <w:r>
        <w:rPr>
          <w:rFonts w:ascii="Calibri" w:hAnsi="Calibri"/>
        </w:rPr>
        <w:t>1.2. Lee Kuan Yew y la memoria del imperio escocés</w:t>
      </w:r>
    </w:p>
    <w:p>
      <w:r>
        <w:rPr>
          <w:rFonts w:ascii="Calibri" w:hAnsi="Calibri"/>
        </w:rPr>
        <w:t>Yeo recuerda la visita de despedida de Lee Kuan Yew al Reino Unido en 1990, antes de abandonar el cargo de primer ministro. Margaret Thatcher lo recibió con grandes honores y Malcolm Rifkind lo hospedó en Edimburgo. En una cena en el castillo, Lee destacó la contribución de los escoceses al establecimiento del imperio británico.</w:t>
      </w:r>
    </w:p>
    <w:p>
      <w:r>
        <w:rPr>
          <w:rFonts w:ascii="Calibri" w:hAnsi="Calibri"/>
        </w:rPr>
        <w:t>La anécdota cumple varias funciones. En primer lugar, reconoce que el imperio no fue construido exclusivamente desde el centro inglés. Escoceses procedentes de una nación pequeña participaron de manera desproporcionada en administración, comercio, ingeniería, finanzas y expansión ultramarina. En segundo lugar, conecta la experiencia de Singapur con una historia global en la que personas, capitales, instituciones y técnicas viajaron a través de redes imperiales. Por último, recuerda que la prosperidad contemporánea de los nodos asiáticos no puede entenderse sin esas capas históricas, aunque posteriormente fueran apropiadas, modificadas y orientadas hacia fines nacionales propios.</w:t>
      </w:r>
    </w:p>
    <w:p>
      <w:pPr>
        <w:pStyle w:val="Heading2"/>
      </w:pPr>
      <w:r>
        <w:rPr>
          <w:rFonts w:ascii="Calibri" w:hAnsi="Calibri"/>
        </w:rPr>
        <w:t>1.3. Las huellas materiales en Singapur y Hong Kong</w:t>
      </w:r>
    </w:p>
    <w:p>
      <w:r>
        <w:rPr>
          <w:rFonts w:ascii="Calibri" w:hAnsi="Calibri"/>
        </w:rPr>
        <w:t>La estatua de Stamford Raffles simboliza la fundación colonial de Singapur, pero Yeo desplaza la atención hacia William Farquhar, cuya labor práctica habría sido más decisiva para establecer la ciudad moderna. Alrededor de la desembocadura del río enumera puentes, obeliscos, edificios, muelles, mercados y calles vinculados a nombres escoceses. La geografía urbana se convierte en archivo de una transferencia de capacidades.</w:t>
      </w:r>
    </w:p>
    <w:p>
      <w:r>
        <w:rPr>
          <w:rFonts w:ascii="Calibri" w:hAnsi="Calibri"/>
        </w:rPr>
        <w:t>El argumento no es que Escocia “creara” por sí sola Singapur, sino que la expansión británica llevó formas de ingeniería, propiedad, administración y comercio que contribuyeron a organizar un enclave estratégico. La localización de Singapur en el estrecho de Malaca, la apertura portuaria y la competencia comercial permitieron convertir una posición geográfica en prosperidad geoeconómica. El legado europeo fue posteriormente integrado en un Estado soberano que construyó su propia burocracia, política industrial y estrategia exterior.</w:t>
      </w:r>
    </w:p>
    <w:p>
      <w:r>
        <w:rPr>
          <w:rFonts w:ascii="Calibri" w:hAnsi="Calibri"/>
        </w:rPr>
        <w:t>Hong Kong ofrece un ejemplo aún más intenso. El Jockey Club, el Hongkong and Shanghai Banking Corporation, las grandes casas comerciales y una cultura empresarial de disciplina, asociación y confianza muestran, según Yeo, una impronta escocesa tanto consciente como subconsciente. La prosperidad no se reduce a edificios o compañías: se apoya en un sistema de valores que organiza expectativas, reputaciones y cooperación.</w:t>
      </w:r>
    </w:p>
    <w:p>
      <w:pPr>
        <w:pStyle w:val="Heading2"/>
      </w:pPr>
      <w:r>
        <w:rPr>
          <w:rFonts w:ascii="Calibri" w:hAnsi="Calibri"/>
        </w:rPr>
        <w:t>1.4. ¿Por qué surgió la Ilustración escocesa?</w:t>
      </w:r>
    </w:p>
    <w:p>
      <w:r>
        <w:rPr>
          <w:rFonts w:ascii="Calibri" w:hAnsi="Calibri"/>
        </w:rPr>
        <w:t xml:space="preserve">Ante las estatuas de grandes figuras, Yeo pregunta qué produjo aquella extraordinaria fermentación intelectual. Sugiere dos posibilidades sin convertirlas en explicación definitiva: el </w:t>
      </w:r>
      <w:r>
        <w:rPr>
          <w:rFonts w:ascii="Calibri" w:hAnsi="Calibri"/>
          <w:b w:val="0"/>
          <w:i/>
        </w:rPr>
        <w:t>pathos</w:t>
      </w:r>
      <w:r>
        <w:rPr>
          <w:rFonts w:ascii="Calibri" w:hAnsi="Calibri"/>
        </w:rPr>
        <w:t xml:space="preserve"> de una historia difícil y la distancia respecto de Londres. El sufrimiento histórico puede estimular una conciencia aguda de la fragilidad; la posición periférica puede proporcionar libertad frente a hábitos del centro.</w:t>
      </w:r>
    </w:p>
    <w:p>
      <w:r>
        <w:rPr>
          <w:rFonts w:ascii="Calibri" w:hAnsi="Calibri"/>
        </w:rPr>
        <w:t>Lo importante no es resolver el debate historiográfico, sino identificar un rasgo: la Ilustración escocesa apareció durante una transición. Las épocas de cambio desordenan categorías heredadas y crean demanda de ideas nuevas. La pregunta trasladada al presente es si instituciones como Panmure House pueden reunir nuevamente a personas capaces de pensar más allá de disciplinas, fronteras y urgencias inmediatas.</w:t>
      </w:r>
    </w:p>
    <w:p>
      <w:pPr>
        <w:pStyle w:val="Heading1"/>
      </w:pPr>
      <w:r>
        <w:rPr>
          <w:rFonts w:ascii="Calibri" w:hAnsi="Calibri"/>
        </w:rPr>
        <w:t>2. La transición contemporánea: tecnología, guerra y límites de la fuerza</w:t>
      </w:r>
    </w:p>
    <w:p>
      <w:pPr>
        <w:pStyle w:val="Heading2"/>
      </w:pPr>
      <w:r>
        <w:rPr>
          <w:rFonts w:ascii="Calibri" w:hAnsi="Calibri"/>
        </w:rPr>
        <w:t>2.1. La inteligencia artificial como perturbación de los supuestos</w:t>
      </w:r>
    </w:p>
    <w:p>
      <w:r>
        <w:rPr>
          <w:rFonts w:ascii="Calibri" w:hAnsi="Calibri"/>
        </w:rPr>
        <w:t>Yeo sitúa la IA junto a la transformación geopolítica porque ambas desestabilizan certezas alojadas en la conciencia colectiva. La IA no es sólo una herramienta productiva. Cambia la velocidad de recopilación, clasificación y uso de información; altera la relación entre vigilancia y privacidad; amplía la capacidad de identificar objetivos; amenaza empleos y jerarquías; y obliga a revisar qué competencias siguen siendo específicamente humanas.</w:t>
      </w:r>
    </w:p>
    <w:p>
      <w:r>
        <w:rPr>
          <w:rFonts w:ascii="Calibri" w:hAnsi="Calibri"/>
        </w:rPr>
        <w:t>La innovación crea una tentación recurrente: confundir superioridad técnica con poder ilimitado. Yeo emplea conflictos contemporáneos para señalar que el uso de información avanzada puede facilitar operaciones de “decapitación”, pero no garantiza control político posterior. La acción espectacular y el desenlace estratégico pertenecen a planos distintos.</w:t>
      </w:r>
    </w:p>
    <w:p>
      <w:pPr>
        <w:pStyle w:val="Heading2"/>
      </w:pPr>
      <w:r>
        <w:rPr>
          <w:rFonts w:ascii="Calibri" w:hAnsi="Calibri"/>
        </w:rPr>
        <w:t>2.2. Adaptación del adversario y descentralización</w:t>
      </w:r>
    </w:p>
    <w:p>
      <w:r>
        <w:rPr>
          <w:rFonts w:ascii="Calibri" w:hAnsi="Calibri"/>
        </w:rPr>
        <w:t>En su lectura de ataques en Oriente Medio, Yeo destaca la capacidad de aprendizaje iraní. Una estructura de mando centralizada ofrece objetivos identificables; una estructura descentralizada puede seguir funcionando después de perder dirigentes o comunicaciones. La respuesta no es únicamente técnica. La decisión del líder religioso de afrontar el martirio se inserta en una tradición chií asociada a Alí y Huséin. El sacrificio adquiere significado cultural y político, y dificulta que la eliminación física produzca desmoralización automática.</w:t>
      </w:r>
    </w:p>
    <w:p>
      <w:r>
        <w:rPr>
          <w:rFonts w:ascii="Calibri" w:hAnsi="Calibri"/>
        </w:rPr>
        <w:t>El ejemplo condensa una tesis general: información y precisión operativa actúan dentro de sociedades portadoras de memorias, símbolos y jerarquías morales. El poder que ignora esas dimensiones corre el riesgo de ganar el primer movimiento y perder la secuencia posterior.</w:t>
      </w:r>
    </w:p>
    <w:p>
      <w:pPr>
        <w:pStyle w:val="Heading2"/>
      </w:pPr>
      <w:r>
        <w:rPr>
          <w:rFonts w:ascii="Calibri" w:hAnsi="Calibri"/>
        </w:rPr>
        <w:t>2.3. Ucrania, memoria estratégica y error de cálculo</w:t>
      </w:r>
    </w:p>
    <w:p>
      <w:r>
        <w:rPr>
          <w:rFonts w:ascii="Calibri" w:hAnsi="Calibri"/>
        </w:rPr>
        <w:t>Yeo reconstruye la justificación de Putin para la invasión de febrero de 2022 a partir del temor declarado a una futura repetición de Barbarroja. Según esta percepción, la expansión oriental de la OTAN estrechaba el espacio de seguridad ruso y elevaba el coste de esperar. El conferenciante introduce una cautela explícita: aceptar que ese fuera el razonamiento de Putin no obliga a compartirlo ni a legitimar la invasión.</w:t>
      </w:r>
    </w:p>
    <w:p>
      <w:r>
        <w:rPr>
          <w:rFonts w:ascii="Calibri" w:hAnsi="Calibri"/>
        </w:rPr>
        <w:t>Al mismo tiempo, Yeo afirma que Putin esperaba una campaña fácil y se equivocó. La guerra muestra así dos límites: el límite de la arquitectura de seguridad, incapaz de reconciliar percepciones incompatibles, y el límite del cálculo militar, que infravalora resistencia, apoyo exterior, logística y adaptación. Su pronóstico de una partición de Ucrania se apoya en la consideración histórica del territorio como zona colchón; dentro del método de este informe debe entenderse como expectativa de Yeo, no como desenlace verificado.</w:t>
      </w:r>
    </w:p>
    <w:p>
      <w:pPr>
        <w:pStyle w:val="Heading2"/>
      </w:pPr>
      <w:r>
        <w:rPr>
          <w:rFonts w:ascii="Calibri" w:hAnsi="Calibri"/>
        </w:rPr>
        <w:t xml:space="preserve">2.4. La </w:t>
      </w:r>
      <w:r>
        <w:rPr>
          <w:rFonts w:ascii="Calibri" w:hAnsi="Calibri"/>
          <w:b w:val="0"/>
          <w:i/>
        </w:rPr>
        <w:t>hubris</w:t>
      </w:r>
      <w:r>
        <w:rPr>
          <w:rFonts w:ascii="Calibri" w:hAnsi="Calibri"/>
        </w:rPr>
        <w:t xml:space="preserve"> tecnológica</w:t>
      </w:r>
    </w:p>
    <w:p>
      <w:r>
        <w:rPr>
          <w:rFonts w:ascii="Calibri" w:hAnsi="Calibri"/>
        </w:rPr>
        <w:t xml:space="preserve">La conclusión moral de estos episodios es la necesidad de reconocer la </w:t>
      </w:r>
      <w:r>
        <w:rPr>
          <w:rFonts w:ascii="Calibri" w:hAnsi="Calibri"/>
          <w:b w:val="0"/>
          <w:i/>
        </w:rPr>
        <w:t>hubris</w:t>
      </w:r>
      <w:r>
        <w:rPr>
          <w:rFonts w:ascii="Calibri" w:hAnsi="Calibri"/>
        </w:rPr>
        <w:t>. Una tecnología que ofrece una apariencia de omnisciencia o una potencia “divina” puede inducir objetivos desmesurados. La fuerza encuentra límites en la geografía, la dispersión, la identidad, el aprendizaje y la voluntad de soportar costes.</w:t>
      </w:r>
    </w:p>
    <w:p>
      <w:r>
        <w:rPr>
          <w:rFonts w:ascii="Calibri" w:hAnsi="Calibri"/>
        </w:rPr>
        <w:t>El razonamiento no niega la importancia de la tecnología. Afirma algo más exigente: cuanto más impresionante es una capacidad, mayor debe ser la disciplina intelectual necesaria para no confundir lo que puede hacerse con lo que conviene intentar o con lo que puede sostenerse políticamente.</w:t>
      </w:r>
    </w:p>
    <w:p>
      <w:pPr>
        <w:pStyle w:val="Heading1"/>
      </w:pPr>
      <w:r>
        <w:rPr>
          <w:rFonts w:ascii="Calibri" w:hAnsi="Calibri"/>
        </w:rPr>
        <w:t>3. Bases vulnerables, deuda estadounidense y repliegue imperial</w:t>
      </w:r>
    </w:p>
    <w:p>
      <w:pPr>
        <w:pStyle w:val="Heading2"/>
      </w:pPr>
      <w:r>
        <w:rPr>
          <w:rFonts w:ascii="Calibri" w:hAnsi="Calibri"/>
        </w:rPr>
        <w:t>3.1. De plataforma de poder a objetivo</w:t>
      </w:r>
    </w:p>
    <w:p>
      <w:r>
        <w:rPr>
          <w:rFonts w:ascii="Calibri" w:hAnsi="Calibri"/>
        </w:rPr>
        <w:t>Las bases estadounidenses en el Golfo simbolizan una mutación estratégica. Fueron concebidas como plataformas seguras desde las que proyectar fuerza; los misiles, drones y sistemas de precisión pueden convertirlas en objetivos concentrados. Reconstruirlas exige enterramiento, dispersión o defensas antimisiles costosas que nunca ofrecen protección absoluta.</w:t>
      </w:r>
    </w:p>
    <w:p>
      <w:r>
        <w:rPr>
          <w:rFonts w:ascii="Calibri" w:hAnsi="Calibri"/>
        </w:rPr>
        <w:t>Yeo traslada el problema a Singapur. El país permite el uso de instalaciones por Estados Unidos y se encuentra cerca de una de ellas. En una guerra con China, la presencia que hoy proporciona conexión estratégica podría atraer ataques. La alianza o cooperación militar deja de ser un beneficio unidimensional y obliga a calcular exposición, distancia y capacidad de protección de la población.</w:t>
      </w:r>
    </w:p>
    <w:p>
      <w:pPr>
        <w:pStyle w:val="Heading2"/>
      </w:pPr>
      <w:r>
        <w:rPr>
          <w:rFonts w:ascii="Calibri" w:hAnsi="Calibri"/>
        </w:rPr>
        <w:t>3.2. El giro hemisférico de Estados Unidos</w:t>
      </w:r>
    </w:p>
    <w:p>
      <w:r>
        <w:rPr>
          <w:rFonts w:ascii="Calibri" w:hAnsi="Calibri"/>
        </w:rPr>
        <w:t>Yeo interpreta el marco estratégico estadounidense más reciente como orientación hacia el propio hemisferio. Esta retirada relativa no sería producto exclusivo de una administración, sino de restricciones financieras. La deuda próxima a cuarenta billones de dólares y unos intereses superiores al presupuesto defensivo anuncian, en su lectura, un cambio inevitable.</w:t>
      </w:r>
    </w:p>
    <w:p>
      <w:r>
        <w:rPr>
          <w:rFonts w:ascii="Calibri" w:hAnsi="Calibri"/>
        </w:rPr>
        <w:t>Las exigencias de mayor gasto militar a aliados europeos y asiáticos son parte del mismo movimiento. Washington intenta distribuir los costes de la seguridad. Sin embargo, la adquisición de capacidad autónoma modifica el comportamiento de los aliados: quien paga, produce armamento y asume riesgos desarrolla preferencias propias y deja de seguir automáticamente al protector.</w:t>
      </w:r>
    </w:p>
    <w:p>
      <w:pPr>
        <w:pStyle w:val="Heading2"/>
      </w:pPr>
      <w:r>
        <w:rPr>
          <w:rFonts w:ascii="Calibri" w:hAnsi="Calibri"/>
        </w:rPr>
        <w:t>3.3. El punto de rendimientos decrecientes</w:t>
      </w:r>
    </w:p>
    <w:p>
      <w:r>
        <w:rPr>
          <w:rFonts w:ascii="Calibri" w:hAnsi="Calibri"/>
        </w:rPr>
        <w:t>Yeo formula el problema imperial con un criterio económico: la expansión continúa mientras el beneficio marginal supera al coste marginal. Cuando mantener posiciones, rutas, bases y compromisos cuesta más de lo que aporta, el sistema alcanza un punto de reversión. La deuda no es sólo una variable contable, sino una medida de la distancia entre aspiraciones y recursos.</w:t>
      </w:r>
    </w:p>
    <w:p>
      <w:r>
        <w:rPr>
          <w:rFonts w:ascii="Calibri" w:hAnsi="Calibri"/>
        </w:rPr>
        <w:t>Esta lógica permite comprender por qué un repliegue podría beneficiar a Estados Unidos. La analogía con Bizancio sugiere que la consolidación territorial puede prolongar la vida de una potencia. El continente norteamericano dispone de océanos, recursos, energía, capacidad agrícola y profundidad estratégica suficientes para mantener poder durante mucho tiempo. El descenso relativo no equivale necesariamente a colapso.</w:t>
      </w:r>
    </w:p>
    <w:p>
      <w:pPr>
        <w:pStyle w:val="Heading2"/>
      </w:pPr>
      <w:r>
        <w:rPr>
          <w:rFonts w:ascii="Calibri" w:hAnsi="Calibri"/>
        </w:rPr>
        <w:t>3.4. Retirada ordenada y riesgo sistémico</w:t>
      </w:r>
    </w:p>
    <w:p>
      <w:r>
        <w:rPr>
          <w:rFonts w:ascii="Calibri" w:hAnsi="Calibri"/>
        </w:rPr>
        <w:t>Yeo desea que Estados Unidos permanezca como primero entre iguales en un orden multipolar. Su razonamiento no celebra un derrumbe estadounidense. La retirada abrupta de una potencia que provee seguridad, moneda, mercados y coordinación puede desencadenar guerras, revoluciones y carreras regionales.</w:t>
      </w:r>
    </w:p>
    <w:p>
      <w:r>
        <w:rPr>
          <w:rFonts w:ascii="Calibri" w:hAnsi="Calibri"/>
        </w:rPr>
        <w:t>La imagen del “largo ocaso” resume su preferencia: si el sol estadounidense debe ponerse, conviene que lo haga lentamente y vuelva a salir pronto. La multipolaridad sería más segura con un Estados Unidos reformado y todavía influyente que con un vacío caótico.</w:t>
      </w:r>
    </w:p>
    <w:p>
      <w:pPr>
        <w:pStyle w:val="Heading1"/>
      </w:pPr>
      <w:r>
        <w:rPr>
          <w:rFonts w:ascii="Calibri" w:hAnsi="Calibri"/>
        </w:rPr>
        <w:t>4. China: muros, homogeneidad y rechazo de la hegemonía global</w:t>
      </w:r>
    </w:p>
    <w:p>
      <w:pPr>
        <w:pStyle w:val="Heading2"/>
      </w:pPr>
      <w:r>
        <w:rPr>
          <w:rFonts w:ascii="Calibri" w:hAnsi="Calibri"/>
        </w:rPr>
        <w:t>4.1. Por qué Pekín rehúye el G2</w:t>
      </w:r>
    </w:p>
    <w:p>
      <w:r>
        <w:rPr>
          <w:rFonts w:ascii="Calibri" w:hAnsi="Calibri"/>
        </w:rPr>
        <w:t>Yeo rechaza el esquema según el cual China sustituirá automáticamente a Estados Unidos. Las propuestas de un “G2” generan resistencia china porque implicarían asumir responsabilidad sobre problemas globales interminables. La negativa no procedería de modestia, sino de una definición diferente del interés.</w:t>
      </w:r>
    </w:p>
    <w:p>
      <w:r>
        <w:rPr>
          <w:rFonts w:ascii="Calibri" w:hAnsi="Calibri"/>
        </w:rPr>
        <w:t>Según el conferenciante, China obtiene mayores beneficios consolidando un espacio propio suficientemente grande y relativamente homogéneo que expandiéndose sobre territorios heterogéneos. La hegemonía mundial obliga a intervenir, arbitrar conflictos, sostener aliados y absorber poblaciones y problemas externos. La experiencia histórica aconsejaría limitar esa carga.</w:t>
      </w:r>
    </w:p>
    <w:p>
      <w:pPr>
        <w:pStyle w:val="Heading2"/>
      </w:pPr>
      <w:r>
        <w:rPr>
          <w:rFonts w:ascii="Calibri" w:hAnsi="Calibri"/>
        </w:rPr>
        <w:t>4.2. La muralla como institución recurrente</w:t>
      </w:r>
    </w:p>
    <w:p>
      <w:r>
        <w:rPr>
          <w:rFonts w:ascii="Calibri" w:hAnsi="Calibri"/>
        </w:rPr>
        <w:t>Cada dinastía reconstruye muros. En la República Popular, la muralla adopta formas nuevas: regulación cinematográfica, control editorial, filtrado de internet, política sanitaria y gestión de influencias externas. El muro no significa aislamiento total; distingue una circulación interna protegida de una circulación externa expuesta a turbulencia.</w:t>
      </w:r>
    </w:p>
    <w:p>
      <w:r>
        <w:rPr>
          <w:rFonts w:ascii="Calibri" w:hAnsi="Calibri"/>
        </w:rPr>
        <w:t>Yeo observa que Pekín, Shanghái o Cantón no poseen la diversidad de Londres, Nueva York o París. La homogeneidad facilita coordinación, continuidad cultural y previsibilidad, pero limita la absorción de diferencias y puede generar rigidez. Es simultáneamente recurso y vulnerabilidad.</w:t>
      </w:r>
    </w:p>
    <w:p>
      <w:pPr>
        <w:pStyle w:val="Heading2"/>
      </w:pPr>
      <w:r>
        <w:rPr>
          <w:rFonts w:ascii="Calibri" w:hAnsi="Calibri"/>
        </w:rPr>
        <w:t>4.3. El “proletariado externo” convertido en interno</w:t>
      </w:r>
    </w:p>
    <w:p>
      <w:r>
        <w:rPr>
          <w:rFonts w:ascii="Calibri" w:hAnsi="Calibri"/>
        </w:rPr>
        <w:t>La expansión imperial incorpora territorios y poblaciones. Con el tiempo, quienes estaban fuera pasan a formar parte de la estructura social y reclaman derechos, representación y recursos. Yeo denomina este proceso transformación del proletariado externo en interno. La metrópoli cambia como consecuencia de su propio éxito.</w:t>
      </w:r>
    </w:p>
    <w:p>
      <w:r>
        <w:rPr>
          <w:rFonts w:ascii="Calibri" w:hAnsi="Calibri"/>
        </w:rPr>
        <w:t>China evitaría ese destino al no aspirar a gobernar vastos dominios ultramarinos. En el marco de la ponencia, esta es una tesis sobre inclinaciones históricas, no una demostración de que toda actuación exterior china carezca de coerción. El informe se limita a conservar el alcance que Yeo le asigna: explicación de por qué Pekín preferiría la multipolaridad a la hegemonía global.</w:t>
      </w:r>
    </w:p>
    <w:p>
      <w:pPr>
        <w:pStyle w:val="Heading2"/>
      </w:pPr>
      <w:r>
        <w:rPr>
          <w:rFonts w:ascii="Calibri" w:hAnsi="Calibri"/>
        </w:rPr>
        <w:t>4.4. Persistencia de la orientación china</w:t>
      </w:r>
    </w:p>
    <w:p>
      <w:r>
        <w:rPr>
          <w:rFonts w:ascii="Calibri" w:hAnsi="Calibri"/>
        </w:rPr>
        <w:t>Yeo considera duradera esta preferencia debido a la escala y continuidad de la sociedad china: una población enorme comparte literatura, héroes y una historia concebida en largos ascensos y declives. Las generaciones se entienden a sí mismas dentro de ciclos que superan la vida individual.</w:t>
      </w:r>
    </w:p>
    <w:p>
      <w:r>
        <w:rPr>
          <w:rFonts w:ascii="Calibri" w:hAnsi="Calibri"/>
        </w:rPr>
        <w:t>Esa temporalidad reduce la tentación de interpretar cada fluctuación como comienzo absoluto. También refuerza el conservadurismo: una sociedad que conserva registros de milenios dispone de muchas advertencias contra la improvisación, pero puede quedar demasiado vinculada a precedentes.</w:t>
      </w:r>
    </w:p>
    <w:p>
      <w:pPr>
        <w:pStyle w:val="Heading1"/>
      </w:pPr>
      <w:r>
        <w:rPr>
          <w:rFonts w:ascii="Calibri" w:hAnsi="Calibri"/>
        </w:rPr>
        <w:t>5. Escritura, papel y codificación: la infraestructura informativa de China</w:t>
      </w:r>
    </w:p>
    <w:p>
      <w:pPr>
        <w:pStyle w:val="Heading2"/>
      </w:pPr>
      <w:r>
        <w:rPr>
          <w:rFonts w:ascii="Calibri" w:hAnsi="Calibri"/>
        </w:rPr>
        <w:t>5.1. Escritura separada de pronunciación</w:t>
      </w:r>
    </w:p>
    <w:p>
      <w:r>
        <w:rPr>
          <w:rFonts w:ascii="Calibri" w:hAnsi="Calibri"/>
        </w:rPr>
        <w:t>Yeo atribuye parte de la homogeneidad china a una escritura cuyo valor semántico no depende por completo de la pronunciación. Personas que hablan variedades distintas pueden reconocer los mismos caracteres y acceder a textos antiguos. Los niños leen pasajes clásicos en la grafía original aunque la pronunciación haya cambiado.</w:t>
      </w:r>
    </w:p>
    <w:p>
      <w:r>
        <w:rPr>
          <w:rFonts w:ascii="Calibri" w:hAnsi="Calibri"/>
        </w:rPr>
        <w:t>La escritura funciona como tecnología de integración territorial. Permite que una administración, una tradición escolar y un repertorio de héroes atraviesen regiones lingüísticamente diversas. La unidad no procede sólo de coerción política, sino de una memoria legible y compartida.</w:t>
      </w:r>
    </w:p>
    <w:p>
      <w:pPr>
        <w:pStyle w:val="Heading2"/>
      </w:pPr>
      <w:r>
        <w:rPr>
          <w:rFonts w:ascii="Calibri" w:hAnsi="Calibri"/>
        </w:rPr>
        <w:t>5.2. El papel y la aceleración del registro</w:t>
      </w:r>
    </w:p>
    <w:p>
      <w:r>
        <w:rPr>
          <w:rFonts w:ascii="Calibri" w:hAnsi="Calibri"/>
        </w:rPr>
        <w:t>El papel multiplica la velocidad y reduce el coste de registrar información. Yeo contrapone la rapidez del pincel, la tinta y el papel a la lentitud del pergamino y otras técnicas. La importancia no es meramente artística. Cuando el soporte se abarata, aumenta el volumen de historia, contabilidad, correspondencia, cartografía, instrucciones y archivo.</w:t>
      </w:r>
    </w:p>
    <w:p>
      <w:r>
        <w:rPr>
          <w:rFonts w:ascii="Calibri" w:hAnsi="Calibri"/>
        </w:rPr>
        <w:t>La transmisión de la fabricación de papel desde China al mundo islámico aparece como una de las grandes transferencias tecnológicas de la historia. En el razonamiento de Yeo, el florecimiento intelectual islámico y la posterior circulación hacia el Mediterráneo ilustran cómo un soporte material puede transformar civilizaciones enteras.</w:t>
      </w:r>
    </w:p>
    <w:p>
      <w:pPr>
        <w:pStyle w:val="Heading2"/>
      </w:pPr>
      <w:r>
        <w:rPr>
          <w:rFonts w:ascii="Calibri" w:hAnsi="Calibri"/>
        </w:rPr>
        <w:t>5.3. Papel como computación</w:t>
      </w:r>
    </w:p>
    <w:p>
      <w:r>
        <w:rPr>
          <w:rFonts w:ascii="Calibri" w:hAnsi="Calibri"/>
        </w:rPr>
        <w:t>La referencia a Alan Turing permite formular una analogía: con una cantidad indefinida de papel pueden ejecutarse indefinidamente procedimientos algorítmicos. El papel es memoria externa, superficie de cálculo y mecanismo de coordinación.</w:t>
      </w:r>
    </w:p>
    <w:p>
      <w:r>
        <w:rPr>
          <w:rFonts w:ascii="Calibri" w:hAnsi="Calibri"/>
        </w:rPr>
        <w:t>Codificar conocimiento permite organizar irrigación, almacenamiento de grano, impuestos, comunicaciones, obras públicas y control político. La capacidad administrativa no surge únicamente de funcionarios disciplinados; requiere una infraestructura material que registre decisiones y haga comparables acontecimientos separados en el tiempo.</w:t>
      </w:r>
    </w:p>
    <w:p>
      <w:pPr>
        <w:pStyle w:val="Heading2"/>
      </w:pPr>
      <w:r>
        <w:rPr>
          <w:rFonts w:ascii="Calibri" w:hAnsi="Calibri"/>
        </w:rPr>
        <w:t>5.4. Memoria epidemiológica y conservadurismo de datos</w:t>
      </w:r>
    </w:p>
    <w:p>
      <w:r>
        <w:rPr>
          <w:rFonts w:ascii="Calibri" w:hAnsi="Calibri"/>
        </w:rPr>
        <w:t>Yeo menciona los registros chinos de epidemias para ejemplificar la profundidad documental. Una crisis nueva puede interpretarse mediante series históricas muy extensas. La acumulación de datos reduce incertidumbre y fortalece la confianza en la continuidad del Estado.</w:t>
      </w:r>
    </w:p>
    <w:p>
      <w:r>
        <w:rPr>
          <w:rFonts w:ascii="Calibri" w:hAnsi="Calibri"/>
        </w:rPr>
        <w:t>Al mismo tiempo, la herencia documental pesa sobre el presente. Una sociedad “intensiva en datos” dispone de más experiencia, pero también de más razones para desconfiar de transformaciones radicales. De ahí deriva la caracterización de China como conservadora y previsible.</w:t>
      </w:r>
    </w:p>
    <w:p>
      <w:pPr>
        <w:pStyle w:val="Heading1"/>
      </w:pPr>
      <w:r>
        <w:rPr>
          <w:rFonts w:ascii="Calibri" w:hAnsi="Calibri"/>
        </w:rPr>
        <w:t>6. De la codificación de la vida a las revoluciones energéticas</w:t>
      </w:r>
    </w:p>
    <w:p>
      <w:pPr>
        <w:pStyle w:val="Heading2"/>
      </w:pPr>
      <w:r>
        <w:rPr>
          <w:rFonts w:ascii="Calibri" w:hAnsi="Calibri"/>
        </w:rPr>
        <w:t>6.1. Vida, información y entropía</w:t>
      </w:r>
    </w:p>
    <w:p>
      <w:r>
        <w:rPr>
          <w:rFonts w:ascii="Calibri" w:hAnsi="Calibri"/>
        </w:rPr>
        <w:t>Yeo conecta la codificación humana con la biológica. La vida almacena instrucciones en ácidos nucleicos y utiliza combinaciones de nucleótidos para producir aminoácidos y estructuras. Esa codificación mantiene organización frente a la tendencia hacia el desorden.</w:t>
      </w:r>
    </w:p>
    <w:p>
      <w:r>
        <w:rPr>
          <w:rFonts w:ascii="Calibri" w:hAnsi="Calibri"/>
        </w:rPr>
        <w:t>La analogía no pretende reducir sociedad a biología. Le permite destacar una relación: organizar información requiere energía, y utilizar energía eficazmente permite conservar y reproducir estructuras. La historia humana puede leerse como sucesión de métodos para capturar energía y convertirla en orden social.</w:t>
      </w:r>
    </w:p>
    <w:p>
      <w:pPr>
        <w:pStyle w:val="Heading2"/>
      </w:pPr>
      <w:r>
        <w:rPr>
          <w:rFonts w:ascii="Calibri" w:hAnsi="Calibri"/>
        </w:rPr>
        <w:t>6.2. Agricultura y excedente administrativo</w:t>
      </w:r>
    </w:p>
    <w:p>
      <w:r>
        <w:rPr>
          <w:rFonts w:ascii="Calibri" w:hAnsi="Calibri"/>
        </w:rPr>
        <w:t>La primera revolución energética es la agricultura. La gestión de deltas, pantanos, canales, inundaciones, semillas, almacenamiento y distribución convierte energía solar en excedente alimentario. Ese excedente sostiene administradores y soldados, y permite ampliar el territorio.</w:t>
      </w:r>
    </w:p>
    <w:p>
      <w:r>
        <w:rPr>
          <w:rFonts w:ascii="Calibri" w:hAnsi="Calibri"/>
        </w:rPr>
        <w:t>El crecimiento contiene su propio límite. Cuanto más se extiende un sistema, mayores son los costes de comunicación, defensa y control. La expansión se detiene cuando el coste adicional supera la energía y los recursos obtenidos. La misma lógica que Yeo aplica al imperio estadounidense aparece ya en los primeros Estados agrarios.</w:t>
      </w:r>
    </w:p>
    <w:p>
      <w:pPr>
        <w:pStyle w:val="Heading2"/>
      </w:pPr>
      <w:r>
        <w:rPr>
          <w:rFonts w:ascii="Calibri" w:hAnsi="Calibri"/>
        </w:rPr>
        <w:t>6.3. Carbón, vapor y transformación escocesa</w:t>
      </w:r>
    </w:p>
    <w:p>
      <w:r>
        <w:rPr>
          <w:rFonts w:ascii="Calibri" w:hAnsi="Calibri"/>
        </w:rPr>
        <w:t>James Watt simboliza una segunda gran revolución: la conversión de combustible utilizado para calor en potencia mecánica. La máquina de vapor transforma transporte, industria y guerra. El hierro fundido escocés presente en puentes y mercados de Singapur muestra la dimensión física de esa expansión.</w:t>
      </w:r>
    </w:p>
    <w:p>
      <w:r>
        <w:rPr>
          <w:rFonts w:ascii="Calibri" w:hAnsi="Calibri"/>
        </w:rPr>
        <w:t>La ventaja energética se convierte en ventaja logística. Ferrocarriles y barcos de vapor reducen distancias, movilizan mercancías y ejércitos y permiten gobernar espacios mayores. La riqueza de las naciones depende de la energía disponible, pero también de la organización que la convierte en redes, máquinas y disciplina productiva.</w:t>
      </w:r>
    </w:p>
    <w:p>
      <w:pPr>
        <w:pStyle w:val="Heading2"/>
      </w:pPr>
      <w:r>
        <w:rPr>
          <w:rFonts w:ascii="Calibri" w:hAnsi="Calibri"/>
        </w:rPr>
        <w:t>6.4. Petróleo y poder estadounidense</w:t>
      </w:r>
    </w:p>
    <w:p>
      <w:r>
        <w:rPr>
          <w:rFonts w:ascii="Calibri" w:hAnsi="Calibri"/>
        </w:rPr>
        <w:t>El petróleo desplaza el centro de gravedad hacia Estados Unidos. Automóvil, aviación y blindados dependen de combustibles líquidos de alta densidad. Yeo recuerda el pacto de seguridad y petróleo entre Roosevelt y Abdulaziz ibn Saud como símbolo de un orden en el que protección estadounidense, producción saudí y denominación en dólares se reforzaban mutuamente.</w:t>
      </w:r>
    </w:p>
    <w:p>
      <w:r>
        <w:rPr>
          <w:rFonts w:ascii="Calibri" w:hAnsi="Calibri"/>
        </w:rPr>
        <w:t>Ese control se estaría aflojando. La diversificación saudí y la búsqueda de nuevas actividades muestran que incluso los beneficiarios del orden petrolero anticipan otra estructura energética y geopolítica.</w:t>
      </w:r>
    </w:p>
    <w:p>
      <w:pPr>
        <w:pStyle w:val="Heading1"/>
      </w:pPr>
      <w:r>
        <w:rPr>
          <w:rFonts w:ascii="Calibri" w:hAnsi="Calibri"/>
        </w:rPr>
        <w:t>7. Inteligencia artificial, energía distribuida y difusión abierta</w:t>
      </w:r>
    </w:p>
    <w:p>
      <w:pPr>
        <w:pStyle w:val="Heading2"/>
      </w:pPr>
      <w:r>
        <w:rPr>
          <w:rFonts w:ascii="Calibri" w:hAnsi="Calibri"/>
        </w:rPr>
        <w:t>7.1. El límite energético de la IA</w:t>
      </w:r>
    </w:p>
    <w:p>
      <w:r>
        <w:rPr>
          <w:rFonts w:ascii="Calibri" w:hAnsi="Calibri"/>
        </w:rPr>
        <w:t>Para Yeo, la frontera de la IA no depende sólo de algoritmos o investigadores. Calcular, almacenar y procesar información consume energía. Centros de datos, refrigeración, redes y fabricación de chips convierten la electricidad en capacidad cognitiva automatizada.</w:t>
      </w:r>
    </w:p>
    <w:p>
      <w:r>
        <w:rPr>
          <w:rFonts w:ascii="Calibri" w:hAnsi="Calibri"/>
        </w:rPr>
        <w:t>Esta dependencia redefine la geoeconomía. Los territorios capaces de producir energía abundante y barata, construir redes y autorizar infraestructuras pueden transformar potencial algorítmico en industria. La competencia no se decide únicamente en laboratorios, sino en permisos, cables, turbinas, reactores, cadenas de suministro y aceptación social.</w:t>
      </w:r>
    </w:p>
    <w:p>
      <w:pPr>
        <w:pStyle w:val="Heading2"/>
      </w:pPr>
      <w:r>
        <w:rPr>
          <w:rFonts w:ascii="Calibri" w:hAnsi="Calibri"/>
        </w:rPr>
        <w:t>7.2. Ubiquidad relativa de las nuevas fuentes</w:t>
      </w:r>
    </w:p>
    <w:p>
      <w:r>
        <w:rPr>
          <w:rFonts w:ascii="Calibri" w:hAnsi="Calibri"/>
        </w:rPr>
        <w:t>Sol, viento y reactores pequeños estarían disponibles en un abanico geográfico más amplio que los grandes yacimientos de petróleo. Yeo no afirma que todos los países dispongan de idénticas condiciones; destaca que el control energético puede dispersarse y hacerse más difícil de monopolizar.</w:t>
      </w:r>
    </w:p>
    <w:p>
      <w:r>
        <w:rPr>
          <w:rFonts w:ascii="Calibri" w:hAnsi="Calibri"/>
        </w:rPr>
        <w:t>Esa difusión ofrece a Estados medianos y pequeños una oportunidad: combinar energía local, conectividad y modelos abiertos para crear aplicaciones propias. La ventaja pasa de la posesión exclusiva a la capacidad de organización.</w:t>
      </w:r>
    </w:p>
    <w:p>
      <w:pPr>
        <w:pStyle w:val="Heading2"/>
      </w:pPr>
      <w:r>
        <w:rPr>
          <w:rFonts w:ascii="Calibri" w:hAnsi="Calibri"/>
        </w:rPr>
        <w:t>7.3. DeepSeek y la política china de código abierto</w:t>
      </w:r>
    </w:p>
    <w:p>
      <w:r>
        <w:rPr>
          <w:rFonts w:ascii="Calibri" w:hAnsi="Calibri"/>
        </w:rPr>
        <w:t>La aparición de DeepSeek interrumpe, según Yeo, la expectativa de que unas pocas empresas estadounidenses prolonguen su supremacía mediante modelos cerrados. Otros modelos chinos —Qwen, Kimi o MiniMax— siguen una orientación abierta que el conferenciante presenta como política de Estado.</w:t>
      </w:r>
    </w:p>
    <w:p>
      <w:r>
        <w:rPr>
          <w:rFonts w:ascii="Calibri" w:hAnsi="Calibri"/>
        </w:rPr>
        <w:t>El objetivo sería acelerar la difusión a todos los sectores y reducir el poder monopolístico. Una organización puede adaptar un modelo abierto con información confidencial y necesidades específicas. Singapur, el Reino Unido y otros países se benefician sin haber financiado toda la investigación de frontera.</w:t>
      </w:r>
    </w:p>
    <w:p>
      <w:pPr>
        <w:pStyle w:val="Heading2"/>
      </w:pPr>
      <w:r>
        <w:rPr>
          <w:rFonts w:ascii="Calibri" w:hAnsi="Calibri"/>
        </w:rPr>
        <w:t>7.4. De la tecnología a la organización social</w:t>
      </w:r>
    </w:p>
    <w:p>
      <w:r>
        <w:rPr>
          <w:rFonts w:ascii="Calibri" w:hAnsi="Calibri"/>
        </w:rPr>
        <w:t>Si energía y herramientas están disponibles, la diferencia entre países depende de su capacidad para absorberlas. La innovación destruye empleos, redistribuye rentas, debilita élites y genera resistencia. Una sociedad exitosa debe mitigar efectos adversos, evitar reacciones que bloqueen el cambio y construir legitimidad.</w:t>
      </w:r>
    </w:p>
    <w:p>
      <w:r>
        <w:rPr>
          <w:rFonts w:ascii="Calibri" w:hAnsi="Calibri"/>
        </w:rPr>
        <w:t>Yeo sitúa aquí la política, los valores y la estructura social en el centro de la nueva riqueza de las naciones. La IA no elimina el problema moral; lo intensifica.</w:t>
      </w:r>
    </w:p>
    <w:p>
      <w:pPr>
        <w:pStyle w:val="Heading1"/>
      </w:pPr>
      <w:r>
        <w:rPr>
          <w:rFonts w:ascii="Calibri" w:hAnsi="Calibri"/>
        </w:rPr>
        <w:t>8. Adam Smith: mano invisible, mano visible y arte del equilibrio</w:t>
      </w:r>
    </w:p>
    <w:p>
      <w:pPr>
        <w:pStyle w:val="Heading2"/>
      </w:pPr>
      <w:r>
        <w:rPr>
          <w:rFonts w:ascii="Calibri" w:hAnsi="Calibri"/>
        </w:rPr>
        <w:t>8.1. Una lectura doble de Smith</w:t>
      </w:r>
    </w:p>
    <w:p>
      <w:r>
        <w:rPr>
          <w:rFonts w:ascii="Calibri" w:hAnsi="Calibri"/>
        </w:rPr>
        <w:t xml:space="preserve">Yeo recupera la relación entre </w:t>
      </w:r>
      <w:r>
        <w:rPr>
          <w:rFonts w:ascii="Calibri" w:hAnsi="Calibri"/>
          <w:b w:val="0"/>
          <w:i/>
        </w:rPr>
        <w:t>La teoría de los sentimientos morales</w:t>
      </w:r>
      <w:r>
        <w:rPr>
          <w:rFonts w:ascii="Calibri" w:hAnsi="Calibri"/>
        </w:rPr>
        <w:t xml:space="preserve"> y </w:t>
      </w:r>
      <w:r>
        <w:rPr>
          <w:rFonts w:ascii="Calibri" w:hAnsi="Calibri"/>
          <w:b w:val="0"/>
          <w:i/>
        </w:rPr>
        <w:t>La riqueza de las naciones</w:t>
      </w:r>
      <w:r>
        <w:rPr>
          <w:rFonts w:ascii="Calibri" w:hAnsi="Calibri"/>
        </w:rPr>
        <w:t>. La mano invisible del interés individual opera dentro de una mano visible: educación, memoria, leyes, hábitos, ética e instituciones.</w:t>
      </w:r>
    </w:p>
    <w:p>
      <w:r>
        <w:rPr>
          <w:rFonts w:ascii="Calibri" w:hAnsi="Calibri"/>
        </w:rPr>
        <w:t>El mercado no crea por sí solo confianza, justicia o cohesión. Necesita reglas y disposiciones morales que hagan posible el intercambio. A su vez, esas reglas no deben congelar la sociedad.</w:t>
      </w:r>
    </w:p>
    <w:p>
      <w:pPr>
        <w:pStyle w:val="Heading2"/>
      </w:pPr>
      <w:r>
        <w:rPr>
          <w:rFonts w:ascii="Calibri" w:hAnsi="Calibri"/>
        </w:rPr>
        <w:t>8.2. La rigidez de la mano visible</w:t>
      </w:r>
    </w:p>
    <w:p>
      <w:r>
        <w:rPr>
          <w:rFonts w:ascii="Calibri" w:hAnsi="Calibri"/>
        </w:rPr>
        <w:t>Cuando la mano visible crece y se vuelve rígida, restringe la iniciativa. Procedimientos concebidos para proteger derechos o corregir abusos pueden acumularse hasta impedir infraestructura, innovación y adaptación. Yeo denomina “mano muerta” a la institución que sobrevive a su utilidad y bloquea el cambio.</w:t>
      </w:r>
    </w:p>
    <w:p>
      <w:r>
        <w:rPr>
          <w:rFonts w:ascii="Calibri" w:hAnsi="Calibri"/>
        </w:rPr>
        <w:t>El problema contrario es una intervención demasiado débil, incapaz de contener monopolios, desigualdad o daño social. No existe una proporción válida para todas las épocas.</w:t>
      </w:r>
    </w:p>
    <w:p>
      <w:pPr>
        <w:pStyle w:val="Heading2"/>
      </w:pPr>
      <w:r>
        <w:rPr>
          <w:rFonts w:ascii="Calibri" w:hAnsi="Calibri"/>
        </w:rPr>
        <w:t>8.3. El pájaro en la mano</w:t>
      </w:r>
    </w:p>
    <w:p>
      <w:r>
        <w:rPr>
          <w:rFonts w:ascii="Calibri" w:hAnsi="Calibri"/>
        </w:rPr>
        <w:t>La imagen china del pájaro resume la gestión adaptativa. Apretar demasiado lo mata; sujetarlo débilmente permite que escape. Además, el pájaro reacciona, por lo que la presión debe cambiar constantemente.</w:t>
      </w:r>
    </w:p>
    <w:p>
      <w:r>
        <w:rPr>
          <w:rFonts w:ascii="Calibri" w:hAnsi="Calibri"/>
        </w:rPr>
        <w:t>La política económica no es ingeniería sobre un objeto pasivo. Las personas anticipan, resisten, cooperan y modifican su conducta. Cada acción visible produce consecuencias invisibles. Ninguna IA o manual puede reemplazar completamente juicio, modestia, conexión social y voluntad.</w:t>
      </w:r>
    </w:p>
    <w:p>
      <w:pPr>
        <w:pStyle w:val="Heading2"/>
      </w:pPr>
      <w:r>
        <w:rPr>
          <w:rFonts w:ascii="Calibri" w:hAnsi="Calibri"/>
        </w:rPr>
        <w:t>8.4. La moral como tecnología de coordinación</w:t>
      </w:r>
    </w:p>
    <w:p>
      <w:r>
        <w:rPr>
          <w:rFonts w:ascii="Calibri" w:hAnsi="Calibri"/>
        </w:rPr>
        <w:t>En los animales sociales ciertas pautas están fijadas biológicamente. En los seres humanos, la cultura puede reprogramarlas. Leyes, religiones, educación y costumbres organizan cooperación a gran escala.</w:t>
      </w:r>
    </w:p>
    <w:p>
      <w:r>
        <w:rPr>
          <w:rFonts w:ascii="Calibri" w:hAnsi="Calibri"/>
        </w:rPr>
        <w:t>La nueva Ilustración deberá estudiar esta capacidad de reprogramación moral. La pregunta no es sólo qué puede hacer la IA, sino qué clase de sociedad quiere utilizarla, con qué límites y a favor de quién.</w:t>
      </w:r>
    </w:p>
    <w:p>
      <w:pPr>
        <w:pStyle w:val="Heading1"/>
        <w:pageBreakBefore/>
      </w:pPr>
      <w:r>
        <w:rPr>
          <w:rFonts w:ascii="Calibri" w:hAnsi="Calibri"/>
        </w:rPr>
        <w:t>PARTE II. EL COLOQUIO: CONTRASTE Y AMPLIACIÓN DE LAS TESIS</w:t>
      </w:r>
    </w:p>
    <w:p>
      <w:r>
        <w:rPr>
          <w:rFonts w:ascii="Calibri" w:hAnsi="Calibri"/>
        </w:rPr>
        <w:t>El intercambio posterior no es una coda menor. Durante dieciocho minutos, el moderador y tres participantes someten el marco de Yeo a cuatro pruebas: la posición de las potencias que no son Estados Unidos ni China; el riesgo de que Pekín sí adopte una conducta expansionista; la solidez real de la apuesta tecnológica del Golfo; y la compatibilidad entre inteligencia artificial, homogeneidad cultural y monopolio político chino. Las respuestas prolongan la ponencia, pero también revelan sus límites y desplazamientos argumentativos.</w:t>
      </w:r>
    </w:p>
    <w:p>
      <w:pPr>
        <w:pStyle w:val="Heading1"/>
      </w:pPr>
      <w:r>
        <w:rPr>
          <w:rFonts w:ascii="Calibri" w:hAnsi="Calibri"/>
        </w:rPr>
        <w:t>9. El moderador: pluralidad civilizatoria y geografía comparada de la adaptación</w:t>
      </w:r>
    </w:p>
    <w:p>
      <w:pPr>
        <w:pStyle w:val="Heading2"/>
      </w:pPr>
      <w:r>
        <w:rPr>
          <w:rFonts w:ascii="Calibri" w:hAnsi="Calibri"/>
        </w:rPr>
        <w:t>9.1. Adam Smith frente al liberalismo internacional contemporáneo</w:t>
      </w:r>
    </w:p>
    <w:p>
      <w:r>
        <w:rPr>
          <w:rFonts w:ascii="Calibri" w:hAnsi="Calibri"/>
        </w:rPr>
        <w:t>El moderador comienza distinguiendo dos tradiciones que con frecuencia se confunden. La apertura comercial asociada a Adam Smith no equivale necesariamente al liberalismo internacional reciente, entendido como difusión universal de una misma cultura, unos valores y un sistema político. En la época de Smith, sostiene, historia y geografía conservaban un peso decisivo: China podía ser contemplada como una civilización de milenios cuya memoria modelaba la conducta individual y colectiva.</w:t>
      </w:r>
    </w:p>
    <w:p>
      <w:r>
        <w:rPr>
          <w:rFonts w:ascii="Calibri" w:hAnsi="Calibri"/>
        </w:rPr>
        <w:t>La observación no pertenece a Yeo, pero prepara la pregunta y refuerza una intuición compatible con su ponencia. El comercio puede abrir sociedades y generar beneficios sin obligarlas a converger en una única forma de organización. La Ilustración escocesa se nutrió de intercambios europeos -Smith estudió en Francia y aprendió de pensadores franceses-, pero conservó una atención comparativa hacia civilizaciones distintas. El problema contemporáneo sería mantener apertura e intercambio sin convertirlos en una teoría de uniformidad histórica.</w:t>
      </w:r>
    </w:p>
    <w:p>
      <w:pPr>
        <w:pStyle w:val="Heading2"/>
      </w:pPr>
      <w:r>
        <w:rPr>
          <w:rFonts w:ascii="Calibri" w:hAnsi="Calibri"/>
        </w:rPr>
        <w:t>9.2. La pregunta: ¿qué lugar queda para los demás?</w:t>
      </w:r>
    </w:p>
    <w:p>
      <w:r>
        <w:rPr>
          <w:rFonts w:ascii="Calibri" w:hAnsi="Calibri"/>
        </w:rPr>
        <w:t>El moderador describe Estados Unidos y China como sociedades dinámicas, ambiciosas y dotadas de propósito. Estados Unidos posee petróleo, gas y una economía continental; China combina escala, fronteras históricas y muros materiales y digitales. A partir de esta comparación pregunta qué posición queda para Europa, Singapur, Oriente Medio, India y las llamadas potencias intermedias. La cuestión amplía el marco binario: aunque Washington y Pekín puedan sostenerse, la transición se decidirá también por la capacidad adaptativa de los demás.</w:t>
      </w:r>
    </w:p>
    <w:p>
      <w:pPr>
        <w:pStyle w:val="Heading2"/>
      </w:pPr>
      <w:r>
        <w:rPr>
          <w:rFonts w:ascii="Calibri" w:hAnsi="Calibri"/>
        </w:rPr>
        <w:t>9.3. Estados Unidos: abundancia energética y bloqueo institucional</w:t>
      </w:r>
    </w:p>
    <w:p>
      <w:r>
        <w:rPr>
          <w:rFonts w:ascii="Calibri" w:hAnsi="Calibri"/>
        </w:rPr>
        <w:t>Yeo comienza rechazando la seguridad implícita en la pregunta: no está convencido de que Estados Unidos vaya a estar bien. Compara el entusiasmo cultural del bicentenario de 1976 con la celebración más apagada del 250 aniversario y lee esa diferencia como signo de declive relativo y lucha interna. No afirma que el país esté condenado; insiste en que nadie conoce el resultado de su esfuerzo por reformarse.</w:t>
      </w:r>
    </w:p>
    <w:p>
      <w:r>
        <w:rPr>
          <w:rFonts w:ascii="Calibri" w:hAnsi="Calibri"/>
        </w:rPr>
        <w:t>Estados Unidos posee energía, capital, universidades y empresas, pero su "mano visible" se habría rigidizado. Yeo utiliza el ejemplo atribuido a Elon Musk: la capacidad empresarial para resolver problemas técnicos no se traduce en competencia política, y los múltiples niveles de autorización dificultan construir centros de datos e infraestructura. La abundancia material, por tanto, no garantiza capacidad de ejecución. Una sociedad puede disponer de recursos y perder ventaja si sus procedimientos ya no permiten movilizarlos con rapidez.</w:t>
      </w:r>
    </w:p>
    <w:p>
      <w:pPr>
        <w:pStyle w:val="Heading2"/>
      </w:pPr>
      <w:r>
        <w:rPr>
          <w:rFonts w:ascii="Calibri" w:hAnsi="Calibri"/>
        </w:rPr>
        <w:t>9.4. China: escala eléctrica, infraestructura y flexibilidad</w:t>
      </w:r>
    </w:p>
    <w:p>
      <w:r>
        <w:rPr>
          <w:rFonts w:ascii="Calibri" w:hAnsi="Calibri"/>
        </w:rPr>
        <w:t>China produce, según Yeo, más electricidad que Estados Unidos y la Unión Europea juntos. Cita los grandes aerogeneradores del estrecho de Taiwán, la posibilidad de producir hidrógeno y el procesamiento de datos del Sudeste Asiático mediante cables de fibra óptica. Los ejemplos componen una estrategia integrada: energía barata, infraestructura industrial, conectividad regional y capacidad de planificación.</w:t>
      </w:r>
    </w:p>
    <w:p>
      <w:r>
        <w:rPr>
          <w:rFonts w:ascii="Calibri" w:hAnsi="Calibri"/>
        </w:rPr>
        <w:t>El moderador subraya que la economía china no es simplemente vertical. Bajo la dirección estatal existen espacios de libertad empresarial y experimentación. Yeo coincide en que la mano visible china continúa siendo flexible en algunas áreas, aunque añade una reserva fundamental: no lo será para siempre. Toda institución envejece; una fórmula eficaz durante una etapa puede transformarse en obstáculo cuando las condiciones cambian.</w:t>
      </w:r>
    </w:p>
    <w:p>
      <w:pPr>
        <w:pStyle w:val="Heading2"/>
      </w:pPr>
      <w:r>
        <w:rPr>
          <w:rFonts w:ascii="Calibri" w:hAnsi="Calibri"/>
        </w:rPr>
        <w:t>9.5. Europa, India, Brasil y África</w:t>
      </w:r>
    </w:p>
    <w:p>
      <w:r>
        <w:rPr>
          <w:rFonts w:ascii="Calibri" w:hAnsi="Calibri"/>
        </w:rPr>
        <w:t>Europa aparece en la respuesta como el caso más problemático. El alto coste energético limitaría su competitividad industrial y el desarrollo de la IA. Yeo atribuye parte de esa situación a decisiones propias respecto de Rusia, Oriente Medio y el Norte de África, fuentes próximas de energía de las que Europa se habría distanciado mientras compra suministros estadounidenses más caros. Es una interpretación del conferenciante que une política exterior, energía y disfunción institucional.</w:t>
      </w:r>
    </w:p>
    <w:p>
      <w:r>
        <w:rPr>
          <w:rFonts w:ascii="Calibri" w:hAnsi="Calibri"/>
        </w:rPr>
        <w:t>India sigue una trayectoria diferente por su heterogeneidad social e historia. No posee la misma dotación energética, pero busca las fuentes más baratas y apuesta a gran escala por la energía solar. Su población y capital humano permitirían que se convirtiera en potencia de IA. Brasil podría adquirir relevancia por su escala territorial, recursos y población. África se encontraría en una fase anterior, con la posibilidad de aprovechar tecnologías desarrolladas fuera.</w:t>
      </w:r>
    </w:p>
    <w:p>
      <w:r>
        <w:rPr>
          <w:rFonts w:ascii="Calibri" w:hAnsi="Calibri"/>
        </w:rPr>
        <w:t>La conclusión comparativa no establece una clasificación definitiva. Ninguna regla ni estructura institucional sirve para todas las épocas. Las instituciones funcionan, envejecen y se vuelven difíciles de reconstruir. La ventaja pertenece temporalmente a las sociedades capaces de reajustar la relación entre energía, tecnología, regulación y organización social.</w:t>
      </w:r>
    </w:p>
    <w:p>
      <w:pPr>
        <w:pStyle w:val="Heading1"/>
      </w:pPr>
      <w:r>
        <w:rPr>
          <w:rFonts w:ascii="Calibri" w:hAnsi="Calibri"/>
        </w:rPr>
        <w:t>10. Primera pregunta del público: expansionismo, democracia y bienestar</w:t>
      </w:r>
    </w:p>
    <w:p>
      <w:pPr>
        <w:pStyle w:val="Heading2"/>
      </w:pPr>
      <w:r>
        <w:rPr>
          <w:rFonts w:ascii="Calibri" w:hAnsi="Calibri"/>
        </w:rPr>
        <w:t>10.1. La objeción del "seguro" frente a China</w:t>
      </w:r>
    </w:p>
    <w:p>
      <w:r>
        <w:rPr>
          <w:rFonts w:ascii="Calibri" w:hAnsi="Calibri"/>
        </w:rPr>
        <w:t>El participante acepta provisionalmente la tesis de que China, por su homogeneidad y tradición de vivir tras muros, no desea una expansión hegemónica. Sin embargo, introduce una objeción prudencial: si las democracias valoran su supervivencia, deberían mantener un seguro por si esa interpretación fuera equivocada. No pregunta sólo por las intenciones declaradas de Pekín, sino por la probabilidad de error y por las consecuencias de confiar demasiado en una lectura cultural.</w:t>
      </w:r>
    </w:p>
    <w:p>
      <w:r>
        <w:rPr>
          <w:rFonts w:ascii="Calibri" w:hAnsi="Calibri"/>
        </w:rPr>
        <w:t>La pregunta afecta al centro de la exposición. La historia china puede explicar preferencias, pero no garantiza comportamientos futuros. Un sistema internacional no puede organizar su seguridad únicamente sobre la interpretación benigna de las motivaciones de otra potencia.</w:t>
      </w:r>
    </w:p>
    <w:p>
      <w:pPr>
        <w:pStyle w:val="Heading2"/>
      </w:pPr>
      <w:r>
        <w:rPr>
          <w:rFonts w:ascii="Calibri" w:hAnsi="Calibri"/>
        </w:rPr>
        <w:t>10.2. El desplazamiento de la respuesta</w:t>
      </w:r>
    </w:p>
    <w:p>
      <w:r>
        <w:rPr>
          <w:rFonts w:ascii="Calibri" w:hAnsi="Calibri"/>
        </w:rPr>
        <w:t>Yeo no asigna una probabilidad al expansionismo chino ni define la póliza estratégica que deberían mantener las democracias. Desplaza la discusión hacia una cuestión anterior: qué significa democracia. Recupera su sentido como gobierno del pueblo y propone evaluar los sistemas por la condición efectiva de la población, no sólo por sus procedimientos electorales o por la prosperidad de sus élites.</w:t>
      </w:r>
    </w:p>
    <w:p>
      <w:r>
        <w:rPr>
          <w:rFonts w:ascii="Calibri" w:hAnsi="Calibri"/>
        </w:rPr>
        <w:t>Este movimiento cambia el criterio de comparación. En lugar de aceptar sin examen el contraste democracia-autocracia, Yeo pregunta qué régimen responde mejor a las necesidades de sus ciudadanos. El desplazamiento no invalida la pregunta original, pero sí muestra que el conferenciante considera insuficiente el lenguaje institucional con el que fue formulada.</w:t>
      </w:r>
    </w:p>
    <w:p>
      <w:pPr>
        <w:pStyle w:val="Heading2"/>
      </w:pPr>
      <w:r>
        <w:rPr>
          <w:rFonts w:ascii="Calibri" w:hAnsi="Calibri"/>
        </w:rPr>
        <w:t>10.3. El criterio del diez por ciento inferior</w:t>
      </w:r>
    </w:p>
    <w:p>
      <w:r>
        <w:rPr>
          <w:rFonts w:ascii="Calibri" w:hAnsi="Calibri"/>
        </w:rPr>
        <w:t>Yeo sostiene que una sociedad no debe juzgarse por el grosor de su clase de multimillonarios, sino por las condiciones de vida de su diez por ciento inferior. Afirma que el segmento más desfavorecido de China vive mejor que el equivalente de otros grandes países. La afirmación introduce bienestar material, seguridad y capacidad estatal como dimensiones de legitimidad.</w:t>
      </w:r>
    </w:p>
    <w:p>
      <w:r>
        <w:rPr>
          <w:rFonts w:ascii="Calibri" w:hAnsi="Calibri"/>
        </w:rPr>
        <w:t>Su argumento no ofrece una demostración estadística; formula un criterio normativo y una comparación general. Su importancia reside en separar democracia como procedimiento de democracia como atención sustantiva al pueblo. Para Yeo, la legitimidad también depende de resultados, movilidad, provisión de bienes y sensibilidad hacia el malestar social.</w:t>
      </w:r>
    </w:p>
    <w:p>
      <w:pPr>
        <w:pStyle w:val="Heading2"/>
      </w:pPr>
      <w:r>
        <w:rPr>
          <w:rFonts w:ascii="Calibri" w:hAnsi="Calibri"/>
        </w:rPr>
        <w:t>10.4. La cuestión que permanece abierta</w:t>
      </w:r>
    </w:p>
    <w:p>
      <w:r>
        <w:rPr>
          <w:rFonts w:ascii="Calibri" w:hAnsi="Calibri"/>
        </w:rPr>
        <w:t>La respuesta deja sin resolver el problema estratégico planteado: incluso un Estado eficaz y socialmente sensible puede ejercer presión exterior. Tampoco determina cuánto pluralismo, alternancia o libertad política exige el gobierno "del pueblo". El valor del intercambio está precisamente en mostrar una tensión no cerrada entre dos lenguajes: el de la prudencia internacional frente a una potencia y el de la legitimidad interna medida por resultados sociales.</w:t>
      </w:r>
    </w:p>
    <w:p>
      <w:pPr>
        <w:pStyle w:val="Heading1"/>
      </w:pPr>
      <w:r>
        <w:rPr>
          <w:rFonts w:ascii="Calibri" w:hAnsi="Calibri"/>
        </w:rPr>
        <w:t>11. Segunda pregunta del público: el Golfo y el desarrollo tecnológico orgánico</w:t>
      </w:r>
    </w:p>
    <w:p>
      <w:pPr>
        <w:pStyle w:val="Heading2"/>
      </w:pPr>
      <w:r>
        <w:rPr>
          <w:rFonts w:ascii="Calibri" w:hAnsi="Calibri"/>
        </w:rPr>
        <w:t>11.1. Fondos soberanos, energía e infraestructura de IA</w:t>
      </w:r>
    </w:p>
    <w:p>
      <w:r>
        <w:rPr>
          <w:rFonts w:ascii="Calibri" w:hAnsi="Calibri"/>
        </w:rPr>
        <w:t>La segunda pregunta parte del argumento energético de la ponencia. Los Estados del Golfo disponen de hidrocarburos, capital y fondos soberanos que están invirtiendo masivamente en centros de datos e infraestructura de inteligencia artificial. El participante pregunta si esa concentración de recursos puede generar una nueva diversificación y modificar la posición futura de la región.</w:t>
      </w:r>
    </w:p>
    <w:p>
      <w:r>
        <w:rPr>
          <w:rFonts w:ascii="Calibri" w:hAnsi="Calibri"/>
        </w:rPr>
        <w:t>La pregunta distingue entre riqueza petrolera y capacidad tecnológica. No basta con financiar equipos: la cuestión es si la inversión puede producir conocimiento, instituciones y una economía menos dependiente del recurso original.</w:t>
      </w:r>
    </w:p>
    <w:p>
      <w:pPr>
        <w:pStyle w:val="Heading2"/>
      </w:pPr>
      <w:r>
        <w:rPr>
          <w:rFonts w:ascii="Calibri" w:hAnsi="Calibri"/>
        </w:rPr>
        <w:t>11.2. La crítica de Yeo: modernización no orgánica</w:t>
      </w:r>
    </w:p>
    <w:p>
      <w:r>
        <w:rPr>
          <w:rFonts w:ascii="Calibri" w:hAnsi="Calibri"/>
        </w:rPr>
        <w:t>Yeo responde que el poder político y financiero está muy concentrado y que el desarrollo tecnológico depende de grandes contingentes de extranjeros. Abu Dabi y Dubái ilustran una modernización impresionante, pero vulnerable: si los especialistas se marchan, el sistema necesita atraerlos de nuevo. La infraestructura puede pertenecer al país mientras competencias decisivas permanecen fuera de la sociedad local.</w:t>
      </w:r>
    </w:p>
    <w:p>
      <w:r>
        <w:rPr>
          <w:rFonts w:ascii="Calibri" w:hAnsi="Calibri"/>
        </w:rPr>
        <w:t>Con "desarrollo orgánico" Yeo designa una capacidad arraigada en población, educación, cultura e instituciones propias. No rechaza la inversión del Golfo ni niega sus resultados; señala la diferencia entre comprar capacidad y reproducirla socialmente. La sostenibilidad exige formar comunidades capaces de adaptar, mantener y transformar la tecnología desde dentro.</w:t>
      </w:r>
    </w:p>
    <w:p>
      <w:pPr>
        <w:pStyle w:val="Heading2"/>
      </w:pPr>
      <w:r>
        <w:rPr>
          <w:rFonts w:ascii="Calibri" w:hAnsi="Calibri"/>
        </w:rPr>
        <w:t>11.3. La IA incorpora valores</w:t>
      </w:r>
    </w:p>
    <w:p>
      <w:r>
        <w:rPr>
          <w:rFonts w:ascii="Calibri" w:hAnsi="Calibri"/>
        </w:rPr>
        <w:t>Yeo añade una dimensión cultural. Los modelos de IA contienen valores en sus datos, pesos, límites y respuestas. Un sistema utilizado en un entorno islámico no puede tratar del mismo modo determinadas solicitudes sobre el profeta que un modelo occidental; del mismo modo, existen preguntas limitadas en Estados Unidos o China. La tecnología no llega vacía: transporta supuestos acerca de lo permitido, lo verdadero y lo aceptable.</w:t>
      </w:r>
    </w:p>
    <w:p>
      <w:r>
        <w:rPr>
          <w:rFonts w:ascii="Calibri" w:hAnsi="Calibri"/>
        </w:rPr>
        <w:t>Por ello, apropiarse de la IA significa también reconfigurarla. El mundo islámico deberá utilizar conocimientos producidos fuera, como hizo históricamente con el papel, pero elaborar una vía compatible con sus propios debates morales y políticos.</w:t>
      </w:r>
    </w:p>
    <w:p>
      <w:pPr>
        <w:pStyle w:val="Heading2"/>
      </w:pPr>
      <w:r>
        <w:rPr>
          <w:rFonts w:ascii="Calibri" w:hAnsi="Calibri"/>
        </w:rPr>
        <w:t>11.4. Egipto, Turquía e Irán</w:t>
      </w:r>
    </w:p>
    <w:p>
      <w:r>
        <w:rPr>
          <w:rFonts w:ascii="Calibri" w:hAnsi="Calibri"/>
        </w:rPr>
        <w:t>Yeo dirige la mirada hacia los tres grandes centros demográficos del mundo islámico: Egipto, Turquía e Irán. Cada uno atraviesa un drama distinto y ninguno ofrece todavía una solución general. La futura Ilustración islámica no consistiría en importar sin modificación un modelo exterior, sino en convertir una herramienta universal en desarrollo culturalmente arraigado. La respuesta transforma así una pregunta sobre fondos soberanos en otra más profunda sobre sujeto histórico, educación y autonomía civilizatoria.</w:t>
      </w:r>
    </w:p>
    <w:p>
      <w:pPr>
        <w:pStyle w:val="Heading1"/>
      </w:pPr>
      <w:r>
        <w:rPr>
          <w:rFonts w:ascii="Calibri" w:hAnsi="Calibri"/>
        </w:rPr>
        <w:t>12. Tercera pregunta del público: IA, homogeneidad y control político chino</w:t>
      </w:r>
    </w:p>
    <w:p>
      <w:pPr>
        <w:pStyle w:val="Heading2"/>
      </w:pPr>
      <w:r>
        <w:rPr>
          <w:rFonts w:ascii="Calibri" w:hAnsi="Calibri"/>
        </w:rPr>
        <w:t>12.1. La contradicción planteada</w:t>
      </w:r>
    </w:p>
    <w:p>
      <w:r>
        <w:rPr>
          <w:rFonts w:ascii="Calibri" w:hAnsi="Calibri"/>
        </w:rPr>
        <w:t>El tercer participante enlaza la invención del papel, la Ilustración y la inteligencia artificial. El papel difundió ideas y la Ilustración erosionó relaciones tradicionales de poder; la IA podría producir un efecto comparable al debilitar monopolios de información y conocimiento. ¿Cómo podrá China promover esa tecnología y, al mismo tiempo, preservar homogeneidad y control político?</w:t>
      </w:r>
    </w:p>
    <w:p>
      <w:r>
        <w:rPr>
          <w:rFonts w:ascii="Calibri" w:hAnsi="Calibri"/>
        </w:rPr>
        <w:t>La pregunta es especialmente incisiva porque utiliza la propia lógica histórica de Yeo. Si nuevas tecnologías de codificación amplían la capacidad social, también pueden emancipar actores y alterar jerarquías. La herramienta que fortalece la economía puede amenazar el dispositivo político que impulsa su difusión.</w:t>
      </w:r>
    </w:p>
    <w:p>
      <w:pPr>
        <w:pStyle w:val="Heading2"/>
      </w:pPr>
      <w:r>
        <w:rPr>
          <w:rFonts w:ascii="Calibri" w:hAnsi="Calibri"/>
        </w:rPr>
        <w:t>12.2. Una admisión de incertidumbre</w:t>
      </w:r>
    </w:p>
    <w:p>
      <w:r>
        <w:rPr>
          <w:rFonts w:ascii="Calibri" w:hAnsi="Calibri"/>
        </w:rPr>
        <w:t>Yeo califica la pregunta de excelente y responde que no lo sabe. Añade que las propias autoridades chinas tampoco conocen la respuesta, aunque comprenden que afrontan un desafío enorme. Esta admisión marca el límite más explícito de toda la conferencia: la continuidad china explicada por escritura, papel, memoria y homogeneidad no permite predecir sin más el efecto político de la IA.</w:t>
      </w:r>
    </w:p>
    <w:p>
      <w:r>
        <w:rPr>
          <w:rFonts w:ascii="Calibri" w:hAnsi="Calibri"/>
        </w:rPr>
        <w:t>En lugar de ofrecer una solución cerrada, Yeo describe el método con el que el Partido intenta prepararse. El valor de la respuesta no reside en pronosticar, sino en mostrar cómo una organización observa, experimenta y eleva anticipadamente un problema tecnológico al nivel político.</w:t>
      </w:r>
    </w:p>
    <w:p>
      <w:pPr>
        <w:pStyle w:val="Heading2"/>
      </w:pPr>
      <w:r>
        <w:rPr>
          <w:rFonts w:ascii="Calibri" w:hAnsi="Calibri"/>
        </w:rPr>
        <w:t>12.3. Partido, departamentos y nueva atención al trabajo social</w:t>
      </w:r>
    </w:p>
    <w:p>
      <w:r>
        <w:rPr>
          <w:rFonts w:ascii="Calibri" w:hAnsi="Calibri"/>
        </w:rPr>
        <w:t>Yeo recuerda que el Partido Comunista monopoliza el poder y ejerce autoridad en todas las direcciones. Enumera la Comisión Militar Central, que controla el Ejército Popular de Liberación; el Departamento de Organización, que gestiona cuadros y talento; el aparato de comunicación o propaganda, que interviene sobre medios, internet, museos y cines; y las estructuras de relaciones internacionales.</w:t>
      </w:r>
    </w:p>
    <w:p>
      <w:r>
        <w:rPr>
          <w:rFonts w:ascii="Calibri" w:hAnsi="Calibri"/>
        </w:rPr>
        <w:t>A esa arquitectura se añadió un Departamento de Trabajo Social. Para Yeo, su creación revela que el Partido anticipa tensiones derivadas de nuevas tecnologías, profesiones, formas de empleo y organización social. Los asuntos sociales no quedan sólo en manos de ministerios administrativos: reciben atención política directa porque pueden afectar a la legitimidad y a la estabilidad.</w:t>
      </w:r>
    </w:p>
    <w:p>
      <w:pPr>
        <w:pStyle w:val="Heading2"/>
      </w:pPr>
      <w:r>
        <w:rPr>
          <w:rFonts w:ascii="Calibri" w:hAnsi="Calibri"/>
        </w:rPr>
        <w:t>12.4. Centralización nacional y sensibilidad local</w:t>
      </w:r>
    </w:p>
    <w:p>
      <w:r>
        <w:rPr>
          <w:rFonts w:ascii="Calibri" w:hAnsi="Calibri"/>
        </w:rPr>
        <w:t>El episodio de la carrera de botes de dragón en su aldea ancestral ilustra el método. Las autoridades procuran que participen antiguos secretarios del Partido porque quienes dirigieron etapas anteriores pueden resistir el cambio si se sienten desplazados. Transformar una comunidad requiere incorporar memorias, intereses y autoridades previas.</w:t>
      </w:r>
    </w:p>
    <w:p>
      <w:r>
        <w:rPr>
          <w:rFonts w:ascii="Calibri" w:hAnsi="Calibri"/>
        </w:rPr>
        <w:t>Yeo añade su experiencia al intentar recuperar la casa de su abuelo. La operación exige consentimiento y negociación con quienes viven allí. A partir de ello sostiene que, aunque el sistema sea autoritario en la cúspide, la vida local no funciona exclusivamente mediante órdenes. Existe una hipersensibilidad hacia conflictos sociales y una búsqueda de consentimiento práctico. Esta descripción es la interpretación de Yeo sobre el funcionamiento de base, no una negación general de la coerción política.</w:t>
      </w:r>
    </w:p>
    <w:p>
      <w:pPr>
        <w:pStyle w:val="Heading2"/>
      </w:pPr>
      <w:r>
        <w:rPr>
          <w:rFonts w:ascii="Calibri" w:hAnsi="Calibri"/>
        </w:rPr>
        <w:t>12.5. El precedente de la apertura de internet</w:t>
      </w:r>
    </w:p>
    <w:p>
      <w:r>
        <w:rPr>
          <w:rFonts w:ascii="Calibri" w:hAnsi="Calibri"/>
        </w:rPr>
        <w:t>Cuando China preparaba su política de internet, envió a Singapur una delegación ministerial que trabajó durante una semana con intensidad extraordinaria. Yeo, entonces responsable de información, les explicó que era posible controlar portales y grandes sitios sin cerrar por completo la red. Meses después China formuló su política.</w:t>
      </w:r>
    </w:p>
    <w:p>
      <w:r>
        <w:rPr>
          <w:rFonts w:ascii="Calibri" w:hAnsi="Calibri"/>
        </w:rPr>
        <w:t>Yeo vincula aquella apertura regulada con el surgimiento de Huawei, Alibaba y otras compañías. Su expectativa es que China emplee ante la IA un procedimiento semejante: permitir desarrollo y experimentación, observar efectos sociales, controlar puntos estratégicos y reajustar continuamente la relación entre mano visible e invisible. La analogía no garantiza que el equilibrio funcione; muestra el repertorio institucional al que Pekín recurre cuando tecnología y control entran en tensión.</w:t>
      </w:r>
    </w:p>
    <w:p>
      <w:pPr>
        <w:pStyle w:val="Heading1"/>
      </w:pPr>
      <w:r>
        <w:rPr>
          <w:rFonts w:ascii="Calibri" w:hAnsi="Calibri"/>
        </w:rPr>
        <w:t>13. Qué añade el coloquio a la ponencia</w:t>
      </w:r>
    </w:p>
    <w:p>
      <w:pPr>
        <w:pStyle w:val="Heading2"/>
      </w:pPr>
      <w:r>
        <w:rPr>
          <w:rFonts w:ascii="Calibri" w:hAnsi="Calibri"/>
        </w:rPr>
        <w:t>13.1. De las grandes tendencias a la capacidad de ejecución</w:t>
      </w:r>
    </w:p>
    <w:p>
      <w:r>
        <w:rPr>
          <w:rFonts w:ascii="Calibri" w:hAnsi="Calibri"/>
        </w:rPr>
        <w:t>La ponencia presenta energía, información e instituciones como fundamentos del poder. El coloquio muestra cómo se combinan en casos concretos. Estados Unidos puede poseer energía y tecnología, pero encontrar bloqueos regulatorios; China puede ejecutar infraestructura con rapidez, aunque su flexibilidad envejezca; Europa puede disponer de ciencia y capital, pero pagar una energía que debilita su base industrial; el Golfo puede financiar IA sin arraigar todavía su reproducción social.</w:t>
      </w:r>
    </w:p>
    <w:p>
      <w:pPr>
        <w:pStyle w:val="Heading2"/>
      </w:pPr>
      <w:r>
        <w:rPr>
          <w:rFonts w:ascii="Calibri" w:hAnsi="Calibri"/>
        </w:rPr>
        <w:t>13.2. El límite de la explicación civilizatoria de China</w:t>
      </w:r>
    </w:p>
    <w:p>
      <w:r>
        <w:rPr>
          <w:rFonts w:ascii="Calibri" w:hAnsi="Calibri"/>
        </w:rPr>
        <w:t>La historia de los muros y la homogeneidad sustenta la tesis de que China no desea una hegemonía universal. Las preguntas revelan dos límites. Esa interpretación no elimina la necesidad de prudencia estratégica y tampoco explica cómo reaccionará el Partido si la IA erosiona sus mecanismos de control. Yeo responde a la primera objeción cambiando el criterio de democracia y a la segunda reconociendo incertidumbre.</w:t>
      </w:r>
    </w:p>
    <w:p>
      <w:pPr>
        <w:pStyle w:val="Heading2"/>
      </w:pPr>
      <w:r>
        <w:rPr>
          <w:rFonts w:ascii="Calibri" w:hAnsi="Calibri"/>
        </w:rPr>
        <w:t>13.3. Legitimidad, bienestar y arraigo</w:t>
      </w:r>
    </w:p>
    <w:p>
      <w:r>
        <w:rPr>
          <w:rFonts w:ascii="Calibri" w:hAnsi="Calibri"/>
        </w:rPr>
        <w:t>Las respuestas desplazan el análisis desde los recursos hacia su incorporación social. La legitimidad se mide por la situación de la población inferior; la tecnología del Golfo debe arraigar en instituciones propias; la IA islámica tendrá que incorporar valores locales; y la política china observa las resistencias comunitarias. En todos los casos, poseer energía, capital o algoritmos es menos decisivo que convertirlos en capacidades socialmente sostenibles.</w:t>
      </w:r>
    </w:p>
    <w:p>
      <w:pPr>
        <w:pStyle w:val="Heading2"/>
      </w:pPr>
      <w:r>
        <w:rPr>
          <w:rFonts w:ascii="Calibri" w:hAnsi="Calibri"/>
        </w:rPr>
        <w:t>13.4. Un cierre deliberadamente abierto</w:t>
      </w:r>
    </w:p>
    <w:p>
      <w:r>
        <w:rPr>
          <w:rFonts w:ascii="Calibri" w:hAnsi="Calibri"/>
        </w:rPr>
        <w:t>El coloquio no resuelve si Estados Unidos se recuperará, si Europa corregirá su política energética, si China será expansionista, si el Golfo desarrollará conocimiento propio o si la IA transformará el régimen chino. Su función es otra: demostrar que ninguna estructura ofrece respuestas permanentes. La nueva Ilustración que Yeo reclama debe pensar precisamente esas incertidumbres sin refugiarse en determinismos tecnológicos, institucionales o civilizatorios.</w:t>
      </w:r>
    </w:p>
    <w:p>
      <w:pPr>
        <w:pStyle w:val="Heading1"/>
      </w:pPr>
      <w:r>
        <w:rPr>
          <w:rFonts w:ascii="Calibri" w:hAnsi="Calibri"/>
        </w:rPr>
        <w:t>14. Arquitectura intelectual de la ponencia y el coloquio</w:t>
      </w:r>
    </w:p>
    <w:p>
      <w:r>
        <w:rPr>
          <w:rFonts w:ascii="Calibri" w:hAnsi="Calibri"/>
        </w:rPr>
        <w:t>La intervención puede reconstruirse como una cadena de doce movimientos:</w:t>
      </w:r>
    </w:p>
    <w:p>
      <w:pPr>
        <w:spacing w:after="80" w:line="290" w:lineRule="auto"/>
        <w:ind w:left="539" w:hanging="261"/>
      </w:pPr>
      <w:r>
        <w:rPr>
          <w:rFonts w:ascii="Calibri" w:hAnsi="Calibri"/>
        </w:rPr>
        <w:t>1. La Ilustración escocesa demuestra que una periferia pequeña puede producir ideas y agentes con efectos globales.</w:t>
      </w:r>
    </w:p>
    <w:p>
      <w:pPr>
        <w:spacing w:after="80" w:line="290" w:lineRule="auto"/>
        <w:ind w:left="539" w:hanging="261"/>
      </w:pPr>
      <w:r>
        <w:rPr>
          <w:rFonts w:ascii="Calibri" w:hAnsi="Calibri"/>
        </w:rPr>
        <w:t>2. Singapur y Hong Kong muestran cómo comercio, instituciones, ingeniería y valores convierten localización geográfica en prosperidad.</w:t>
      </w:r>
    </w:p>
    <w:p>
      <w:pPr>
        <w:spacing w:after="80" w:line="290" w:lineRule="auto"/>
        <w:ind w:left="539" w:hanging="261"/>
      </w:pPr>
      <w:r>
        <w:rPr>
          <w:rFonts w:ascii="Calibri" w:hAnsi="Calibri"/>
        </w:rPr>
        <w:t>3. La transición contemporánea combina redistribución geopolítica e irrupción de la IA.</w:t>
      </w:r>
    </w:p>
    <w:p>
      <w:pPr>
        <w:spacing w:after="80" w:line="290" w:lineRule="auto"/>
        <w:ind w:left="539" w:hanging="261"/>
      </w:pPr>
      <w:r>
        <w:rPr>
          <w:rFonts w:ascii="Calibri" w:hAnsi="Calibri"/>
        </w:rPr>
        <w:t>4. La superioridad informativa y militar tropieza con adaptación, cultura, geografía y voluntad.</w:t>
      </w:r>
    </w:p>
    <w:p>
      <w:pPr>
        <w:spacing w:after="80" w:line="290" w:lineRule="auto"/>
        <w:ind w:left="539" w:hanging="261"/>
      </w:pPr>
      <w:r>
        <w:rPr>
          <w:rFonts w:ascii="Calibri" w:hAnsi="Calibri"/>
        </w:rPr>
        <w:t>5. Estados Unidos alcanza rendimientos decrecientes en su expansión y debe distribuir costes o retirarse.</w:t>
      </w:r>
    </w:p>
    <w:p>
      <w:pPr>
        <w:spacing w:after="80" w:line="290" w:lineRule="auto"/>
        <w:ind w:left="539" w:hanging="261"/>
      </w:pPr>
      <w:r>
        <w:rPr>
          <w:rFonts w:ascii="Calibri" w:hAnsi="Calibri"/>
        </w:rPr>
        <w:t>6. La retirada abre un orden multipolar en el que conviene conservar una presencia estadounidense estabilizadora.</w:t>
      </w:r>
    </w:p>
    <w:p>
      <w:pPr>
        <w:spacing w:after="80" w:line="290" w:lineRule="auto"/>
        <w:ind w:left="539" w:hanging="261"/>
      </w:pPr>
      <w:r>
        <w:rPr>
          <w:rFonts w:ascii="Calibri" w:hAnsi="Calibri"/>
        </w:rPr>
        <w:t>7. China rechaza la hegemonía global porque su escala, homogeneidad y memoria favorecen consolidación interna.</w:t>
      </w:r>
    </w:p>
    <w:p>
      <w:pPr>
        <w:spacing w:after="80" w:line="290" w:lineRule="auto"/>
        <w:ind w:left="539" w:hanging="261"/>
      </w:pPr>
      <w:r>
        <w:rPr>
          <w:rFonts w:ascii="Calibri" w:hAnsi="Calibri"/>
        </w:rPr>
        <w:t>8. Escritura y papel explican una capacidad histórica de codificación, administración y continuidad.</w:t>
      </w:r>
    </w:p>
    <w:p>
      <w:pPr>
        <w:spacing w:after="80" w:line="290" w:lineRule="auto"/>
        <w:ind w:left="539" w:hanging="261"/>
      </w:pPr>
      <w:r>
        <w:rPr>
          <w:rFonts w:ascii="Calibri" w:hAnsi="Calibri"/>
        </w:rPr>
        <w:t>9. Las civilizaciones crecen al capturar energía y convertirla en organización; retroceden cuando la expansión cuesta más de lo que produce.</w:t>
      </w:r>
    </w:p>
    <w:p>
      <w:pPr>
        <w:spacing w:after="80" w:line="290" w:lineRule="auto"/>
        <w:ind w:left="539" w:hanging="261"/>
      </w:pPr>
      <w:r>
        <w:rPr>
          <w:rFonts w:ascii="Calibri" w:hAnsi="Calibri"/>
        </w:rPr>
        <w:t>10. La IA depende de energía, pero modelos abiertos y fuentes distribuidas reducen la posibilidad de monopolio absoluto.</w:t>
      </w:r>
    </w:p>
    <w:p>
      <w:pPr>
        <w:spacing w:after="80" w:line="290" w:lineRule="auto"/>
        <w:ind w:left="539" w:hanging="261"/>
      </w:pPr>
      <w:r>
        <w:rPr>
          <w:rFonts w:ascii="Calibri" w:hAnsi="Calibri"/>
        </w:rPr>
        <w:t>11. La ventaja decisiva pasa a la organización social: absorber tecnología, contener daños y mantener legitimidad.</w:t>
      </w:r>
    </w:p>
    <w:p>
      <w:pPr>
        <w:spacing w:after="80" w:line="290" w:lineRule="auto"/>
        <w:ind w:left="539" w:hanging="261"/>
      </w:pPr>
      <w:r>
        <w:rPr>
          <w:rFonts w:ascii="Calibri" w:hAnsi="Calibri"/>
        </w:rPr>
        <w:t>12. La política consiste en reajustar dinámicamente la mano visible y la invisible mediante modestia, experimentación y conexión con la población.</w:t>
      </w:r>
    </w:p>
    <w:p>
      <w:pPr>
        <w:pStyle w:val="Heading1"/>
      </w:pPr>
      <w:r>
        <w:rPr>
          <w:rFonts w:ascii="Calibri" w:hAnsi="Calibri"/>
        </w:rPr>
        <w:t>15. Conceptos fundamentales</w:t>
      </w:r>
    </w:p>
    <w:p>
      <w:pPr>
        <w:pStyle w:val="Heading2"/>
      </w:pPr>
      <w:r>
        <w:rPr>
          <w:rFonts w:ascii="Calibri" w:hAnsi="Calibri"/>
        </w:rPr>
        <w:t>Prosperidad geoeconómica</w:t>
      </w:r>
    </w:p>
    <w:p>
      <w:r>
        <w:rPr>
          <w:rFonts w:ascii="Calibri" w:hAnsi="Calibri"/>
        </w:rPr>
        <w:t>Capacidad de convertir una posición geográfica, redes comerciales, energía, instituciones y confianza en riqueza sostenible. Singapur ejemplifica esta combinación: el estrecho no genera automáticamente prosperidad; necesita apertura, administración, infraestructura y seguridad.</w:t>
      </w:r>
    </w:p>
    <w:p>
      <w:pPr>
        <w:pStyle w:val="Heading2"/>
      </w:pPr>
      <w:r>
        <w:rPr>
          <w:rFonts w:ascii="Calibri" w:hAnsi="Calibri"/>
        </w:rPr>
        <w:t>Codificación</w:t>
      </w:r>
    </w:p>
    <w:p>
      <w:r>
        <w:rPr>
          <w:rFonts w:ascii="Calibri" w:hAnsi="Calibri"/>
        </w:rPr>
        <w:t>Transformación de experiencia en información almacenable y procesable. Incluye escritura, papel, archivo administrativo, código genético, algoritmos e inteligencia artificial. La codificación permite organizar personas, recursos y decisiones a través del tiempo y el espacio.</w:t>
      </w:r>
    </w:p>
    <w:p>
      <w:pPr>
        <w:pStyle w:val="Heading2"/>
      </w:pPr>
      <w:r>
        <w:rPr>
          <w:rFonts w:ascii="Calibri" w:hAnsi="Calibri"/>
        </w:rPr>
        <w:t>Energía</w:t>
      </w:r>
    </w:p>
    <w:p>
      <w:r>
        <w:rPr>
          <w:rFonts w:ascii="Calibri" w:hAnsi="Calibri"/>
        </w:rPr>
        <w:t>Base material de la vida, la producción, la guerra y el cálculo. Cada revolución energética altera la riqueza y la distribución mundial del poder: agricultura, carbón y vapor, petróleo, electricidad renovable e infraestructura computacional.</w:t>
      </w:r>
    </w:p>
    <w:p>
      <w:pPr>
        <w:pStyle w:val="Heading2"/>
      </w:pPr>
      <w:r>
        <w:rPr>
          <w:rFonts w:ascii="Calibri" w:hAnsi="Calibri"/>
        </w:rPr>
        <w:t>Homogeneidad</w:t>
      </w:r>
    </w:p>
    <w:p>
      <w:r>
        <w:rPr>
          <w:rFonts w:ascii="Calibri" w:hAnsi="Calibri"/>
        </w:rPr>
        <w:t>Continuidad cultural que facilita coordinación y previsibilidad, pero puede exigir muros y limitar la capacidad de absorber diversidad. En el discurso de Yeo es una fuente simultánea de fuerza y vulnerabilidad china.</w:t>
      </w:r>
    </w:p>
    <w:p>
      <w:pPr>
        <w:pStyle w:val="Heading2"/>
      </w:pPr>
      <w:r>
        <w:rPr>
          <w:rFonts w:ascii="Calibri" w:hAnsi="Calibri"/>
          <w:b w:val="0"/>
          <w:i/>
        </w:rPr>
        <w:t>Hubris</w:t>
      </w:r>
    </w:p>
    <w:p>
      <w:r>
        <w:rPr>
          <w:rFonts w:ascii="Calibri" w:hAnsi="Calibri"/>
        </w:rPr>
        <w:t>Error de convertir una ventaja real en creencia de omnipotencia. Aparece en la guerra de precisión, la hegemonía imperial y la expectativa de monopolizar la IA.</w:t>
      </w:r>
    </w:p>
    <w:p>
      <w:pPr>
        <w:pStyle w:val="Heading2"/>
      </w:pPr>
      <w:r>
        <w:rPr>
          <w:rFonts w:ascii="Calibri" w:hAnsi="Calibri"/>
        </w:rPr>
        <w:t>Mano visible</w:t>
      </w:r>
    </w:p>
    <w:p>
      <w:r>
        <w:rPr>
          <w:rFonts w:ascii="Calibri" w:hAnsi="Calibri"/>
        </w:rPr>
        <w:t>Conjunto de leyes, educación, memoria, moral e instituciones que encuadra el mercado. Debe corregir daños sin volverse rígida o asfixiante.</w:t>
      </w:r>
    </w:p>
    <w:p>
      <w:pPr>
        <w:pStyle w:val="Heading2"/>
      </w:pPr>
      <w:r>
        <w:rPr>
          <w:rFonts w:ascii="Calibri" w:hAnsi="Calibri"/>
        </w:rPr>
        <w:t>Mano invisible</w:t>
      </w:r>
    </w:p>
    <w:p>
      <w:r>
        <w:rPr>
          <w:rFonts w:ascii="Calibri" w:hAnsi="Calibri"/>
        </w:rPr>
        <w:t>Iniciativa, interés individual, experimentación y coordinación descentralizada. Produce innovación, pero necesita un marco social y moral.</w:t>
      </w:r>
    </w:p>
    <w:p>
      <w:pPr>
        <w:pStyle w:val="Heading2"/>
      </w:pPr>
      <w:r>
        <w:rPr>
          <w:rFonts w:ascii="Calibri" w:hAnsi="Calibri"/>
        </w:rPr>
        <w:t>Desarrollo orgánico</w:t>
      </w:r>
    </w:p>
    <w:p>
      <w:r>
        <w:rPr>
          <w:rFonts w:ascii="Calibri" w:hAnsi="Calibri"/>
        </w:rPr>
        <w:t>Capacidad tecnológica arraigada en población, cultura e instituciones propias, no dependiente únicamente de capital y especialistas importados.</w:t>
      </w:r>
    </w:p>
    <w:p>
      <w:pPr>
        <w:pStyle w:val="Heading2"/>
        <w:pageBreakBefore/>
      </w:pPr>
      <w:r>
        <w:rPr>
          <w:rFonts w:ascii="Calibri" w:hAnsi="Calibri"/>
        </w:rPr>
        <w:t>Multipolaridad</w:t>
      </w:r>
    </w:p>
    <w:p>
      <w:r>
        <w:rPr>
          <w:rFonts w:ascii="Calibri" w:hAnsi="Calibri"/>
        </w:rPr>
        <w:t>Orden en el que ninguna potencia puede organizar por sí sola el sistema. Yeo no lo concibe como sustitución de Estados Unidos por China, sino como coexistencia de grandes polos con un Estados Unidos todavía importante.</w:t>
      </w:r>
    </w:p>
    <w:p>
      <w:pPr>
        <w:pStyle w:val="Heading2"/>
      </w:pPr>
      <w:r>
        <w:rPr>
          <w:rFonts w:ascii="Calibri" w:hAnsi="Calibri"/>
        </w:rPr>
        <w:t>Nueva Ilustración</w:t>
      </w:r>
    </w:p>
    <w:p>
      <w:r>
        <w:rPr>
          <w:rFonts w:ascii="Calibri" w:hAnsi="Calibri"/>
        </w:rPr>
        <w:t xml:space="preserve">Espacio intelectual y moral para pensar la transición sin someterse a urgencias, dogmas o </w:t>
      </w:r>
      <w:r>
        <w:rPr>
          <w:rFonts w:ascii="Calibri" w:hAnsi="Calibri"/>
          <w:b w:val="0"/>
          <w:i/>
        </w:rPr>
        <w:t>hubris</w:t>
      </w:r>
      <w:r>
        <w:rPr>
          <w:rFonts w:ascii="Calibri" w:hAnsi="Calibri"/>
        </w:rPr>
        <w:t>. Requiere “preocupados reflexivos” capaces de conectar tecnología, energía, instituciones y bienestar humano.</w:t>
      </w:r>
    </w:p>
    <w:p>
      <w:pPr>
        <w:pStyle w:val="Heading1"/>
      </w:pPr>
      <w:r>
        <w:rPr>
          <w:rFonts w:ascii="Calibri" w:hAnsi="Calibri"/>
        </w:rPr>
        <w:t>16. Cronología temática del vídeo</w:t>
      </w:r>
    </w:p>
    <w:tbl>
      <w:tblPr>
        <w:tblStyle w:val="TableGrid"/>
        <w:tblW w:type="auto" w:w="0"/>
        <w:jc w:val="left"/>
        <w:tblLayout w:type="fixed"/>
        <w:tblLook w:firstColumn="1" w:firstRow="1" w:lastColumn="0" w:lastRow="0" w:noHBand="0" w:noVBand="1" w:val="04A0"/>
        <w:tblW w:w="9297" w:type="dxa"/>
        <w:tblInd w:w="120" w:type="dxa"/>
      </w:tblPr>
      <w:tblGrid>
        <w:gridCol w:w="1300"/>
        <w:gridCol w:w="2300"/>
        <w:gridCol w:w="5697"/>
      </w:tblGrid>
      <w:tr>
        <w:trPr>
          <w:tblHeader w:val="true"/>
        </w:trPr>
        <w:tc>
          <w:tcPr>
            <w:tcW w:type="dxa" w:w="1300"/>
            <w:tcMar>
              <w:top w:w="100" w:type="dxa"/>
              <w:start w:w="120" w:type="dxa"/>
              <w:bottom w:w="100" w:type="dxa"/>
              <w:end w:w="120" w:type="dxa"/>
            </w:tcMar>
            <w:vAlign w:val="center"/>
            <w:shd w:fill="173F50"/>
          </w:tcPr>
          <w:p>
            <w:pPr>
              <w:spacing w:after="40"/>
            </w:pPr>
            <w:r>
              <w:rPr>
                <w:b/>
              </w:rPr>
            </w:r>
            <w:r>
              <w:rPr>
                <w:rFonts w:ascii="Calibri" w:hAnsi="Calibri"/>
                <w:b/>
                <w:color w:val="FFFFFF"/>
                <w:sz w:val="17"/>
              </w:rPr>
              <w:t>Minutos</w:t>
            </w:r>
          </w:p>
        </w:tc>
        <w:tc>
          <w:tcPr>
            <w:tcW w:type="dxa" w:w="2300"/>
            <w:tcMar>
              <w:top w:w="100" w:type="dxa"/>
              <w:start w:w="120" w:type="dxa"/>
              <w:bottom w:w="100" w:type="dxa"/>
              <w:end w:w="120" w:type="dxa"/>
            </w:tcMar>
            <w:vAlign w:val="center"/>
            <w:shd w:fill="173F50"/>
          </w:tcPr>
          <w:p>
            <w:pPr>
              <w:spacing w:after="40"/>
            </w:pPr>
            <w:r>
              <w:rPr>
                <w:b/>
              </w:rPr>
            </w:r>
            <w:r>
              <w:rPr>
                <w:rFonts w:ascii="Calibri" w:hAnsi="Calibri"/>
                <w:b/>
                <w:color w:val="FFFFFF"/>
                <w:sz w:val="17"/>
              </w:rPr>
              <w:t>Tema</w:t>
            </w:r>
          </w:p>
        </w:tc>
        <w:tc>
          <w:tcPr>
            <w:tcW w:type="dxa" w:w="5697"/>
            <w:tcMar>
              <w:top w:w="100" w:type="dxa"/>
              <w:start w:w="120" w:type="dxa"/>
              <w:bottom w:w="100" w:type="dxa"/>
              <w:end w:w="120" w:type="dxa"/>
            </w:tcMar>
            <w:vAlign w:val="center"/>
            <w:shd w:fill="173F50"/>
          </w:tcPr>
          <w:p>
            <w:pPr>
              <w:spacing w:after="40"/>
            </w:pPr>
            <w:r>
              <w:rPr>
                <w:b/>
              </w:rPr>
            </w:r>
            <w:r>
              <w:rPr>
                <w:rFonts w:ascii="Calibri" w:hAnsi="Calibri"/>
                <w:b/>
                <w:color w:val="FFFFFF"/>
                <w:sz w:val="17"/>
              </w:rPr>
              <w:t>Contenido principal</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00:01-01:33</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Presentación</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Trayectoria de Yeo y Singapur como nexo geoeconómico entre Estados Unidos y China.</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01:34-04:44</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Escocia y Asia</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Lee Kuan Yew, huella escocesa en Singapur y Hong Kong, y pregunta por la Ilustración escocesa.</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05:09-09:01</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Transición y guerra</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IA, operaciones de decapitación, Irán, Ucrania, Barbarroja, adaptación y costes humanos.</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09:02-13:49</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Límites estadounidenses</w:t>
            </w:r>
          </w:p>
        </w:tc>
        <w:tc>
          <w:tcPr>
            <w:tcW w:type="dxa" w:w="5697"/>
            <w:tcMar>
              <w:top w:w="100" w:type="dxa"/>
              <w:start w:w="120" w:type="dxa"/>
              <w:bottom w:w="100" w:type="dxa"/>
              <w:end w:w="120" w:type="dxa"/>
            </w:tcMar>
            <w:vAlign w:val="center"/>
            <w:shd w:fill="F4F7F7"/>
          </w:tcPr>
          <w:p>
            <w:pPr>
              <w:spacing w:after="40"/>
            </w:pPr>
            <w:r/>
            <w:r>
              <w:rPr>
                <w:rFonts w:ascii="Calibri" w:hAnsi="Calibri"/>
                <w:b w:val="0"/>
                <w:i/>
                <w:color w:val="172A35"/>
                <w:sz w:val="17"/>
              </w:rPr>
              <w:t>Hubris</w:t>
            </w:r>
            <w:r>
              <w:rPr>
                <w:rFonts w:ascii="Calibri" w:hAnsi="Calibri"/>
                <w:color w:val="172A35"/>
                <w:sz w:val="17"/>
              </w:rPr>
              <w:t>, vulnerabilidad de bases, deuda, gasto aliado y repliegue hemisférico.</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13:50-16:25</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Multipolaridad y China</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Rechazo del G2, muros, homogeneidad y preferencia por la circulación interna.</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16:26-22:08</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Escritura y papel</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Continuidad china, caracteres, papel, Alan Turing, administración, datos y retirada ordenada de EE. UU.</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22:09-27:19</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Energía y civilización</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Código de la vida, entropía, agricultura, vapor, petróleo y desplazamientos de poder.</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27:20-33:22</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IA y Adam Smith</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Energía distribuida, DeepSeek, modelos abiertos, mano visible e invisible y pájaro en la mano.</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33:23-34:06</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Cierre de la ponencia</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Umbral histórico, modestia y aspiración a una nueva Ilustración.</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34:07-39:00</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Inicio del coloquio</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Smith, pluralidad civilizatoria y pregunta sobre el lugar de Europa, Singapur, India y otros actores.</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39:01-43:38</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Comparación regional</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Declive estadounidense, rigidez regulatoria, energía china, problemas europeos, India, Brasil y África.</w:t>
            </w:r>
          </w:p>
        </w:tc>
      </w:tr>
    </w:tbl>
    <w:p>
      <w:r>
        <w:br w:type="page"/>
      </w:r>
    </w:p>
    <w:tbl>
      <w:tblPr>
        <w:tblStyle w:val="TableGrid"/>
        <w:tblW w:type="auto" w:w="0"/>
        <w:jc w:val="left"/>
        <w:tblLayout w:type="fixed"/>
        <w:tblLook w:firstColumn="1" w:firstRow="1" w:lastColumn="0" w:lastRow="0" w:noHBand="0" w:noVBand="1" w:val="04A0"/>
        <w:tblW w:w="9297" w:type="dxa"/>
        <w:tblInd w:w="120" w:type="dxa"/>
      </w:tblPr>
      <w:tblGrid>
        <w:gridCol w:w="1300"/>
        <w:gridCol w:w="2300"/>
        <w:gridCol w:w="5697"/>
      </w:tblGrid>
      <w:tr>
        <w:trPr>
          <w:tblHeader w:val="true"/>
        </w:trPr>
        <w:tc>
          <w:tcPr>
            <w:tcW w:type="dxa" w:w="1300"/>
            <w:tcMar>
              <w:top w:w="100" w:type="dxa"/>
              <w:start w:w="120" w:type="dxa"/>
              <w:bottom w:w="100" w:type="dxa"/>
              <w:end w:w="120" w:type="dxa"/>
            </w:tcMar>
            <w:vAlign w:val="center"/>
            <w:shd w:fill="173F50"/>
          </w:tcPr>
          <w:p>
            <w:pPr>
              <w:spacing w:after="40"/>
            </w:pPr>
            <w:r>
              <w:rPr>
                <w:b/>
              </w:rPr>
            </w:r>
            <w:r>
              <w:rPr>
                <w:rFonts w:ascii="Calibri" w:hAnsi="Calibri"/>
                <w:b/>
                <w:color w:val="FFFFFF"/>
                <w:sz w:val="17"/>
              </w:rPr>
              <w:t>Minutos</w:t>
            </w:r>
          </w:p>
        </w:tc>
        <w:tc>
          <w:tcPr>
            <w:tcW w:type="dxa" w:w="2300"/>
            <w:tcMar>
              <w:top w:w="100" w:type="dxa"/>
              <w:start w:w="120" w:type="dxa"/>
              <w:bottom w:w="100" w:type="dxa"/>
              <w:end w:w="120" w:type="dxa"/>
            </w:tcMar>
            <w:vAlign w:val="center"/>
            <w:shd w:fill="173F50"/>
          </w:tcPr>
          <w:p>
            <w:pPr>
              <w:spacing w:after="40"/>
            </w:pPr>
            <w:r>
              <w:rPr>
                <w:b/>
              </w:rPr>
            </w:r>
            <w:r>
              <w:rPr>
                <w:rFonts w:ascii="Calibri" w:hAnsi="Calibri"/>
                <w:b/>
                <w:color w:val="FFFFFF"/>
                <w:sz w:val="17"/>
              </w:rPr>
              <w:t>Tema</w:t>
            </w:r>
          </w:p>
        </w:tc>
        <w:tc>
          <w:tcPr>
            <w:tcW w:type="dxa" w:w="5697"/>
            <w:tcMar>
              <w:top w:w="100" w:type="dxa"/>
              <w:start w:w="120" w:type="dxa"/>
              <w:bottom w:w="100" w:type="dxa"/>
              <w:end w:w="120" w:type="dxa"/>
            </w:tcMar>
            <w:vAlign w:val="center"/>
            <w:shd w:fill="173F50"/>
          </w:tcPr>
          <w:p>
            <w:pPr>
              <w:spacing w:after="40"/>
            </w:pPr>
            <w:r>
              <w:rPr>
                <w:b/>
              </w:rPr>
            </w:r>
            <w:r>
              <w:rPr>
                <w:rFonts w:ascii="Calibri" w:hAnsi="Calibri"/>
                <w:b/>
                <w:color w:val="FFFFFF"/>
                <w:sz w:val="17"/>
              </w:rPr>
              <w:t>Contenido principal</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43:39-45:53</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Democracia y China</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Expansionismo, democracia y criterio del bienestar del diez por ciento inferior.</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46:08-47:59</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Golfo y mundo islámico</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Fondos soberanos, dependencia de extranjeros, valores incorporados en la IA y desarrollo orgánico.</w:t>
            </w:r>
          </w:p>
        </w:tc>
      </w:tr>
      <w:tr>
        <w:tc>
          <w:tcPr>
            <w:tcW w:type="dxa" w:w="1300"/>
            <w:tcMar>
              <w:top w:w="100" w:type="dxa"/>
              <w:start w:w="120" w:type="dxa"/>
              <w:bottom w:w="100" w:type="dxa"/>
              <w:end w:w="120" w:type="dxa"/>
            </w:tcMar>
            <w:vAlign w:val="center"/>
          </w:tcPr>
          <w:p>
            <w:pPr>
              <w:spacing w:after="40"/>
            </w:pPr>
            <w:r/>
            <w:r>
              <w:rPr>
                <w:rFonts w:ascii="Calibri" w:hAnsi="Calibri"/>
                <w:color w:val="172A35"/>
                <w:sz w:val="17"/>
              </w:rPr>
              <w:t>48:10-52:23</w:t>
            </w:r>
          </w:p>
        </w:tc>
        <w:tc>
          <w:tcPr>
            <w:tcW w:type="dxa" w:w="2300"/>
            <w:tcMar>
              <w:top w:w="100" w:type="dxa"/>
              <w:start w:w="120" w:type="dxa"/>
              <w:bottom w:w="100" w:type="dxa"/>
              <w:end w:w="120" w:type="dxa"/>
            </w:tcMar>
            <w:vAlign w:val="center"/>
          </w:tcPr>
          <w:p>
            <w:pPr>
              <w:spacing w:after="40"/>
            </w:pPr>
            <w:r/>
            <w:r>
              <w:rPr>
                <w:rFonts w:ascii="Calibri" w:hAnsi="Calibri"/>
                <w:color w:val="172A35"/>
                <w:sz w:val="17"/>
              </w:rPr>
              <w:t>IA y control chino</w:t>
            </w:r>
          </w:p>
        </w:tc>
        <w:tc>
          <w:tcPr>
            <w:tcW w:type="dxa" w:w="5697"/>
            <w:tcMar>
              <w:top w:w="100" w:type="dxa"/>
              <w:start w:w="120" w:type="dxa"/>
              <w:bottom w:w="100" w:type="dxa"/>
              <w:end w:w="120" w:type="dxa"/>
            </w:tcMar>
            <w:vAlign w:val="center"/>
          </w:tcPr>
          <w:p>
            <w:pPr>
              <w:spacing w:after="40"/>
            </w:pPr>
            <w:r/>
            <w:r>
              <w:rPr>
                <w:rFonts w:ascii="Calibri" w:hAnsi="Calibri"/>
                <w:color w:val="172A35"/>
                <w:sz w:val="17"/>
              </w:rPr>
              <w:t>Riesgo liberador de la IA, estructura del Partido, trabajo social, consentimiento local y precedente de internet.</w:t>
            </w:r>
          </w:p>
        </w:tc>
      </w:tr>
      <w:tr>
        <w:tc>
          <w:tcPr>
            <w:tcW w:type="dxa" w:w="1300"/>
            <w:tcMar>
              <w:top w:w="100" w:type="dxa"/>
              <w:start w:w="120" w:type="dxa"/>
              <w:bottom w:w="100" w:type="dxa"/>
              <w:end w:w="120" w:type="dxa"/>
            </w:tcMar>
            <w:vAlign w:val="center"/>
            <w:shd w:fill="F4F7F7"/>
          </w:tcPr>
          <w:p>
            <w:pPr>
              <w:spacing w:after="40"/>
            </w:pPr>
            <w:r/>
            <w:r>
              <w:rPr>
                <w:rFonts w:ascii="Calibri" w:hAnsi="Calibri"/>
                <w:color w:val="172A35"/>
                <w:sz w:val="17"/>
              </w:rPr>
              <w:t>52:24-52:30</w:t>
            </w:r>
          </w:p>
        </w:tc>
        <w:tc>
          <w:tcPr>
            <w:tcW w:type="dxa" w:w="2300"/>
            <w:tcMar>
              <w:top w:w="100" w:type="dxa"/>
              <w:start w:w="120" w:type="dxa"/>
              <w:bottom w:w="100" w:type="dxa"/>
              <w:end w:w="120" w:type="dxa"/>
            </w:tcMar>
            <w:vAlign w:val="center"/>
            <w:shd w:fill="F4F7F7"/>
          </w:tcPr>
          <w:p>
            <w:pPr>
              <w:spacing w:after="40"/>
            </w:pPr>
            <w:r/>
            <w:r>
              <w:rPr>
                <w:rFonts w:ascii="Calibri" w:hAnsi="Calibri"/>
                <w:color w:val="172A35"/>
                <w:sz w:val="17"/>
              </w:rPr>
              <w:t>Despedida</w:t>
            </w:r>
          </w:p>
        </w:tc>
        <w:tc>
          <w:tcPr>
            <w:tcW w:type="dxa" w:w="5697"/>
            <w:tcMar>
              <w:top w:w="100" w:type="dxa"/>
              <w:start w:w="120" w:type="dxa"/>
              <w:bottom w:w="100" w:type="dxa"/>
              <w:end w:w="120" w:type="dxa"/>
            </w:tcMar>
            <w:vAlign w:val="center"/>
            <w:shd w:fill="F4F7F7"/>
          </w:tcPr>
          <w:p>
            <w:pPr>
              <w:spacing w:after="40"/>
            </w:pPr>
            <w:r/>
            <w:r>
              <w:rPr>
                <w:rFonts w:ascii="Calibri" w:hAnsi="Calibri"/>
                <w:color w:val="172A35"/>
                <w:sz w:val="17"/>
              </w:rPr>
              <w:t>Cierre y conexión con la competencia geoeconómica y la nueva riqueza de las naciones.</w:t>
            </w:r>
          </w:p>
        </w:tc>
      </w:tr>
    </w:tbl>
    <w:p/>
    <w:p>
      <w:pPr>
        <w:pStyle w:val="Heading1"/>
      </w:pPr>
      <w:r>
        <w:rPr>
          <w:rFonts w:ascii="Calibri" w:hAnsi="Calibri"/>
        </w:rPr>
        <w:t>17. Conclusiones</w:t>
      </w:r>
    </w:p>
    <w:p>
      <w:pPr>
        <w:spacing w:after="80" w:line="290" w:lineRule="auto"/>
        <w:ind w:left="539" w:hanging="261"/>
      </w:pPr>
      <w:r>
        <w:rPr>
          <w:rFonts w:ascii="Calibri" w:hAnsi="Calibri"/>
        </w:rPr>
        <w:t>1. La apertura escocesa no es un preámbulo ornamental. Establece el patrón de toda la conferencia: una sociedad pequeña puede adquirir influencia mundial cuando combina fermento intelectual, redes, instituciones y capacidad de actuar durante una transición.</w:t>
      </w:r>
    </w:p>
    <w:p>
      <w:pPr>
        <w:spacing w:after="80" w:line="290" w:lineRule="auto"/>
        <w:ind w:left="539" w:hanging="261"/>
      </w:pPr>
      <w:r>
        <w:rPr>
          <w:rFonts w:ascii="Calibri" w:hAnsi="Calibri"/>
        </w:rPr>
        <w:t>2. La prosperidad de Singapur se presenta como resultado geoeconómico, no como simple milagro de mercado. La localización estratégica necesitó apertura comercial, infraestructura, administración, valores de confianza y una apropiación activa de legados históricos.</w:t>
      </w:r>
    </w:p>
    <w:p>
      <w:pPr>
        <w:spacing w:after="80" w:line="290" w:lineRule="auto"/>
        <w:ind w:left="539" w:hanging="261"/>
      </w:pPr>
      <w:r>
        <w:rPr>
          <w:rFonts w:ascii="Calibri" w:hAnsi="Calibri"/>
        </w:rPr>
        <w:t>3. Yeo interpreta el presente como encuentro de dos transiciones: la reducción del margen imperial estadounidense y la expansión de la IA. Ambas redistribuyen poder y obligan a revisar instituciones.</w:t>
      </w:r>
    </w:p>
    <w:p>
      <w:pPr>
        <w:spacing w:after="80" w:line="290" w:lineRule="auto"/>
        <w:ind w:left="539" w:hanging="261"/>
      </w:pPr>
      <w:r>
        <w:rPr>
          <w:rFonts w:ascii="Calibri" w:hAnsi="Calibri"/>
        </w:rPr>
        <w:t>4. La tecnología no anula la condición humana. El adversario aprende, las sociedades se movilizan mediante símbolos y el control político requiere legitimidad. La precisión operativa no garantiza éxito estratégico.</w:t>
      </w:r>
    </w:p>
    <w:p>
      <w:pPr>
        <w:spacing w:after="80" w:line="290" w:lineRule="auto"/>
        <w:ind w:left="539" w:hanging="261"/>
      </w:pPr>
      <w:r>
        <w:rPr>
          <w:rFonts w:ascii="Calibri" w:hAnsi="Calibri"/>
        </w:rPr>
        <w:t>5. La deuda y la vulnerabilidad de las bases expresan rendimientos decrecientes de la expansión estadounidense. Un repliegue puede fortalecer a Estados Unidos, pero una retirada caótica dañaría al conjunto del sistema.</w:t>
      </w:r>
    </w:p>
    <w:p>
      <w:pPr>
        <w:spacing w:after="80" w:line="290" w:lineRule="auto"/>
        <w:ind w:left="539" w:hanging="261"/>
      </w:pPr>
      <w:r>
        <w:rPr>
          <w:rFonts w:ascii="Calibri" w:hAnsi="Calibri"/>
        </w:rPr>
        <w:t>6. La multipolaridad de Yeo no es un proyecto antiestadounidense. Prefiere un orden con Estados Unidos como primero entre iguales y rechaza que China quiera o pueda sustituirlo como hegemon universal.</w:t>
      </w:r>
    </w:p>
    <w:p>
      <w:pPr>
        <w:spacing w:after="80" w:line="290" w:lineRule="auto"/>
        <w:ind w:left="539" w:hanging="261"/>
      </w:pPr>
      <w:r>
        <w:rPr>
          <w:rFonts w:ascii="Calibri" w:hAnsi="Calibri"/>
        </w:rPr>
        <w:t>7. La explicación de China se apoya en homogeneidad, muros, escritura, papel y memoria. La civilización china aparece como una inmensa infraestructura de codificación que favorece continuidad, coordinación y conservadurismo.</w:t>
      </w:r>
    </w:p>
    <w:p>
      <w:pPr>
        <w:spacing w:after="80" w:line="290" w:lineRule="auto"/>
        <w:ind w:left="539" w:hanging="261"/>
      </w:pPr>
      <w:r>
        <w:rPr>
          <w:rFonts w:ascii="Calibri" w:hAnsi="Calibri"/>
        </w:rPr>
        <w:t>8. La historia de la riqueza es inseparable de la historia de la energía. Agricultura, vapor, petróleo y electricidad computacional modifican las escalas de organización y desplazan centros de poder.</w:t>
      </w:r>
    </w:p>
    <w:p>
      <w:r>
        <w:br w:type="page"/>
      </w:r>
    </w:p>
    <w:p>
      <w:pPr>
        <w:spacing w:after="80" w:line="290" w:lineRule="auto"/>
        <w:ind w:left="539" w:hanging="261"/>
      </w:pPr>
      <w:r>
        <w:rPr>
          <w:rFonts w:ascii="Calibri" w:hAnsi="Calibri"/>
        </w:rPr>
        <w:t>9. La IA abre una fase en la que energía y modelos pueden difundirse más ampliamente. Por ello, la diferencia decisiva entre países será su capacidad institucional para construir infraestructura, adaptar herramientas y contener los costes sociales.</w:t>
      </w:r>
    </w:p>
    <w:p>
      <w:pPr>
        <w:spacing w:after="80" w:line="290" w:lineRule="auto"/>
        <w:ind w:left="539" w:hanging="261"/>
      </w:pPr>
      <w:r>
        <w:rPr>
          <w:rFonts w:ascii="Calibri" w:hAnsi="Calibri"/>
        </w:rPr>
        <w:t>10. La lectura completa de Adam Smith exige unir mercado y moral. La mano invisible necesita una mano visible; esta debe ser suficientemente fuerte para ordenar y suficientemente flexible para no matar la iniciativa.</w:t>
      </w:r>
    </w:p>
    <w:p>
      <w:pPr>
        <w:spacing w:after="80" w:line="290" w:lineRule="auto"/>
        <w:ind w:left="539" w:hanging="261"/>
      </w:pPr>
      <w:r>
        <w:rPr>
          <w:rFonts w:ascii="Calibri" w:hAnsi="Calibri"/>
        </w:rPr>
        <w:t>11. Estados Unidos, China, Europa, India, el Golfo y África ocupan posiciones distintas porque combinan de manera diferente energía, regulación, escala, capital humano y arraigo institucional. No existe una fórmula universal ni permanente.</w:t>
      </w:r>
    </w:p>
    <w:p>
      <w:pPr>
        <w:spacing w:after="80" w:line="290" w:lineRule="auto"/>
        <w:ind w:left="539" w:hanging="261"/>
      </w:pPr>
      <w:r>
        <w:rPr>
          <w:rFonts w:ascii="Calibri" w:hAnsi="Calibri"/>
        </w:rPr>
        <w:t>12. Yeo no ofrece una respuesta cerrada al impacto político de la IA. Su conclusión es metodológica: experimentar, observar, ajustar y evitar la arrogancia. La política seguirá requiriendo juicio humano.</w:t>
      </w:r>
    </w:p>
    <w:p>
      <w:pPr>
        <w:spacing w:after="80" w:line="290" w:lineRule="auto"/>
        <w:ind w:left="539" w:hanging="261"/>
      </w:pPr>
      <w:r>
        <w:rPr>
          <w:rFonts w:ascii="Calibri" w:hAnsi="Calibri"/>
        </w:rPr>
        <w:t>13. La “nueva riqueza de las naciones” no será únicamente riqueza financiera o tecnológica. Será la capacidad de convertir información y energía en prosperidad compartida sin destruir cohesión, libertad de iniciativa y sentido moral.</w:t>
      </w:r>
    </w:p>
    <w:p>
      <w:pPr>
        <w:spacing w:after="80" w:line="290" w:lineRule="auto"/>
        <w:ind w:left="539" w:hanging="261"/>
      </w:pPr>
      <w:r>
        <w:rPr>
          <w:rFonts w:ascii="Calibri" w:hAnsi="Calibri"/>
        </w:rPr>
        <w:t>14. La nueva Ilustración debe reunir pensamiento histórico, conocimiento científico, economía política y reflexión ética. Su figura central no es el experto omnisciente, sino el “preocupado reflexivo” que mira más allá de la urgencia inmediata y reconoce los límites de su poder.</w:t>
      </w:r>
    </w:p>
    <w:p>
      <w:pPr>
        <w:pStyle w:val="Heading1"/>
      </w:pPr>
      <w:r>
        <w:rPr>
          <w:rFonts w:ascii="Calibri" w:hAnsi="Calibri"/>
        </w:rPr>
        <w:t>Fuente</w:t>
      </w:r>
    </w:p>
    <w:p>
      <w:r>
        <w:rPr>
          <w:rFonts w:ascii="Calibri" w:hAnsi="Calibri"/>
          <w:b/>
          <w:i w:val="0"/>
        </w:rPr>
        <w:t>Fuente audiovisual única:</w:t>
      </w:r>
      <w:r>
        <w:rPr>
          <w:rFonts w:ascii="Calibri" w:hAnsi="Calibri"/>
        </w:rPr>
        <w:t xml:space="preserve"> George Yeo, “George Yeo Keynote | The New Enlightenment Conference 2026”, ponencia y coloquio, transcripción completa facilitada por el usuario. </w:t>
      </w:r>
      <w:hyperlink r:id="rId13">
        <w:r>
          <w:rPr>
            <w:color w:val="168C8C"/>
            <w:u w:val="single"/>
          </w:rPr>
          <w:t>https://youtu.be/NY2Vgiuh1ZY</w:t>
        </w:r>
      </w:hyperlink>
    </w:p>
    <w:p>
      <w:r>
        <w:rPr>
          <w:rFonts w:ascii="Calibri" w:hAnsi="Calibri"/>
          <w:b/>
          <w:i w:val="0"/>
        </w:rPr>
        <w:t>Criterio de atribución:</w:t>
      </w:r>
      <w:r>
        <w:rPr>
          <w:rFonts w:ascii="Calibri" w:hAnsi="Calibri"/>
        </w:rPr>
        <w:t xml:space="preserve"> las tesis históricas, económicas, geopolíticas y normativas recogidas en el informe proceden de la intervención transcrita. El informe organiza, explica y relaciona las ideas desarrolladas por George Yeo en la conferencia y en el coloquio posterior.</w:t>
      </w:r>
    </w:p>
    <w:sectPr w:rsidR="00FC693F" w:rsidRPr="0006063C" w:rsidSect="00034616">
      <w:headerReference w:type="default" r:id="rId9"/>
      <w:footerReference w:type="default" r:id="rId10"/>
      <w:headerReference w:type="first" r:id="rId11"/>
      <w:footerReference w:type="first" r:id="rId12"/>
      <w:pgSz w:w="11906" w:h="16838"/>
      <w:pgMar w:top="1417" w:right="1304" w:bottom="1559" w:left="130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982"/>
        <w:sz w:val="18"/>
      </w:rPr>
      <w:t xml:space="preserve">Página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87982"/>
        <w:sz w:val="17"/>
      </w:rPr>
      <w:t>GEORGE YEO  |  THE NEW ENLIGHTENMENT CONFERENCE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jc w:val="both"/>
    </w:pPr>
    <w:rPr>
      <w:rFonts w:ascii="Calibri" w:hAnsi="Calibri"/>
      <w:color w:val="17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F5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8C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F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39" w:hanging="26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39" w:hanging="26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outu.be/NY2Vgiuh1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nueva Ilustración: George Yeo y el orden multipolar</dc:title>
  <dc:subject>Informe académico basado exclusivamente en la ponencia de George Yeo</dc:subject>
  <dc:creator>Informe elaborado para el usuario</dc:creator>
  <cp:keywords>George Yeo, geoeconomía, energía, IA, Adam Smith, China, multipolaridad</cp:keywords>
  <dc:description>generated by python-docx</dc:description>
  <cp:lastModifiedBy/>
  <cp:revision>1</cp:revision>
  <dcterms:created xsi:type="dcterms:W3CDTF">2013-12-23T23:15:00Z</dcterms:created>
  <dcterms:modified xsi:type="dcterms:W3CDTF">2013-12-23T23:15:00Z</dcterms:modified>
  <cp:category/>
</cp:coreProperties>
</file>