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360"/>
        <w:jc w:val="center"/>
      </w:pPr>
      <w:r>
        <w:rPr>
          <w:rFonts w:ascii="Calibri" w:hAnsi="Calibri"/>
          <w:i w:val="0"/>
          <w:color w:val="20272E"/>
        </w:rPr>
        <w:t>THINKCHINA CONVERSATIONS</w:t>
      </w:r>
    </w:p>
    <w:p>
      <w:pPr>
        <w:widowControl/>
        <w:spacing w:after="160"/>
        <w:jc w:val="center"/>
      </w:pPr>
      <w:r>
        <w:rPr>
          <w:rFonts w:ascii="Calibri" w:hAnsi="Calibri"/>
          <w:b/>
          <w:color w:val="18324A"/>
          <w:sz w:val="60"/>
        </w:rPr>
        <w:t>La aceleración de la historia</w:t>
      </w:r>
    </w:p>
    <w:p>
      <w:pPr>
        <w:widowControl/>
        <w:spacing w:after="520"/>
        <w:jc w:val="center"/>
      </w:pPr>
      <w:r>
        <w:rPr>
          <w:rFonts w:ascii="Calibri" w:hAnsi="Calibri"/>
          <w:b/>
          <w:color w:val="2B6777"/>
          <w:sz w:val="32"/>
        </w:rPr>
        <w:t>George Yeo ante el declive relativo de Estados Unidos,</w:t>
        <w:br/>
        <w:t>la reemergencia de Asia y el orden multipolar</w:t>
      </w:r>
    </w:p>
    <w:p>
      <w:pPr>
        <w:widowControl/>
        <w:spacing w:before="0" w:after="1440"/>
        <w:jc w:val="center"/>
      </w:pPr>
      <w:r>
        <w:rPr>
          <w:rFonts w:ascii="Calibri" w:hAnsi="Calibri"/>
          <w:i/>
          <w:color w:val="20272E"/>
        </w:rPr>
        <w:t>Informe exhaustivo, reconstrucción temática y evaluación crítica</w:t>
      </w:r>
    </w:p>
    <w:p>
      <w:pPr>
        <w:widowControl/>
        <w:spacing w:before="0" w:after="60"/>
        <w:jc w:val="center"/>
      </w:pPr>
      <w:r>
        <w:rPr>
          <w:rFonts w:ascii="Calibri" w:hAnsi="Calibri"/>
          <w:i w:val="0"/>
          <w:color w:val="20272E"/>
        </w:rPr>
        <w:t>Vídeo analizado</w:t>
      </w:r>
    </w:p>
    <w:p>
      <w:pPr>
        <w:widowControl/>
        <w:jc w:val="center"/>
      </w:pPr>
      <w:hyperlink r:id="rId11">
        <w:r>
          <w:rPr>
            <w:color w:val="2B6777"/>
            <w:u w:val="single"/>
            <w:rFonts w:ascii="Calibri" w:hAnsi="Calibri"/>
          </w:rPr>
          <w:t>George Yeo: America’s deep pain — and why China won’t colonise</w:t>
        </w:r>
      </w:hyperlink>
    </w:p>
    <w:p>
      <w:pPr>
        <w:widowControl/>
        <w:spacing w:before="0" w:after="160"/>
        <w:jc w:val="center"/>
      </w:pPr>
      <w:r>
        <w:rPr>
          <w:rFonts w:ascii="Calibri" w:hAnsi="Calibri"/>
          <w:i w:val="0"/>
          <w:color w:val="20272E"/>
        </w:rPr>
        <w:t>ThinkChina · Entrevista de Chow Yian Ping · 27 de febrero de 2026 · 1 h 02 min</w:t>
      </w:r>
    </w:p>
    <w:p>
      <w:pPr>
        <w:widowControl/>
        <w:jc w:val="center"/>
      </w:pPr>
      <w:hyperlink r:id="rId12">
        <w:r>
          <w:rPr>
            <w:color w:val="2B6777"/>
            <w:u w:val="single"/>
            <w:rFonts w:ascii="Calibri" w:hAnsi="Calibri"/>
          </w:rPr>
          <w:t>Transcripción editorial de ThinkChina</w:t>
        </w:r>
      </w:hyperlink>
    </w:p>
    <w:p>
      <w:pPr>
        <w:widowControl/>
        <w:spacing w:before="720" w:after="0"/>
        <w:jc w:val="center"/>
      </w:pPr>
      <w:r>
        <w:rPr>
          <w:rFonts w:ascii="Calibri" w:hAnsi="Calibri"/>
          <w:i w:val="0"/>
          <w:color w:val="20272E"/>
        </w:rPr>
        <w:t>Elaborado en septiembre de 2026</w:t>
      </w:r>
    </w:p>
    <w:p>
      <w:pPr>
        <w:widowControl/>
      </w:pPr>
      <w:r>
        <w:br w:type="page"/>
      </w:r>
    </w:p>
    <w:p>
      <w:pPr>
        <w:pStyle w:val="Heading1"/>
        <w:keepNext/>
        <w:widowControl/>
      </w:pPr>
      <w:r>
        <w:t>Resumen ejecutivo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shd w:fill="F7F4EC"/>
            <w:vAlign w:val="center"/>
          </w:tcPr>
          <w:p>
            <w:pPr>
              <w:widowControl/>
              <w:spacing w:after="40" w:line="252" w:lineRule="auto"/>
            </w:pPr>
            <w:r>
              <w:rPr>
                <w:rFonts w:ascii="Calibri" w:hAnsi="Calibri"/>
                <w:b/>
                <w:color w:val="B7852A"/>
                <w:sz w:val="18"/>
              </w:rPr>
              <w:t xml:space="preserve">TESIS CENTRAL  </w:t>
            </w:r>
            <w:r>
              <w:rPr>
                <w:rFonts w:ascii="Calibri" w:hAnsi="Calibri"/>
                <w:b/>
                <w:color w:val="18324A"/>
                <w:sz w:val="21"/>
              </w:rPr>
              <w:t>Yeo interpreta la coyuntura no como una sucesión de crisis aisladas, sino como la transición —incierta y potencialmente peligrosa— desde la primacía occidental hacia un equilibrio multipolar y multicivilizatorio.</w:t>
            </w:r>
          </w:p>
        </w:tc>
      </w:tr>
    </w:tbl>
    <w:p>
      <w:pPr>
        <w:widowControl/>
        <w:spacing w:after="40"/>
      </w:pPr>
    </w:p>
    <w:p>
      <w:pPr>
        <w:widowControl/>
        <w:spacing w:before="0" w:after="160"/>
      </w:pPr>
      <w:r>
        <w:rPr>
          <w:rFonts w:ascii="Calibri" w:hAnsi="Calibri"/>
          <w:i w:val="0"/>
          <w:color w:val="20272E"/>
        </w:rPr>
        <w:t>La entrevista de George Yeo propone una lectura de gran escala temporal. Donald Trump no sería el origen de la transformación del sistema internacional, sino su catalizador: expresa la percepción estadounidense de que el país está sobredimensionado, fiscalmente presionado y obligado a concentrar recursos. El momento decisivo no es, por tanto, el ascenso de una potencia que sustituye mecánicamente a otra, sino el paso desde el breve predominio unipolar posterior a la Guerra Fría hacia un sistema compuesto por varios polos: Estados Unidos, China, Rusia, una Europa capaz —si conserva su cohesión— de actuar estratégicamente, India y, en menor medida, Brasil y redes transnacionales.</w:t>
      </w:r>
    </w:p>
    <w:p>
      <w:pPr>
        <w:widowControl/>
        <w:spacing w:before="0" w:after="160"/>
      </w:pPr>
      <w:r>
        <w:rPr>
          <w:rFonts w:ascii="Calibri" w:hAnsi="Calibri"/>
          <w:i w:val="0"/>
          <w:color w:val="20272E"/>
        </w:rPr>
        <w:t>La originalidad del razonamiento reside en que el poder aparece unido a la profundidad civilizatoria. China e India no son consideradas simples Estados nacionales en ascenso, sino civilizaciones antiguas que recuperan capacidad de acción después de varios siglos de predominio occidental. De ahí deriva la noción de “siglo asiático”: no una hegemonía asiática a imitación de la occidental, sino una redistribución prolongada del peso económico, tecnológico, demográfico y cultural. Yeo sostiene que China, por su tamaño, homogeneidad relativa y memoria histórica, no aspira a colonizar o convertir al resto del mundo; prefiere preservar su propio universo. India, más heterogénea, busca su anclaje en una continuidad civilizatoria que el nacionalismo hindú reactiva, aunque deberá trascenderlo para incorporar plenamente a musulmanes, cristianos y otras comunidades.</w:t>
      </w:r>
    </w:p>
    <w:p>
      <w:pPr>
        <w:widowControl/>
        <w:spacing w:before="0" w:after="160"/>
      </w:pPr>
      <w:r>
        <w:rPr>
          <w:rFonts w:ascii="Calibri" w:hAnsi="Calibri"/>
          <w:i w:val="0"/>
          <w:color w:val="20272E"/>
        </w:rPr>
        <w:t>En el plano doméstico, Yeo ve la vulnerabilidad principal de Estados Unidos en la fractura interna: adicciones, pérdida de cohesión, polarización, nostalgia política y dificultad para reconciliar inmigración, demografía y expectativas sociales. China, por su parte, no tendría como principal amenaza ni la presión exterior ni siquiera la sucesión política, sino la corrupción. La presenta como la deriva patológica de una cultura relacional confuciana: los vínculos diferenciados sostienen la sociedad, pero también pueden degenerar en favoritismo, intercambio de favores y captura de la autoridad. La respuesta no podría consistir en abolir las relaciones, sino en contener sus excesos mediante una combinación renovada de norma, ritual, moral y vigilancia institucional.</w:t>
      </w:r>
    </w:p>
    <w:p>
      <w:pPr>
        <w:widowControl/>
        <w:spacing w:before="0" w:after="160"/>
      </w:pPr>
      <w:r>
        <w:rPr>
          <w:rFonts w:ascii="Calibri" w:hAnsi="Calibri"/>
          <w:i w:val="0"/>
          <w:color w:val="20272E"/>
        </w:rPr>
        <w:t>La parte más discutible se refiere a Taiwán. Yeo afirma que la separación se hizo posible por la intervención estadounidense de 1950 y que, sin Estados Unidos, la reunificación se produciría de manera natural. Considera improbable una guerra porque sus costes militares, tecnológicos y económicos serían extremos. Esa conclusión es coherente con su énfasis en la racionalidad estratégica, pero subestima la identidad política taiwanesa, la capacidad de resistencia de una sociedad democrática, el riesgo de accidente y el hecho de que la disuasión depende precisamente de que ninguna parte pueda estar segura del desenlace.</w:t>
      </w:r>
    </w:p>
    <w:p>
      <w:pPr>
        <w:widowControl/>
        <w:spacing w:before="0" w:after="160"/>
      </w:pPr>
      <w:r>
        <w:rPr>
          <w:rFonts w:ascii="Calibri" w:hAnsi="Calibri"/>
          <w:i w:val="0"/>
          <w:color w:val="20272E"/>
        </w:rPr>
        <w:t>La reflexión sobre inteligencia artificial prolonga la misma lógica: las nuevas tecnologías reordenan la jerarquía de las sociedades según su capacidad para adoptarlas y distribuir sus beneficios. Yeo contrapone una cultura estadounidense centrada en “ganar la carrera” y capturar rentas a un enfoque chino más orientado a aplicar la IA a la producción y los servicios públicos. Advierte, además, que los modelos abiertos pueden erosionar la expectativa de beneficios extraordinarios que sustenta las valoraciones de las grandes tecnológicas estadounidenses. La tesis es sugerente, aunque convierte una pluralidad de estrategias empresariales y públicas en una oposición civilizatoria demasiado nítida.</w:t>
      </w:r>
    </w:p>
    <w:p>
      <w:pPr>
        <w:widowControl/>
        <w:spacing w:before="0" w:after="160"/>
      </w:pPr>
      <w:r>
        <w:rPr>
          <w:rFonts w:ascii="Calibri" w:hAnsi="Calibri"/>
          <w:i w:val="0"/>
          <w:color w:val="20272E"/>
        </w:rPr>
        <w:t>La conclusión está formulada desde la perspectiva de Singapur. Un Estado pequeño no controla el entorno: debe aceptarlo, leerlo sin sentimentalismo, preservar la cohesión de ASEAN, reforzar su resiliencia física, digital y moral y ajustar constantemente su posición. Yeo recurre al taichí: la estabilidad no consiste en permanecer inmóvil, sino en desplazarse de forma continua sin perder el centro. Su último criterio de liderazgo es la preocupación lúcida; cuando una sociedad vulnerable deja de preocuparse, comienza a perder la capacidad de anticipar.</w:t>
      </w:r>
    </w:p>
    <w:p>
      <w:pPr>
        <w:pStyle w:val="Heading2"/>
        <w:keepNext/>
        <w:widowControl/>
      </w:pPr>
      <w:r>
        <w:t>Claves de lectura</w:t>
      </w:r>
    </w:p>
    <w:p>
      <w:pPr>
        <w:pStyle w:val="ListBullet"/>
        <w:widowControl/>
        <w:spacing w:after="80"/>
      </w:pPr>
      <w:r>
        <w:rPr>
          <w:rFonts w:ascii="Calibri" w:hAnsi="Calibri"/>
          <w:color w:val="20272E"/>
        </w:rPr>
        <w:t>Trump es un acelerador de tendencias estructurales, no el autor de un nuevo sistema internacional.</w:t>
      </w:r>
    </w:p>
    <w:p>
      <w:pPr>
        <w:pStyle w:val="ListBullet"/>
        <w:widowControl/>
        <w:spacing w:after="80"/>
      </w:pPr>
      <w:r>
        <w:rPr>
          <w:rFonts w:ascii="Calibri" w:hAnsi="Calibri"/>
          <w:color w:val="20272E"/>
        </w:rPr>
        <w:t>El declive estadounidense se presenta como relativo y reversible, pero su eventual fracaso tendría efectos sistémicos.</w:t>
      </w:r>
    </w:p>
    <w:p>
      <w:pPr>
        <w:pStyle w:val="ListBullet"/>
        <w:widowControl/>
        <w:spacing w:after="80"/>
      </w:pPr>
      <w:r>
        <w:rPr>
          <w:rFonts w:ascii="Calibri" w:hAnsi="Calibri"/>
          <w:color w:val="20272E"/>
        </w:rPr>
        <w:t>El “siglo asiático” significa recentramiento, no sustitución automática de una hegemonía occidental por otra china.</w:t>
      </w:r>
    </w:p>
    <w:p>
      <w:pPr>
        <w:pStyle w:val="ListBullet"/>
        <w:widowControl/>
        <w:spacing w:after="80"/>
      </w:pPr>
      <w:r>
        <w:rPr>
          <w:rFonts w:ascii="Calibri" w:hAnsi="Calibri"/>
          <w:color w:val="20272E"/>
        </w:rPr>
        <w:t>Civilización, identidad histórica y cohesión social son, para Yeo, fuentes materiales de poder.</w:t>
      </w:r>
    </w:p>
    <w:p>
      <w:pPr>
        <w:pStyle w:val="ListBullet"/>
        <w:widowControl/>
        <w:spacing w:after="80"/>
      </w:pPr>
      <w:r>
        <w:rPr>
          <w:rFonts w:ascii="Calibri" w:hAnsi="Calibri"/>
          <w:color w:val="20272E"/>
        </w:rPr>
        <w:t>La corrupción china es interpretada culturalmente; el informe contrasta esa lectura con explicaciones institucionales.</w:t>
      </w:r>
    </w:p>
    <w:p>
      <w:pPr>
        <w:pStyle w:val="ListBullet"/>
        <w:widowControl/>
        <w:spacing w:after="80"/>
      </w:pPr>
      <w:r>
        <w:rPr>
          <w:rFonts w:ascii="Calibri" w:hAnsi="Calibri"/>
          <w:color w:val="20272E"/>
        </w:rPr>
        <w:t>Taiwán es el punto donde el determinismo histórico de Yeo resulta menos convincente.</w:t>
      </w:r>
    </w:p>
    <w:p>
      <w:pPr>
        <w:pStyle w:val="ListBullet"/>
        <w:widowControl/>
        <w:spacing w:after="80"/>
      </w:pPr>
      <w:r>
        <w:rPr>
          <w:rFonts w:ascii="Calibri" w:hAnsi="Calibri"/>
          <w:color w:val="20272E"/>
        </w:rPr>
        <w:t>La IA aparece como prueba de adaptación social y como posible detonante de una corrección financiera.</w:t>
      </w:r>
    </w:p>
    <w:p>
      <w:pPr>
        <w:pStyle w:val="ListBullet"/>
        <w:widowControl/>
        <w:spacing w:after="80"/>
      </w:pPr>
      <w:r>
        <w:rPr>
          <w:rFonts w:ascii="Calibri" w:hAnsi="Calibri"/>
          <w:color w:val="20272E"/>
        </w:rPr>
        <w:t>Para los Estados pequeños, la autonomía es móvil: equilibrio, ASEAN, resiliencia y autoridad moral.</w:t>
      </w:r>
    </w:p>
    <w:p>
      <w:pPr>
        <w:pStyle w:val="Heading1"/>
        <w:keepNext/>
        <w:widowControl/>
      </w:pPr>
      <w:r>
        <w:t>1. Fuente, contexto y método</w:t>
      </w:r>
    </w:p>
    <w:p>
      <w:pPr>
        <w:pStyle w:val="Heading2"/>
        <w:keepNext/>
        <w:widowControl/>
      </w:pPr>
      <w:r>
        <w:t>1.1. Naturaleza de la pieza</w:t>
      </w:r>
    </w:p>
    <w:p>
      <w:pPr>
        <w:widowControl/>
        <w:spacing w:before="0" w:after="160"/>
      </w:pPr>
      <w:r>
        <w:rPr>
          <w:rFonts w:ascii="Calibri" w:hAnsi="Calibri"/>
          <w:i w:val="0"/>
          <w:color w:val="20272E"/>
        </w:rPr>
        <w:t>El material analizado es una entrevista de 62 minutos, publicada por ThinkChina como primer episodio de ThinkChina Conversations. Chow Yian Ping conduce una conversación amplia, no una conferencia formal, pero la exposición de Yeo posee suficiente continuidad conceptual para ser tratada como una intervención estratégica. Las preguntas avanzan desde Trump y Estados Unidos hasta la multipolaridad, el “siglo asiático”, China, India, Taiwán, la inteligencia artificial y Singapur. La forma conversacional permite ejemplos personales y analogías históricas; también explica que algunas afirmaciones aparezcan como hipótesis tajantes, sin el aparato probatorio de un trabajo académico.</w:t>
      </w:r>
    </w:p>
    <w:p>
      <w:pPr>
        <w:pStyle w:val="Heading2"/>
        <w:keepNext/>
        <w:widowControl/>
      </w:pPr>
      <w:r>
        <w:t>1.2. George Yeo y su lugar de observación</w:t>
      </w:r>
    </w:p>
    <w:p>
      <w:pPr>
        <w:widowControl/>
        <w:spacing w:before="0" w:after="160"/>
      </w:pPr>
      <w:r>
        <w:rPr>
          <w:rFonts w:ascii="Calibri" w:hAnsi="Calibri"/>
          <w:i w:val="0"/>
          <w:color w:val="20272E"/>
        </w:rPr>
        <w:t>George Yeo fue ministro de Información y Artes, Sanidad, Comercio e Industria y Asuntos Exteriores de Singapur durante una carrera gubernamental de veintitrés años. Antes de entrar en política alcanzó el grado de general de brigada y desempeñó responsabilidades de operaciones y planificación en Defensa. Su formación técnica, militar, empresarial y diplomática informa el tipo de razonamiento del vídeo: atención a capacidades materiales, estructuras históricas, identidades colectivas, rutas comerciales y márgenes de maniobra de los Estados pequeños. No habla desde una tradición atlántica ni desde una oposición ideológica a Occidente, sino desde la posición de un dirigente singapurense acostumbrado a convivir con Estados Unidos, China, India, Japón, ASEAN y las redes económicas globales.</w:t>
      </w:r>
    </w:p>
    <w:p>
      <w:pPr>
        <w:widowControl/>
        <w:spacing w:before="0" w:after="160"/>
      </w:pPr>
      <w:r>
        <w:rPr>
          <w:rFonts w:ascii="Calibri" w:hAnsi="Calibri"/>
          <w:i w:val="0"/>
          <w:color w:val="20272E"/>
        </w:rPr>
        <w:t>Esa posición aporta valor y sesgo. Valor, porque evita identificar el orden internacional con el punto de vista de Washington o Bruselas y porque introduce categorías asiáticas de larga duración. Sesgo, porque la experiencia de Singapur favorece una visión tecnocrática de la política, sensible al orden y a la eficacia, y porque Yeo suele interpretar a China con empatía civilizatoria. Por ello, el informe distingue tres planos: lo que Yeo dice; la lógica estratégica que puede extraerse de sus palabras; y la evaluación crítica de sus premisas.</w:t>
      </w:r>
    </w:p>
    <w:p>
      <w:pPr>
        <w:pStyle w:val="Heading2"/>
        <w:keepNext/>
        <w:widowControl/>
      </w:pPr>
      <w:r>
        <w:t>1.3. Criterio de elaboración</w:t>
      </w:r>
    </w:p>
    <w:p>
      <w:pPr>
        <w:widowControl/>
        <w:spacing w:before="0" w:after="160"/>
      </w:pPr>
      <w:r>
        <w:rPr>
          <w:rFonts w:ascii="Calibri" w:hAnsi="Calibri"/>
          <w:i w:val="0"/>
          <w:color w:val="20272E"/>
        </w:rPr>
        <w:t>La reconstrucción sigue la secuencia del vídeo y utiliza la transcripción editorial íntegra. Las afirmaciones históricas o empíricas decisivas se contrastan con fuentes públicas: Oficina Histórica del Departamento de Estado de Estados Unidos, Congressional Budget Office, Fondo Monetario Internacional, Election Study Center de la National Chengchi University, instituciones académicas de Singapur y literatura estratégica. Las referencias temporales a líderes, operaciones o encuentros se presentan como parte del contexto en que se grabó la entrevista; no se convierten retrospectivamente en certezas.</w:t>
      </w:r>
    </w:p>
    <w:p>
      <w:pPr>
        <w:pStyle w:val="Heading1"/>
        <w:keepNext/>
        <w:widowControl/>
      </w:pPr>
      <w:r>
        <w:t>2. Arquitectura intelectual de la intervención</w:t>
      </w:r>
    </w:p>
    <w:p>
      <w:pPr>
        <w:widowControl/>
        <w:spacing w:before="0" w:after="160"/>
      </w:pPr>
      <w:r>
        <w:rPr>
          <w:rFonts w:ascii="Calibri" w:hAnsi="Calibri"/>
          <w:i w:val="0"/>
          <w:color w:val="20272E"/>
        </w:rPr>
        <w:t>La conversación puede reducirse a una cadena causal de siete movimientos. Primero, Estados Unidos descubre los límites fiscales y políticos de su despliegue global. Segundo, Trump convierte esa restricción en una negociación agresiva y hemisférica. Tercero, el retroceso relativo estadounidense abre espacio a varios polos. Cuarto, China, India y el Sudeste Asiático recuperan densidad económica y confianza histórica. Quinto, el resultado no será estable por sí mismo: cada civilización afronta fracturas domésticas capaces de frustrar su ascenso. Sexto, la tecnología acelera el reajuste de poder y distribuye ganadores y perdedores dentro de cada sociedad. Séptimo, los Estados pequeños sólo sobreviven mediante adaptación permanente, cohesión regional y credibilidad moral.</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tcMar>
              <w:top w:w="100" w:type="dxa"/>
              <w:start w:w="120" w:type="dxa"/>
              <w:bottom w:w="100" w:type="dxa"/>
              <w:end w:w="120" w:type="dxa"/>
            </w:tcMar>
            <w:shd w:fill="18324A"/>
          </w:tcPr>
          <w:p>
            <w:pPr>
              <w:widowControl/>
              <w:spacing w:after="40" w:line="252" w:lineRule="auto"/>
            </w:pPr>
            <w:r>
              <w:rPr>
                <w:rFonts w:ascii="Calibri" w:hAnsi="Calibri"/>
                <w:b/>
                <w:color w:val="FFFFFF"/>
                <w:sz w:val="19"/>
              </w:rPr>
              <w:t>Plano</w:t>
            </w:r>
          </w:p>
        </w:tc>
        <w:tc>
          <w:tcPr>
            <w:tcW w:type="dxa" w:w="3600"/>
            <w:tcMar>
              <w:top w:w="100" w:type="dxa"/>
              <w:start w:w="120" w:type="dxa"/>
              <w:bottom w:w="100" w:type="dxa"/>
              <w:end w:w="120" w:type="dxa"/>
            </w:tcMar>
            <w:shd w:fill="18324A"/>
          </w:tcPr>
          <w:p>
            <w:pPr>
              <w:widowControl/>
              <w:spacing w:after="40" w:line="252" w:lineRule="auto"/>
            </w:pPr>
            <w:r>
              <w:rPr>
                <w:rFonts w:ascii="Calibri" w:hAnsi="Calibri"/>
                <w:b/>
                <w:color w:val="FFFFFF"/>
                <w:sz w:val="19"/>
              </w:rPr>
              <w:t>Pregunta central</w:t>
            </w:r>
          </w:p>
        </w:tc>
        <w:tc>
          <w:tcPr>
            <w:tcW w:type="dxa" w:w="3960"/>
            <w:tcMar>
              <w:top w:w="100" w:type="dxa"/>
              <w:start w:w="120" w:type="dxa"/>
              <w:bottom w:w="100" w:type="dxa"/>
              <w:end w:w="120" w:type="dxa"/>
            </w:tcMar>
            <w:shd w:fill="18324A"/>
          </w:tcPr>
          <w:p>
            <w:pPr>
              <w:widowControl/>
              <w:spacing w:after="40" w:line="252" w:lineRule="auto"/>
            </w:pPr>
            <w:r>
              <w:rPr>
                <w:rFonts w:ascii="Calibri" w:hAnsi="Calibri"/>
                <w:b/>
                <w:color w:val="FFFFFF"/>
                <w:sz w:val="19"/>
              </w:rPr>
              <w:t>Respuesta de Yeo</w:t>
            </w:r>
          </w:p>
        </w:tc>
      </w:tr>
      <w:tr>
        <w:trPr>
          <w:cantSplit/>
        </w:trPr>
        <w:tc>
          <w:tcPr>
            <w:tcW w:type="dxa" w:w="1800"/>
            <w:shd w:fill="EEF3F5"/>
          </w:tcPr>
          <w:p>
            <w:pPr>
              <w:widowControl/>
              <w:spacing w:after="40" w:line="252" w:lineRule="auto"/>
            </w:pPr>
            <w:r>
              <w:rPr>
                <w:rFonts w:ascii="Calibri" w:hAnsi="Calibri"/>
                <w:b/>
                <w:color w:val="18324A"/>
                <w:sz w:val="18"/>
              </w:rPr>
              <w:t>Sistema</w:t>
            </w:r>
          </w:p>
        </w:tc>
        <w:tc>
          <w:tcPr>
            <w:tcW w:type="dxa" w:w="3600"/>
            <w:shd w:fill="EEF3F5"/>
          </w:tcPr>
          <w:p>
            <w:pPr>
              <w:widowControl/>
              <w:spacing w:after="40" w:line="252" w:lineRule="auto"/>
            </w:pPr>
            <w:r>
              <w:rPr>
                <w:rFonts w:ascii="Calibri" w:hAnsi="Calibri"/>
                <w:b w:val="0"/>
                <w:color w:val="20272E"/>
                <w:sz w:val="18"/>
              </w:rPr>
              <w:t>¿Qué orden sustituye a la unipolaridad?</w:t>
            </w:r>
          </w:p>
        </w:tc>
        <w:tc>
          <w:tcPr>
            <w:tcW w:type="dxa" w:w="3960"/>
            <w:shd w:fill="EEF3F5"/>
          </w:tcPr>
          <w:p>
            <w:pPr>
              <w:widowControl/>
              <w:spacing w:after="40" w:line="252" w:lineRule="auto"/>
            </w:pPr>
            <w:r>
              <w:rPr>
                <w:rFonts w:ascii="Calibri" w:hAnsi="Calibri"/>
                <w:b w:val="0"/>
                <w:color w:val="20272E"/>
                <w:sz w:val="18"/>
              </w:rPr>
              <w:t>Una multipolaridad compuesta por potencias y redes.</w:t>
            </w:r>
          </w:p>
        </w:tc>
      </w:tr>
      <w:tr>
        <w:trPr>
          <w:cantSplit/>
        </w:trPr>
        <w:tc>
          <w:tcPr>
            <w:tcW w:type="dxa" w:w="1800"/>
          </w:tcPr>
          <w:p>
            <w:pPr>
              <w:widowControl/>
              <w:spacing w:after="40" w:line="252" w:lineRule="auto"/>
            </w:pPr>
            <w:r>
              <w:rPr>
                <w:rFonts w:ascii="Calibri" w:hAnsi="Calibri"/>
                <w:b/>
                <w:color w:val="18324A"/>
                <w:sz w:val="18"/>
              </w:rPr>
              <w:t>Estados Unidos</w:t>
            </w:r>
          </w:p>
        </w:tc>
        <w:tc>
          <w:tcPr>
            <w:tcW w:type="dxa" w:w="3600"/>
          </w:tcPr>
          <w:p>
            <w:pPr>
              <w:widowControl/>
              <w:spacing w:after="40" w:line="252" w:lineRule="auto"/>
            </w:pPr>
            <w:r>
              <w:rPr>
                <w:rFonts w:ascii="Calibri" w:hAnsi="Calibri"/>
                <w:b w:val="0"/>
                <w:color w:val="20272E"/>
                <w:sz w:val="18"/>
              </w:rPr>
              <w:t>¿Es Trump causa o síntoma?</w:t>
            </w:r>
          </w:p>
        </w:tc>
        <w:tc>
          <w:tcPr>
            <w:tcW w:type="dxa" w:w="3960"/>
          </w:tcPr>
          <w:p>
            <w:pPr>
              <w:widowControl/>
              <w:spacing w:after="40" w:line="252" w:lineRule="auto"/>
            </w:pPr>
            <w:r>
              <w:rPr>
                <w:rFonts w:ascii="Calibri" w:hAnsi="Calibri"/>
                <w:b w:val="0"/>
                <w:color w:val="20272E"/>
                <w:sz w:val="18"/>
              </w:rPr>
              <w:t>Catalizador de un repliegue estructural y de una crisis interna.</w:t>
            </w:r>
          </w:p>
        </w:tc>
      </w:tr>
      <w:tr>
        <w:trPr>
          <w:cantSplit/>
        </w:trPr>
        <w:tc>
          <w:tcPr>
            <w:tcW w:type="dxa" w:w="1800"/>
            <w:shd w:fill="EEF3F5"/>
          </w:tcPr>
          <w:p>
            <w:pPr>
              <w:widowControl/>
              <w:spacing w:after="40" w:line="252" w:lineRule="auto"/>
            </w:pPr>
            <w:r>
              <w:rPr>
                <w:rFonts w:ascii="Calibri" w:hAnsi="Calibri"/>
                <w:b/>
                <w:color w:val="18324A"/>
                <w:sz w:val="18"/>
              </w:rPr>
              <w:t>Asia</w:t>
            </w:r>
          </w:p>
        </w:tc>
        <w:tc>
          <w:tcPr>
            <w:tcW w:type="dxa" w:w="3600"/>
            <w:shd w:fill="EEF3F5"/>
          </w:tcPr>
          <w:p>
            <w:pPr>
              <w:widowControl/>
              <w:spacing w:after="40" w:line="252" w:lineRule="auto"/>
            </w:pPr>
            <w:r>
              <w:rPr>
                <w:rFonts w:ascii="Calibri" w:hAnsi="Calibri"/>
                <w:b w:val="0"/>
                <w:color w:val="20272E"/>
                <w:sz w:val="18"/>
              </w:rPr>
              <w:t>¿Qué significa el siglo asiático?</w:t>
            </w:r>
          </w:p>
        </w:tc>
        <w:tc>
          <w:tcPr>
            <w:tcW w:type="dxa" w:w="3960"/>
            <w:shd w:fill="EEF3F5"/>
          </w:tcPr>
          <w:p>
            <w:pPr>
              <w:widowControl/>
              <w:spacing w:after="40" w:line="252" w:lineRule="auto"/>
            </w:pPr>
            <w:r>
              <w:rPr>
                <w:rFonts w:ascii="Calibri" w:hAnsi="Calibri"/>
                <w:b w:val="0"/>
                <w:color w:val="20272E"/>
                <w:sz w:val="18"/>
              </w:rPr>
              <w:t>Retorno del peso histórico de civilizaciones antiguas, no hegemonía colonial.</w:t>
            </w:r>
          </w:p>
        </w:tc>
      </w:tr>
      <w:tr>
        <w:trPr>
          <w:cantSplit/>
        </w:trPr>
        <w:tc>
          <w:tcPr>
            <w:tcW w:type="dxa" w:w="1800"/>
          </w:tcPr>
          <w:p>
            <w:pPr>
              <w:widowControl/>
              <w:spacing w:after="40" w:line="252" w:lineRule="auto"/>
            </w:pPr>
            <w:r>
              <w:rPr>
                <w:rFonts w:ascii="Calibri" w:hAnsi="Calibri"/>
                <w:b/>
                <w:color w:val="18324A"/>
                <w:sz w:val="18"/>
              </w:rPr>
              <w:t>China</w:t>
            </w:r>
          </w:p>
        </w:tc>
        <w:tc>
          <w:tcPr>
            <w:tcW w:type="dxa" w:w="3600"/>
          </w:tcPr>
          <w:p>
            <w:pPr>
              <w:widowControl/>
              <w:spacing w:after="40" w:line="252" w:lineRule="auto"/>
            </w:pPr>
            <w:r>
              <w:rPr>
                <w:rFonts w:ascii="Calibri" w:hAnsi="Calibri"/>
                <w:b w:val="0"/>
                <w:color w:val="20272E"/>
                <w:sz w:val="18"/>
              </w:rPr>
              <w:t>¿Cuál es su vulnerabilidad mayor?</w:t>
            </w:r>
          </w:p>
        </w:tc>
        <w:tc>
          <w:tcPr>
            <w:tcW w:type="dxa" w:w="3960"/>
          </w:tcPr>
          <w:p>
            <w:pPr>
              <w:widowControl/>
              <w:spacing w:after="40" w:line="252" w:lineRule="auto"/>
            </w:pPr>
            <w:r>
              <w:rPr>
                <w:rFonts w:ascii="Calibri" w:hAnsi="Calibri"/>
                <w:b w:val="0"/>
                <w:color w:val="20272E"/>
                <w:sz w:val="18"/>
              </w:rPr>
              <w:t>La corrupción y la enfermedad del cuerpo político, más que la presión exterior.</w:t>
            </w:r>
          </w:p>
        </w:tc>
      </w:tr>
      <w:tr>
        <w:trPr>
          <w:cantSplit/>
        </w:trPr>
        <w:tc>
          <w:tcPr>
            <w:tcW w:type="dxa" w:w="1800"/>
            <w:shd w:fill="EEF3F5"/>
          </w:tcPr>
          <w:p>
            <w:pPr>
              <w:widowControl/>
              <w:spacing w:after="40" w:line="252" w:lineRule="auto"/>
            </w:pPr>
            <w:r>
              <w:rPr>
                <w:rFonts w:ascii="Calibri" w:hAnsi="Calibri"/>
                <w:b/>
                <w:color w:val="18324A"/>
                <w:sz w:val="18"/>
              </w:rPr>
              <w:t>Taiwán</w:t>
            </w:r>
          </w:p>
        </w:tc>
        <w:tc>
          <w:tcPr>
            <w:tcW w:type="dxa" w:w="3600"/>
            <w:shd w:fill="EEF3F5"/>
          </w:tcPr>
          <w:p>
            <w:pPr>
              <w:widowControl/>
              <w:spacing w:after="40" w:line="252" w:lineRule="auto"/>
            </w:pPr>
            <w:r>
              <w:rPr>
                <w:rFonts w:ascii="Calibri" w:hAnsi="Calibri"/>
                <w:b w:val="0"/>
                <w:color w:val="20272E"/>
                <w:sz w:val="18"/>
              </w:rPr>
              <w:t>¿Es probable la guerra?</w:t>
            </w:r>
          </w:p>
        </w:tc>
        <w:tc>
          <w:tcPr>
            <w:tcW w:type="dxa" w:w="3960"/>
            <w:shd w:fill="EEF3F5"/>
          </w:tcPr>
          <w:p>
            <w:pPr>
              <w:widowControl/>
              <w:spacing w:after="40" w:line="252" w:lineRule="auto"/>
            </w:pPr>
            <w:r>
              <w:rPr>
                <w:rFonts w:ascii="Calibri" w:hAnsi="Calibri"/>
                <w:b w:val="0"/>
                <w:color w:val="20272E"/>
                <w:sz w:val="18"/>
              </w:rPr>
              <w:t>No, por la disuasión militar y el coste económico; esta es una de sus tesis más debatibles.</w:t>
            </w:r>
          </w:p>
        </w:tc>
      </w:tr>
      <w:tr>
        <w:trPr>
          <w:cantSplit/>
        </w:trPr>
        <w:tc>
          <w:tcPr>
            <w:tcW w:type="dxa" w:w="1800"/>
          </w:tcPr>
          <w:p>
            <w:pPr>
              <w:widowControl/>
              <w:spacing w:after="40" w:line="252" w:lineRule="auto"/>
            </w:pPr>
            <w:r>
              <w:rPr>
                <w:rFonts w:ascii="Calibri" w:hAnsi="Calibri"/>
                <w:b/>
                <w:color w:val="18324A"/>
                <w:sz w:val="18"/>
              </w:rPr>
              <w:t>Tecnología</w:t>
            </w:r>
          </w:p>
        </w:tc>
        <w:tc>
          <w:tcPr>
            <w:tcW w:type="dxa" w:w="3600"/>
          </w:tcPr>
          <w:p>
            <w:pPr>
              <w:widowControl/>
              <w:spacing w:after="40" w:line="252" w:lineRule="auto"/>
            </w:pPr>
            <w:r>
              <w:rPr>
                <w:rFonts w:ascii="Calibri" w:hAnsi="Calibri"/>
                <w:b w:val="0"/>
                <w:color w:val="20272E"/>
                <w:sz w:val="18"/>
              </w:rPr>
              <w:t>¿Qué decide la próxima jerarquía?</w:t>
            </w:r>
          </w:p>
        </w:tc>
        <w:tc>
          <w:tcPr>
            <w:tcW w:type="dxa" w:w="3960"/>
          </w:tcPr>
          <w:p>
            <w:pPr>
              <w:widowControl/>
              <w:spacing w:after="40" w:line="252" w:lineRule="auto"/>
            </w:pPr>
            <w:r>
              <w:rPr>
                <w:rFonts w:ascii="Calibri" w:hAnsi="Calibri"/>
                <w:b w:val="0"/>
                <w:color w:val="20272E"/>
                <w:sz w:val="18"/>
              </w:rPr>
              <w:t>La capacidad de adoptar la IA y repartir sus beneficios.</w:t>
            </w:r>
          </w:p>
        </w:tc>
      </w:tr>
      <w:tr>
        <w:trPr>
          <w:cantSplit/>
        </w:trPr>
        <w:tc>
          <w:tcPr>
            <w:tcW w:type="dxa" w:w="1800"/>
            <w:shd w:fill="EEF3F5"/>
          </w:tcPr>
          <w:p>
            <w:pPr>
              <w:widowControl/>
              <w:spacing w:after="40" w:line="252" w:lineRule="auto"/>
            </w:pPr>
            <w:r>
              <w:rPr>
                <w:rFonts w:ascii="Calibri" w:hAnsi="Calibri"/>
                <w:b/>
                <w:color w:val="18324A"/>
                <w:sz w:val="18"/>
              </w:rPr>
              <w:t>Singapur</w:t>
            </w:r>
          </w:p>
        </w:tc>
        <w:tc>
          <w:tcPr>
            <w:tcW w:type="dxa" w:w="3600"/>
            <w:shd w:fill="EEF3F5"/>
          </w:tcPr>
          <w:p>
            <w:pPr>
              <w:widowControl/>
              <w:spacing w:after="40" w:line="252" w:lineRule="auto"/>
            </w:pPr>
            <w:r>
              <w:rPr>
                <w:rFonts w:ascii="Calibri" w:hAnsi="Calibri"/>
                <w:b w:val="0"/>
                <w:color w:val="20272E"/>
                <w:sz w:val="18"/>
              </w:rPr>
              <w:t>¿Cómo sobrevive un Estado pequeño?</w:t>
            </w:r>
          </w:p>
        </w:tc>
        <w:tc>
          <w:tcPr>
            <w:tcW w:type="dxa" w:w="3960"/>
            <w:shd w:fill="EEF3F5"/>
          </w:tcPr>
          <w:p>
            <w:pPr>
              <w:widowControl/>
              <w:spacing w:after="40" w:line="252" w:lineRule="auto"/>
            </w:pPr>
            <w:r>
              <w:rPr>
                <w:rFonts w:ascii="Calibri" w:hAnsi="Calibri"/>
                <w:b w:val="0"/>
                <w:color w:val="20272E"/>
                <w:sz w:val="18"/>
              </w:rPr>
              <w:t>Movimiento continuo, realismo, ASEAN, resiliencia y fuerza moral.</w:t>
            </w:r>
          </w:p>
        </w:tc>
      </w:tr>
    </w:tbl>
    <w:p>
      <w:pPr>
        <w:widowControl/>
      </w:pPr>
    </w:p>
    <w:p>
      <w:pPr>
        <w:pStyle w:val="Heading1"/>
        <w:keepNext/>
        <w:widowControl/>
      </w:pPr>
      <w:r>
        <w:t>3. Estados Unidos: sobreextensión, dolor social y nostalgia</w:t>
      </w:r>
    </w:p>
    <w:p>
      <w:pPr>
        <w:pStyle w:val="Heading2"/>
        <w:keepNext/>
        <w:widowControl/>
      </w:pPr>
      <w:r>
        <w:t>3.1. La restricción fiscal como señal de sobreextensión</w:t>
      </w:r>
    </w:p>
    <w:p>
      <w:pPr>
        <w:widowControl/>
        <w:spacing w:before="0" w:after="160"/>
      </w:pPr>
      <w:r>
        <w:rPr>
          <w:rFonts w:ascii="Calibri" w:hAnsi="Calibri"/>
          <w:i w:val="0"/>
          <w:color w:val="20272E"/>
        </w:rPr>
        <w:t>Yeo abre con una constatación material: Estados Unidos ha extendido compromisos militares y políticos cuya financiación se vuelve más difícil. El servicio de la deuda supera ya el gasto federal discrecional en defensa. La afirmación básica es correcta: la Congressional Budget Office estimó que los intereses netos alcanzarían 892.000 millones de dólares en 2024, por encima del gasto de defensa. Pero Yeo da un paso adicional: deduce que Washington tendrá que reducir su implicación global. Esa deducción es plausible, no automática. Un Estado emisor de la principal moneda de reserva dispone de una elasticidad financiera extraordinaria; además, puede responder con impuestos, inflación, reasignación presupuestaria o mayor deuda antes de cerrar bases.</w:t>
      </w:r>
    </w:p>
    <w:p>
      <w:pPr>
        <w:widowControl/>
        <w:spacing w:before="0" w:after="160"/>
      </w:pPr>
      <w:r>
        <w:rPr>
          <w:rFonts w:ascii="Calibri" w:hAnsi="Calibri"/>
          <w:i w:val="0"/>
          <w:color w:val="20272E"/>
        </w:rPr>
        <w:t>Su concepto de “sobreextensión” reúne tres dimensiones. La primera es fiscal: deuda e intereses. La segunda es geográfica: compromisos repartidos entre Europa, Oriente Medio, Indo-Pacífico y el hemisferio occidental. La tercera es política: disminuye la disposición doméstica a pagar por bienes públicos internacionales cuyos beneficios parecen difusos. Trump convierte esa tensión en un criterio transaccional: alianzas, comercio y seguridad deben producir ventajas visibles para Estados Unidos.</w:t>
      </w:r>
    </w:p>
    <w:p>
      <w:pPr>
        <w:pStyle w:val="Heading2"/>
        <w:keepNext/>
        <w:widowControl/>
      </w:pPr>
      <w:r>
        <w:t>3.2. Trump como negociador maximalista</w:t>
      </w:r>
    </w:p>
    <w:p>
      <w:pPr>
        <w:widowControl/>
        <w:spacing w:before="0" w:after="160"/>
      </w:pPr>
      <w:r>
        <w:rPr>
          <w:rFonts w:ascii="Calibri" w:hAnsi="Calibri"/>
          <w:i w:val="0"/>
          <w:color w:val="20272E"/>
        </w:rPr>
        <w:t>Yeo interpreta las amenazas sobre Canadá, Groenlandia, Venezuela o el control de recursos no como programas literales que deban cumplirse por entero, sino como posiciones de apertura. El método consiste en formular una exigencia extrema, elevar el coste psicológico de la resistencia y obtener una concesión que antes habría parecido inaceptable. La estrategia puede ser eficaz bilateralmente, pero genera un problema sistémico: aliados y socios dejan de considerar los compromisos estadounidenses como un marco estable y empiezan a cubrirse frente a la incertidumbre.</w:t>
      </w:r>
    </w:p>
    <w:p>
      <w:pPr>
        <w:widowControl/>
        <w:spacing w:before="0" w:after="160"/>
      </w:pPr>
      <w:r>
        <w:rPr>
          <w:rFonts w:ascii="Calibri" w:hAnsi="Calibri"/>
          <w:i w:val="0"/>
          <w:color w:val="20272E"/>
        </w:rPr>
        <w:t>La expresión más importante es que Trump “no tiene sentido de la historia”. Yeo no lo describe como gran estratega que diseña la multipolaridad, sino como agente que acelera corrientes que no comprende plenamente. Esta distinción evita personalizar en exceso el cambio de época: otro presidente quizá usaría un lenguaje distinto, pero también afrontaría la reducción del margen fiscal, el ascenso chino, la fatiga de las guerras prolongadas y la presión por reconstruir la base productiva.</w:t>
      </w:r>
    </w:p>
    <w:p>
      <w:pPr>
        <w:pStyle w:val="Heading2"/>
        <w:keepNext/>
        <w:widowControl/>
      </w:pPr>
      <w:r>
        <w:t>3.3. El dólar, la red militar y el límite de la tesis financiera</w:t>
      </w:r>
    </w:p>
    <w:p>
      <w:pPr>
        <w:widowControl/>
        <w:spacing w:before="0" w:after="160"/>
      </w:pPr>
      <w:r>
        <w:rPr>
          <w:rFonts w:ascii="Calibri" w:hAnsi="Calibri"/>
          <w:i w:val="0"/>
          <w:color w:val="20272E"/>
        </w:rPr>
        <w:t>Según Yeo, el privilegio de la moneda de reserva permite que usuarios extranjeros del dólar contribuyan indirectamente a sostener la red global de bases; si se rompe el “hechizo”, Estados Unidos deberá clausurar instalaciones y restringir su política exterior. El argumento capta una relación real: la demanda internacional de activos seguros denominados en dólares reduce costes de financiación y amplía la capacidad de sanción. Sin embargo, la cadena causal está condensada en exceso. Las bases se financian mediante el presupuesto aprobado por el Congreso, no mediante una transferencia directa de quienes utilizan dólares. El privilegio monetario facilita la financiación general del Estado, pero no determina por sí solo el volumen del despliegue militar.</w:t>
      </w:r>
    </w:p>
    <w:p>
      <w:pPr>
        <w:widowControl/>
        <w:spacing w:before="0" w:after="160"/>
      </w:pPr>
      <w:r>
        <w:rPr>
          <w:rFonts w:ascii="Calibri" w:hAnsi="Calibri"/>
          <w:i w:val="0"/>
          <w:color w:val="20272E"/>
        </w:rPr>
        <w:t>Además, debilitamiento no equivale a sustitución inmediata. El FMI situó al dólar cerca del 57 % de las reservas mundiales al cierre de 2025, muy por delante del euro, mientras el renminbi permanecía alrededor del 2 %. Existe diversificación, compras de oro y búsqueda de mecanismos de pago alternativos, pero todavía no hay un activo rival que combine profundidad, liquidez, convertibilidad, Estado de derecho financiero y alcance geopolítico comparables. La imagen más rigurosa no es un colapso súbito, sino una erosión gradual del monopolio funcional del dólar.</w:t>
      </w:r>
    </w:p>
    <w:p>
      <w:pPr>
        <w:pStyle w:val="Heading2"/>
        <w:keepNext/>
        <w:widowControl/>
      </w:pPr>
      <w:r>
        <w:t>3.4. La enfermedad del cuerpo político</w:t>
      </w:r>
    </w:p>
    <w:p>
      <w:pPr>
        <w:widowControl/>
        <w:spacing w:before="0" w:after="160"/>
      </w:pPr>
      <w:r>
        <w:rPr>
          <w:rFonts w:ascii="Calibri" w:hAnsi="Calibri"/>
          <w:i w:val="0"/>
          <w:color w:val="20272E"/>
        </w:rPr>
        <w:t>Yeo desplaza luego el diagnóstico desde la competencia con China hacia la sociedad estadounidense. Las adicciones no serían sólo un problema de oferta —fentanilo, cocaína, heroína u opioides— sino demanda de anestesia. La analogía con el opio en la China del siglo XIX le sirve para formular una cuestión sociológica: ¿qué dolor colectivo hace deseable el entumecimiento? La respuesta queda abierta, pero el marco sugiere soledad, desindustrialización, pérdida de estatus, debilitamiento familiar, desigualdad territorial y falta de propósito común.</w:t>
      </w:r>
    </w:p>
    <w:p>
      <w:pPr>
        <w:widowControl/>
        <w:spacing w:before="0" w:after="160"/>
      </w:pPr>
      <w:r>
        <w:rPr>
          <w:rFonts w:ascii="Calibri" w:hAnsi="Calibri"/>
          <w:i w:val="0"/>
          <w:color w:val="20272E"/>
        </w:rPr>
        <w:t>Este razonamiento es potente porque rechaza la explicación puramente externa. Culpar a productores, traficantes o farmacéuticas puede ser necesario para asignar responsabilidades, pero no explica por qué una sociedad crea mercados tan extensos para sustancias destructivas. El límite reside en el vocabulario orgánico: hablar de una sociedad “enferma” ilumina la gravedad, aunque corre el riesgo de homogeneizar experiencias muy distintas y de convertir fenómenos sanitarios complejos en síntomas de una decadencia general.</w:t>
      </w:r>
    </w:p>
    <w:p>
      <w:pPr>
        <w:pStyle w:val="Heading2"/>
        <w:keepNext/>
        <w:widowControl/>
      </w:pPr>
      <w:r>
        <w:t>3.5. MAGA y la política de la restauración imposible</w:t>
      </w:r>
    </w:p>
    <w:p>
      <w:pPr>
        <w:widowControl/>
        <w:spacing w:before="0" w:after="160"/>
      </w:pPr>
      <w:r>
        <w:rPr>
          <w:rFonts w:ascii="Calibri" w:hAnsi="Calibri"/>
          <w:i w:val="0"/>
          <w:color w:val="20272E"/>
        </w:rPr>
        <w:t>La lectura semántica de “Make America Great Again” sostiene que el lema reconoce una pérdida: si hay que volver a ser grande, la grandeza presente se considera insuficiente. Yeo ve tanto en el trumpismo como en sus adversarios una mirada retrospectiva. Unos aspiran a recuperar fronteras, jerarquías sociales y soberanía industrial; otros idealizan el periodo liberal previo. Ninguno habría articulado todavía un contrato para el futuro.</w:t>
      </w:r>
    </w:p>
    <w:p>
      <w:pPr>
        <w:widowControl/>
        <w:spacing w:before="0" w:after="160"/>
      </w:pPr>
      <w:r>
        <w:rPr>
          <w:rFonts w:ascii="Calibri" w:hAnsi="Calibri"/>
          <w:i w:val="0"/>
          <w:color w:val="20272E"/>
        </w:rPr>
        <w:t>La inmigración concentra la contradicción. Restringirla protege una cierta representación cultural de la nación, pero agrava envejecimiento y escasez de trabajo; mantenerla sostiene dinamismo y población, pero acelera la transformación demográfica que alimenta la reacción identitaria. Yeo no ofrece una política concreta: insiste en que Estados Unidos deberá resolverla internamente. Esa reserva es importante. Su diagnóstico no conduce a un programa universal, sino a la obligación de construir una nueva legitimidad nacional.</w:t>
      </w:r>
    </w:p>
    <w:p>
      <w:pPr>
        <w:pStyle w:val="Heading2"/>
        <w:keepNext/>
        <w:widowControl/>
      </w:pPr>
      <w:r>
        <w:t>3.6. ¿Declive terminal o capacidad de regeneración?</w:t>
      </w:r>
    </w:p>
    <w:p>
      <w:pPr>
        <w:widowControl/>
        <w:spacing w:before="0" w:after="160"/>
      </w:pPr>
      <w:r>
        <w:rPr>
          <w:rFonts w:ascii="Calibri" w:hAnsi="Calibri"/>
          <w:i w:val="0"/>
          <w:color w:val="20272E"/>
        </w:rPr>
        <w:t>Yeo no descarta la recuperación estadounidense. Recuerda la Guerra Civil, las guerras mundiales, Vietnam y la renovación de la era Reagan para reconocer una notable capacidad de curación. Su propia experiencia con antiguos compañeros de Harvard, preocupados por el declive, funciona como indicio de pérdida de confianza, no como prueba estadística. La cuestión decisiva es si la actual combinación de deuda, polarización, desigualdad, desconfianza institucional y competencia exterior es otra crisis cíclica o un cambio estructural.</w:t>
      </w:r>
    </w:p>
    <w:p>
      <w:pPr>
        <w:widowControl/>
        <w:spacing w:before="0" w:after="160"/>
      </w:pPr>
      <w:r>
        <w:rPr>
          <w:rFonts w:ascii="Calibri" w:hAnsi="Calibri"/>
          <w:i w:val="0"/>
          <w:color w:val="20272E"/>
        </w:rPr>
        <w:t>Formula dos escenarios. En el primero, Estados Unidos se reforma durante una o dos décadas y se convierte en un polo menos dominante, pero todavía innovador, rico y estabilizador. En el segundo, la descomposición continúa y produce consecuencias comparables —por amplitud, no por identidad— a las grandes caídas imperiales. La metáfora del “león herido” resume el riesgo: una potencia que teme perder posición puede asumir más peligros, no menos.</w:t>
      </w:r>
    </w:p>
    <w:p>
      <w:pPr>
        <w:pStyle w:val="Heading1"/>
        <w:keepNext/>
        <w:widowControl/>
      </w:pPr>
      <w:r>
        <w:t>4. Del momento unipolar a un mundo multipolar</w:t>
      </w:r>
    </w:p>
    <w:p>
      <w:pPr>
        <w:pStyle w:val="Heading2"/>
        <w:keepNext/>
        <w:widowControl/>
      </w:pPr>
      <w:r>
        <w:t>4.1. Los polos previstos</w:t>
      </w:r>
    </w:p>
    <w:p>
      <w:pPr>
        <w:widowControl/>
        <w:spacing w:before="0" w:after="160"/>
      </w:pPr>
      <w:r>
        <w:rPr>
          <w:rFonts w:ascii="Calibri" w:hAnsi="Calibri"/>
          <w:i w:val="0"/>
          <w:color w:val="20272E"/>
        </w:rPr>
        <w:t>El orden venidero no es bipolar. Estados Unidos conservará prestigio, tecnología, finanzas y capacidad militar; China será otro gran centro, quizá mayor en producción medida a paridad de poder adquisitivo, aunque no en todos los indicadores nominales o financieros. Rusia mantendrá relevancia por territorio, recursos, armas nucleares y cultura estratégica. Europa sólo actuará como polo si preserva la cohesión de la Unión y desarrolla autonomía. India será un polo por escala demográfica, civilización y margen diplomático. Brasil tendrá influencia continental. La lista no es una clasificación exacta, sino un mapa de unidades capaces de resistir subordinación completa.</w:t>
      </w:r>
    </w:p>
    <w:p>
      <w:pPr>
        <w:widowControl/>
        <w:spacing w:before="0" w:after="160"/>
      </w:pPr>
      <w:r>
        <w:rPr>
          <w:rFonts w:ascii="Calibri" w:hAnsi="Calibri"/>
          <w:i w:val="0"/>
          <w:color w:val="20272E"/>
        </w:rPr>
        <w:t>La multipolaridad de Yeo tampoco se limita a Estados. Familias, diásporas, religiones, empresas, plataformas digitales y redes financieras atraviesan fronteras. La ciudadanía y el patriotismo pierden parte de su exclusividad porque las personas cambian residencia, pasaporte y afiliaciones sin romper todos sus vínculos anteriores. En este sentido, el nuevo orden es simultáneamente multipolar y reticular: centros estatales de poder conviven con comunidades transnacionales.</w:t>
      </w:r>
    </w:p>
    <w:p>
      <w:pPr>
        <w:pStyle w:val="Heading2"/>
        <w:keepNext/>
        <w:widowControl/>
      </w:pPr>
      <w:r>
        <w:t>4.2. Multipolaridad no significa equilibrio benigno</w:t>
      </w:r>
    </w:p>
    <w:p>
      <w:pPr>
        <w:widowControl/>
        <w:spacing w:before="0" w:after="160"/>
      </w:pPr>
      <w:r>
        <w:rPr>
          <w:rFonts w:ascii="Calibri" w:hAnsi="Calibri"/>
          <w:i w:val="0"/>
          <w:color w:val="20272E"/>
        </w:rPr>
        <w:t>Yeo insiste en la inevitabilidad del cambio, pero no lo presenta como pacífico. Las transiciones redistribuyen expectativas antes de que existan reglas aceptadas. Cada actor intenta conservar o ampliar su posición; las instituciones heredadas reflejan pesos antiguos; y las zonas intermedias temen convertirse en tableros de competencia. La incertidumbre no es una anomalía pasajera: es la condición normal de un sistema cuyo equilibrio todavía no se ha estabilizado.</w:t>
      </w:r>
    </w:p>
    <w:p>
      <w:pPr>
        <w:widowControl/>
        <w:spacing w:before="0" w:after="160"/>
      </w:pPr>
      <w:r>
        <w:rPr>
          <w:rFonts w:ascii="Calibri" w:hAnsi="Calibri"/>
          <w:i w:val="0"/>
          <w:color w:val="20272E"/>
        </w:rPr>
        <w:t>La crítica occidental de la multipolaridad sostiene que el concepto puede encubrir esferas de influencia y justificar la coerción de potencias regionales. Yeo responde que la fuerza siempre ha sido un factor, incluso bajo un supuesto orden basado en reglas. Su réplica desenmascara dobles raseros, pero no resuelve el problema normativo: reconocer la fuerza no obliga a legitimar cualquier uso de ella. La multipolaridad describe una distribución de poder; para convertirse en orden necesita límites, instituciones y expectativas de reciprocidad.</w:t>
      </w:r>
    </w:p>
    <w:p>
      <w:pPr>
        <w:pStyle w:val="Heading1"/>
        <w:keepNext/>
        <w:widowControl/>
      </w:pPr>
      <w:r>
        <w:t>5. El “siglo asiático” como recuperación civilizatoria</w:t>
      </w:r>
    </w:p>
    <w:p>
      <w:pPr>
        <w:pStyle w:val="Heading2"/>
        <w:keepNext/>
        <w:widowControl/>
      </w:pPr>
      <w:r>
        <w:t>5.1. Una periodización de larga duración</w:t>
      </w:r>
    </w:p>
    <w:p>
      <w:pPr>
        <w:widowControl/>
        <w:spacing w:before="0" w:after="160"/>
      </w:pPr>
      <w:r>
        <w:rPr>
          <w:rFonts w:ascii="Calibri" w:hAnsi="Calibri"/>
          <w:i w:val="0"/>
          <w:color w:val="20272E"/>
        </w:rPr>
        <w:t>Yeo sitúa la gran expansión occidental entre 1492 y 1978: desde la llegada de Colón a América hasta el inicio de la reforma de Deng Xiaoping. La periodización es deliberadamente simbólica. Resume casi cinco siglos en los que navegaciones, ciencia, finanzas, industria, imperios y, finalmente, poder estadounidense imprimieron categorías occidentales al planeta: lengua, vestimenta, urbanismo, educación y modos de clasificar la realidad. El final de ese periodo no elimina su huella; indica que sociedades antes subordinadas recuperan capacidad de definir sus propios fines.</w:t>
      </w:r>
    </w:p>
    <w:p>
      <w:pPr>
        <w:widowControl/>
        <w:spacing w:before="0" w:after="160"/>
      </w:pPr>
      <w:r>
        <w:rPr>
          <w:rFonts w:ascii="Calibri" w:hAnsi="Calibri"/>
          <w:i w:val="0"/>
          <w:color w:val="20272E"/>
        </w:rPr>
        <w:t>El “siglo asiático” no dependería de una política particular ni de que todos los años China crezca más que Estados Unidos. Es un ciclo de densidad: China, India y el Sudeste Asiático concentran más de la mitad de la humanidad, industrialización, mercados y confianza cultural. La tesis soporta desaceleraciones coyunturales porque opera a escala generacional. Su riesgo es el determinismo: ninguna civilización recupera automáticamente una posición pasada; demografía, clima, instituciones, conflictos y tecnología pueden modificar la trayectoria.</w:t>
      </w:r>
    </w:p>
    <w:p>
      <w:pPr>
        <w:pStyle w:val="Heading2"/>
        <w:keepNext/>
        <w:widowControl/>
      </w:pPr>
      <w:r>
        <w:t>5.2. China: universo autocentrado y advertencia de Qianlong</w:t>
      </w:r>
    </w:p>
    <w:p>
      <w:pPr>
        <w:widowControl/>
        <w:spacing w:before="0" w:after="160"/>
      </w:pPr>
      <w:r>
        <w:rPr>
          <w:rFonts w:ascii="Calibri" w:hAnsi="Calibri"/>
          <w:i w:val="0"/>
          <w:color w:val="20272E"/>
        </w:rPr>
        <w:t>China aparece como un “universo en sí mismo”: gran mercado interno, diversidad territorial, cadenas productivas y continuidad histórica suficientes para sostener una circulación económica propia. Yeo no defiende el aislamiento. Al contrario, recuerda el final del reinado de Qianlong como advertencia contra la autosatisfacción: cuando una potencia cree que nadie puede enseñarle nada, deja de aprender y prepara su declive. La autonomía china debe combinar masa interna y atención permanente al exterior.</w:t>
      </w:r>
    </w:p>
    <w:p>
      <w:pPr>
        <w:pStyle w:val="Heading2"/>
        <w:keepNext/>
        <w:widowControl/>
      </w:pPr>
      <w:r>
        <w:t>5.3. La tesis de la no colonización</w:t>
      </w:r>
    </w:p>
    <w:p>
      <w:pPr>
        <w:widowControl/>
        <w:spacing w:before="0" w:after="160"/>
      </w:pPr>
      <w:r>
        <w:rPr>
          <w:rFonts w:ascii="Calibri" w:hAnsi="Calibri"/>
          <w:i w:val="0"/>
          <w:color w:val="20272E"/>
        </w:rPr>
        <w:t>Yeo sostiene que chinos e indios no desean convertir a otros pueblos en copias de sí mismos. China valoraría su homogeneidad relativa y no querría absorber poblaciones gigantescas que complicaran el gobierno. La memoria histórica mostraría, además, que conquistar territorios produce ganancias iniciales y resentimientos duraderos. Por eso el ascenso asiático no reproduciría necesariamente el colonialismo europeo.</w:t>
      </w:r>
    </w:p>
    <w:p>
      <w:pPr>
        <w:widowControl/>
        <w:spacing w:before="0" w:after="160"/>
      </w:pPr>
      <w:r>
        <w:rPr>
          <w:rFonts w:ascii="Calibri" w:hAnsi="Calibri"/>
          <w:i w:val="0"/>
          <w:color w:val="20272E"/>
        </w:rPr>
        <w:t>Conviene separar tres afirmaciones. La primera —China no busca una colonización ultramarina idéntica a la de los imperios europeos— es razonable. La segunda —carece de toda vocación expansiva— es demasiado absoluta: la historia imperial china incluye incorporaciones territoriales, jerarquías tributarias, sinización y coerción en periferias. La tercera —su influencia contemporánea será no coercitiva— no se deduce de la cultura. Dependencias financieras, control de infraestructuras, presión comercial, operaciones marítimas o amenazas militares pueden limitar la autonomía sin producir colonias formales. El concepto relevante no es sólo colonialismo, sino asimetría de poder.</w:t>
      </w:r>
    </w:p>
    <w:p>
      <w:pPr>
        <w:pStyle w:val="Heading2"/>
        <w:keepNext/>
        <w:widowControl/>
      </w:pPr>
      <w:r>
        <w:t>5.4. India, Bharat y la necesidad de trascender Hindutva</w:t>
      </w:r>
    </w:p>
    <w:p>
      <w:pPr>
        <w:widowControl/>
        <w:spacing w:before="0" w:after="160"/>
      </w:pPr>
      <w:r>
        <w:rPr>
          <w:rFonts w:ascii="Calibri" w:hAnsi="Calibri"/>
          <w:i w:val="0"/>
          <w:color w:val="20272E"/>
        </w:rPr>
        <w:t>India representa para Yeo una civilización unida sin haber sido históricamente una sola entidad política. La multiplicidad regional de los relatos de Shiva, compatibles entre sí, simboliza una memoria compartida. El hinduismo proporciona profundidad precolonial y explica el atractivo del Bharatiya Janata Party y del nombre Bharat: mirar atrás sirve para recomponer autoestima y avanzar hacia el futuro.</w:t>
      </w:r>
    </w:p>
    <w:p>
      <w:pPr>
        <w:widowControl/>
        <w:spacing w:before="0" w:after="160"/>
      </w:pPr>
      <w:r>
        <w:rPr>
          <w:rFonts w:ascii="Calibri" w:hAnsi="Calibri"/>
          <w:i w:val="0"/>
          <w:color w:val="20272E"/>
        </w:rPr>
        <w:t>Pero la reconstrucción identitaria puede excluir. Si Hindutva se convierte en criterio exhaustivo de pertenencia, aliena a musulmanes, cristianos y otras minorías. Yeo lo concibe como fase de fortalecimiento que India deberá trascender. Esta observación es una de las más equilibradas de la entrevista: reconoce el poder movilizador de la memoria sin confundir civilización mayoritaria con ciudadanía completa.</w:t>
      </w:r>
    </w:p>
    <w:p>
      <w:pPr>
        <w:pStyle w:val="Heading2"/>
        <w:keepNext/>
        <w:widowControl/>
      </w:pPr>
      <w:r>
        <w:t>5.5. Sudeste Asiático: identidades pequeñas entre dos masas</w:t>
      </w:r>
    </w:p>
    <w:p>
      <w:pPr>
        <w:widowControl/>
        <w:spacing w:before="0" w:after="160"/>
      </w:pPr>
      <w:r>
        <w:rPr>
          <w:rFonts w:ascii="Calibri" w:hAnsi="Calibri"/>
          <w:i w:val="0"/>
          <w:color w:val="20272E"/>
        </w:rPr>
        <w:t>Entre China e India se sitúa un Sudeste Asiático compuesto por once países tras la incorporación de Timor-Leste a ASEAN, con combinaciones distintas de influencias indias, chinas, islámicas, europeas y autóctonas. Ninguno puede determinar por sí solo la historia regional, pero todos necesitan una identidad enraizada. Yeo compara esa persistencia con portugueses, lituanos o húngaros: el tamaño no elimina la voluntad de seguir siendo una comunidad reconocible.</w:t>
      </w:r>
    </w:p>
    <w:p>
      <w:pPr>
        <w:widowControl/>
        <w:spacing w:before="0" w:after="160"/>
      </w:pPr>
      <w:r>
        <w:rPr>
          <w:rFonts w:ascii="Calibri" w:hAnsi="Calibri"/>
          <w:i w:val="0"/>
          <w:color w:val="20272E"/>
        </w:rPr>
        <w:t>La implicación estratégica es clara. ASEAN no debe convertirse en prolongación de un polo. Su utilidad reside en crear un espacio intermedio donde Estados pequeños negocian juntos, reducen la posibilidad de ser intimidados y evitan que las rivalidades externas fragmenten la región. La identidad nacional y la integración regional no son opuestas: la primera proporciona cohesión; la segunda, escala.</w:t>
      </w:r>
    </w:p>
    <w:p>
      <w:pPr>
        <w:pStyle w:val="Heading1"/>
        <w:keepNext/>
        <w:widowControl/>
      </w:pPr>
      <w:r>
        <w:t>6. China desde dentro: sucesión, corrupción y confucianismo</w:t>
      </w:r>
    </w:p>
    <w:p>
      <w:pPr>
        <w:pStyle w:val="Heading2"/>
        <w:keepNext/>
        <w:widowControl/>
      </w:pPr>
      <w:r>
        <w:t>6.1. Primacía de la fortaleza interna</w:t>
      </w:r>
    </w:p>
    <w:p>
      <w:pPr>
        <w:widowControl/>
        <w:spacing w:before="0" w:after="160"/>
      </w:pPr>
      <w:r>
        <w:rPr>
          <w:rFonts w:ascii="Calibri" w:hAnsi="Calibri"/>
          <w:i w:val="0"/>
          <w:color w:val="20272E"/>
        </w:rPr>
        <w:t>Cuando se le pregunta qué puede descarrilar a China, Yeo responde que el peligro es siempre doméstico. Una China cohesionada dispone de población, conocimiento, recursos y capacidad administrativa para absorber presiones externas. Una China dividida vuelve críticas esas mismas presiones. Los periodos entre dinastías —Estados Combatientes, Tres Reinos, fragmentaciones posteriores a Han y Tang— funcionan como memoria de los costes extremos de la desunión.</w:t>
      </w:r>
    </w:p>
    <w:p>
      <w:pPr>
        <w:pStyle w:val="Heading2"/>
        <w:keepNext/>
        <w:widowControl/>
      </w:pPr>
      <w:r>
        <w:t>6.2. La sucesión como riesgo permanente, no excepcional</w:t>
      </w:r>
    </w:p>
    <w:p>
      <w:pPr>
        <w:widowControl/>
        <w:spacing w:before="0" w:after="160"/>
      </w:pPr>
      <w:r>
        <w:rPr>
          <w:rFonts w:ascii="Calibri" w:hAnsi="Calibri"/>
          <w:i w:val="0"/>
          <w:color w:val="20272E"/>
        </w:rPr>
        <w:t>Yeo reconoce el “riesgo del hombre clave”, pero niega que la ausencia de sucesor visible constituya el principal problema. China habría afrontado siempre la transmisión del mando y acumulado experiencia para gestionarla. Afirma, además, que la selección mediante sufragio universal no se ajusta a su tradición, aunque pueda ser adecuada en India u Occidente. Esta postura relativista evita exportar un modelo único, pero subestima que la concentración personal del poder puede destruir precisamente las normas de sucesión aprendidas. La historia ofrece experiencia; no garantiza un desenlace ordenado.</w:t>
      </w:r>
    </w:p>
    <w:p>
      <w:pPr>
        <w:pStyle w:val="Heading2"/>
        <w:keepNext/>
        <w:widowControl/>
      </w:pPr>
      <w:r>
        <w:t>6.3. La corrupción como degeneración de la relación</w:t>
      </w:r>
    </w:p>
    <w:p>
      <w:pPr>
        <w:widowControl/>
        <w:spacing w:before="0" w:after="160"/>
      </w:pPr>
      <w:r>
        <w:rPr>
          <w:rFonts w:ascii="Calibri" w:hAnsi="Calibri"/>
          <w:i w:val="0"/>
          <w:color w:val="20272E"/>
        </w:rPr>
        <w:t>La tesis más singular vincula corrupción y confucianismo. El orden confuciano distingue obligaciones entre gobernante y ministro, padres e hijos, hermanos, amigos, parientes y desconocidos. Los hongbao de Año Nuevo ilustran cómo los intercambios expresan la intensidad de un vínculo. El problema aparece cuando el regalo deja de simbolizar reciprocidad y compra una decisión pública. Entre relación, favor y soborno existe una pendiente resbaladiza.</w:t>
      </w:r>
    </w:p>
    <w:p>
      <w:pPr>
        <w:widowControl/>
        <w:spacing w:before="0" w:after="160"/>
      </w:pPr>
      <w:r>
        <w:rPr>
          <w:rFonts w:ascii="Calibri" w:hAnsi="Calibri"/>
          <w:i w:val="0"/>
          <w:color w:val="20272E"/>
        </w:rPr>
        <w:t>Yeo interpreta la campaña anticorrupción de Xi Jinping como una lucha prolongada contra capas sucesivas de redes clientelares, también en las fuerzas armadas. Comprende —sin declararla plenamente justificada— la extensión del mandato de Xi como condición para sostener esa campaña. El argumento contiene una dificultad: cuanto más se centraliza la depuración en un líder, más difícil resulta distinguir la limpieza institucional de la disciplina política y de la eliminación de rivales. Una política anticorrupción duradera necesita procedimientos previsibles, transparencia, controles, independencia investigadora y protección frente a la selectividad, no sólo voluntad en la cúspide.</w:t>
      </w:r>
    </w:p>
    <w:p>
      <w:pPr>
        <w:pStyle w:val="Heading2"/>
        <w:keepNext/>
        <w:widowControl/>
      </w:pPr>
      <w:r>
        <w:t>6.4. Cultura e instituciones: una falsa alternativa</w:t>
      </w:r>
    </w:p>
    <w:p>
      <w:pPr>
        <w:widowControl/>
        <w:spacing w:before="0" w:after="160"/>
      </w:pPr>
      <w:r>
        <w:rPr>
          <w:rFonts w:ascii="Calibri" w:hAnsi="Calibri"/>
          <w:i w:val="0"/>
          <w:color w:val="20272E"/>
        </w:rPr>
        <w:t>La entrevistadora objeta que otros atribuirían la corrupción al autoritarismo. Yeo responde que es un subproducto cultural profundo. La contraposición puede reformularse: las relaciones sociales crean oportunidades y obligaciones informales; las instituciones determinan qué conductas pueden prosperar, cuánto riesgo entrañan y qué mecanismos existen para corregirlas. Confucianismo y autoritarismo no son explicaciones mutuamente excluyentes. Tampoco la corrupción es singularmente china: aparece en democracias y autocracias, aunque adopta formas distintas.</w:t>
      </w:r>
    </w:p>
    <w:p>
      <w:pPr>
        <w:pStyle w:val="Heading2"/>
        <w:keepNext/>
        <w:widowControl/>
      </w:pPr>
      <w:r>
        <w:t>6.5. Hacia un “neo-neoconfucianismo”</w:t>
      </w:r>
    </w:p>
    <w:p>
      <w:pPr>
        <w:widowControl/>
        <w:spacing w:before="0" w:after="160"/>
      </w:pPr>
      <w:r>
        <w:rPr>
          <w:rFonts w:ascii="Calibri" w:hAnsi="Calibri"/>
          <w:i w:val="0"/>
          <w:color w:val="20272E"/>
        </w:rPr>
        <w:t>Yeo no propone eliminar los vínculos. Recuerda la combinación histórica entre fa —ley, asociada al legalismo— y li —ritual, decoro y conducta apropiada—. El imperio Qin mostró el límite de la coerción desnuda; Han incorporó normas relacionales que hicieron más estable el orden. El desafío contemporáneo consiste en traducir esa combinación a ciudades masivas, internet, inteligencia artificial y administración digital. Su “neo-neoconfucianismo” es menos una doctrina acabada que una pregunta: ¿cómo conservar responsabilidad mutua sin permitir que la proximidad privatice el Estado?</w:t>
      </w:r>
    </w:p>
    <w:p>
      <w:pPr>
        <w:pStyle w:val="Heading1"/>
        <w:keepNext/>
        <w:widowControl/>
      </w:pPr>
      <w:r>
        <w:t>7. Taiwán: historia, disuasión y límites del pronóstico</w:t>
      </w:r>
    </w:p>
    <w:p>
      <w:pPr>
        <w:pStyle w:val="Heading2"/>
        <w:keepNext/>
        <w:widowControl/>
      </w:pPr>
      <w:r>
        <w:t>7.1. El origen de la separación</w:t>
      </w:r>
    </w:p>
    <w:p>
      <w:pPr>
        <w:widowControl/>
        <w:spacing w:before="0" w:after="160"/>
      </w:pPr>
      <w:r>
        <w:rPr>
          <w:rFonts w:ascii="Calibri" w:hAnsi="Calibri"/>
          <w:i w:val="0"/>
          <w:color w:val="20272E"/>
        </w:rPr>
        <w:t>Yeo afirma que Taiwán habría sido reincorporado por la República Popular después de 1949 si la Guerra de Corea no hubiera llevado a Estados Unidos a desplegar la Séptima Flota. La secuencia histórica está bien establecida: en junio de 1950, Truman ordenó neutralizar el estrecho y detener tanto un ataque comunista contra Taiwán como operaciones nacionalistas contra el continente. Esa intervención congeló militarmente un resultado todavía abierto de la guerra civil.</w:t>
      </w:r>
    </w:p>
    <w:p>
      <w:pPr>
        <w:widowControl/>
        <w:spacing w:before="0" w:after="160"/>
      </w:pPr>
      <w:r>
        <w:rPr>
          <w:rFonts w:ascii="Calibri" w:hAnsi="Calibri"/>
          <w:i w:val="0"/>
          <w:color w:val="20272E"/>
        </w:rPr>
        <w:t>Sin embargo, del origen de la separación no se sigue que el presente sea sólo una anomalía exterior. Más de siete décadas de gobierno separado han producido instituciones, elecciones, identidades y expectativas propias. La historia explica el punto de partida, pero no anula la agencia política acumulada de la población taiwanesa.</w:t>
      </w:r>
    </w:p>
    <w:p>
      <w:pPr>
        <w:pStyle w:val="Heading2"/>
        <w:keepNext/>
        <w:widowControl/>
      </w:pPr>
      <w:r>
        <w:t>7.2. El cálculo de Yeo: enfriamiento y realineamiento político</w:t>
      </w:r>
    </w:p>
    <w:p>
      <w:pPr>
        <w:widowControl/>
        <w:spacing w:before="0" w:after="160"/>
      </w:pPr>
      <w:r>
        <w:rPr>
          <w:rFonts w:ascii="Calibri" w:hAnsi="Calibri"/>
          <w:i w:val="0"/>
          <w:color w:val="20272E"/>
        </w:rPr>
        <w:t>En el momento de la entrevista, Yeo percibe estabilización entre Washington y Pekín, incentivos económicos estadounidenses para evitar una crisis y acercamiento del Kuomintang a China. Interpreta la fórmula “ambos lados del estrecho son una familia” como una posible base para aproximar a los campos azul y blanco y obligar al verde a responder. El foco analítico se desplaza así desde una invasión inminente hacia la política interna taiwanesa y las señales de credibilidad estadounidense.</w:t>
      </w:r>
    </w:p>
    <w:p>
      <w:pPr>
        <w:pStyle w:val="Heading2"/>
        <w:keepNext/>
        <w:widowControl/>
      </w:pPr>
      <w:r>
        <w:t>7.3. Por qué considera improbable la guerra</w:t>
      </w:r>
    </w:p>
    <w:p>
      <w:pPr>
        <w:widowControl/>
        <w:spacing w:before="0" w:after="160"/>
      </w:pPr>
      <w:r>
        <w:rPr>
          <w:rFonts w:ascii="Calibri" w:hAnsi="Calibri"/>
          <w:i w:val="0"/>
          <w:color w:val="20272E"/>
        </w:rPr>
        <w:t>Su razonamiento combina cuatro costes. Primero, los misiles hipersónicos chinos amenazarían portaaviones y bases avanzadas. Segundo, proyectar fuerza sobre el estrecho sería extremadamente difícil. Tercero, TSMC y la infraestructura de semiconductores podrían quedar destruidas, afectando al conjunto de la economía mundial. Cuarto, ninguna parte puede asegurar una victoria limpia. La conclusión es que todos elaborarán planes, pero evitarán ejecutarlos.</w:t>
      </w:r>
    </w:p>
    <w:p>
      <w:pPr>
        <w:pStyle w:val="Heading2"/>
        <w:keepNext/>
        <w:widowControl/>
      </w:pPr>
      <w:r>
        <w:t>7.4. Evaluación crítica</w:t>
      </w:r>
    </w:p>
    <w:p>
      <w:pPr>
        <w:widowControl/>
        <w:spacing w:before="0" w:after="160"/>
      </w:pPr>
      <w:r>
        <w:rPr>
          <w:rFonts w:ascii="Calibri" w:hAnsi="Calibri"/>
          <w:i w:val="0"/>
          <w:color w:val="20272E"/>
        </w:rPr>
        <w:t>La disuasión hace razonable rechazar el fatalismo bélico, pero “altamente improbable” no equivale a imposible. Las guerras pueden comenzar por percepciones erróneas, presión política, bloqueo gradual, accidente o creencia de que la ventana estratégica se cierra. Las armas hipersónicas complican la intervención estadounidense, pero no eliminan submarinos, bombarderos, bases dispersas, aliados, minas, capacidades espaciales y cibernéticas. Tampoco el desastre de los semiconductores garantiza moderación si los líderes atribuyen prioridad existencial a la soberanía.</w:t>
      </w:r>
    </w:p>
    <w:p>
      <w:pPr>
        <w:widowControl/>
        <w:spacing w:before="0" w:after="160"/>
      </w:pPr>
      <w:r>
        <w:rPr>
          <w:rFonts w:ascii="Calibri" w:hAnsi="Calibri"/>
          <w:i w:val="0"/>
          <w:color w:val="20272E"/>
        </w:rPr>
        <w:t>La afirmación de que, sin Estados Unidos, la reunificación ocurriría “naturalmente” es la menos sólida. Las series del Election Study Center de la National Chengchi University muestran durante décadas el predominio de opciones de statu quo y el crecimiento de una identidad exclusivamente taiwanesa. No prueban voluntad de combatir, pero sí impiden reducir el futuro a una absorción automática. El desenlace depende de consentimiento, coerción, instituciones, percepción de riesgos y evolución de las identidades, no sólo del balance militar entre China y Estados Unidos.</w:t>
      </w:r>
    </w:p>
    <w:p>
      <w:pPr>
        <w:pStyle w:val="Heading1"/>
        <w:keepNext/>
        <w:widowControl/>
      </w:pPr>
      <w:r>
        <w:t>8. Occidente ante la pérdida de centralidad</w:t>
      </w:r>
    </w:p>
    <w:p>
      <w:pPr>
        <w:pStyle w:val="Heading2"/>
        <w:keepNext/>
        <w:widowControl/>
      </w:pPr>
      <w:r>
        <w:t>8.1. La alianza occidental como civilización y como política</w:t>
      </w:r>
    </w:p>
    <w:p>
      <w:pPr>
        <w:widowControl/>
        <w:spacing w:before="0" w:after="160"/>
      </w:pPr>
      <w:r>
        <w:rPr>
          <w:rFonts w:ascii="Calibri" w:hAnsi="Calibri"/>
          <w:i w:val="0"/>
          <w:color w:val="20272E"/>
        </w:rPr>
        <w:t>Yeo distingue una comunidad civilizatoria occidental de una construcción política unitaria. Tras la Guerra Fría se imaginó un espacio “de Vancouver a Vladivostok”, pero Rusia siguió una lógica propia; la guerra de Ucrania y la presión occidental estrecharon su cooperación con China. Las tensiones transatlánticas y el interés estadounidense por Groenlandia revelarían, además, que Estados Unidos calcula en función de sí mismo. La solidaridad cultural no elimina intereses divergentes.</w:t>
      </w:r>
    </w:p>
    <w:p>
      <w:pPr>
        <w:pStyle w:val="Heading2"/>
        <w:keepNext/>
        <w:widowControl/>
      </w:pPr>
      <w:r>
        <w:t>8.2. Las cinco etapas del duelo</w:t>
      </w:r>
    </w:p>
    <w:p>
      <w:pPr>
        <w:widowControl/>
        <w:spacing w:before="0" w:after="160"/>
      </w:pPr>
      <w:r>
        <w:rPr>
          <w:rFonts w:ascii="Calibri" w:hAnsi="Calibri"/>
          <w:i w:val="0"/>
          <w:color w:val="20272E"/>
        </w:rPr>
        <w:t>La metáfora psicológica organiza la reacción occidental al ascenso chino. La negación afirma que los datos son falsos o que China sólo copia. La ira denuncia robo, subsidios y violaciones de propiedad intelectual. La negociación acepta avances en vehículos eléctricos, baterías e IA y busca inversión, precios mínimos o transferencia tecnológica. Quedarían depresión y aceptación: reconocer el cambio, dejar de culpar exclusivamente al rival y reconstruir capacidades propias.</w:t>
      </w:r>
    </w:p>
    <w:p>
      <w:pPr>
        <w:widowControl/>
        <w:spacing w:before="0" w:after="160"/>
      </w:pPr>
      <w:r>
        <w:rPr>
          <w:rFonts w:ascii="Calibri" w:hAnsi="Calibri"/>
          <w:i w:val="0"/>
          <w:color w:val="20272E"/>
        </w:rPr>
        <w:t>La imagen es retóricamente eficaz porque muestra la pérdida de supremacía como trauma identitario. También simplifica. Las críticas occidentales a China no son sólo mecanismos de duelo: algunas describen prácticas reales de subsidio, coerción, espionaje, barreras de mercado o vulneración de derechos. A la inversa, aceptar el ascenso chino no exige aceptar todas sus políticas. Una respuesta madura debe combinar reconocimiento del nuevo balance con defensa coherente de intereses y normas.</w:t>
      </w:r>
    </w:p>
    <w:p>
      <w:pPr>
        <w:pStyle w:val="Heading2"/>
        <w:keepNext/>
        <w:widowControl/>
      </w:pPr>
      <w:r>
        <w:t>8.3. Confianza asiática y peligro de hubris</w:t>
      </w:r>
    </w:p>
    <w:p>
      <w:pPr>
        <w:widowControl/>
        <w:spacing w:before="0" w:after="160"/>
      </w:pPr>
      <w:r>
        <w:rPr>
          <w:rFonts w:ascii="Calibri" w:hAnsi="Calibri"/>
          <w:i w:val="0"/>
          <w:color w:val="20272E"/>
        </w:rPr>
        <w:t>Yeo observa mayor confianza en China, India y Corea. Japón afrontaría una transición más lenta por la presencia militar estadounidense, la constitución de posguerra y una memoria incompleta de sus agresiones imperiales. La confianza es productiva cuando permite innovar; se vuelve destructiva cuando genera arrogancia. La referencia a Qianlong reaparece: dejar de aprender inicia el descenso. De este modo, la crítica a la superioridad occidental se aplica también a Asia. La sustitución de un universalismo arrogante por otro no constituiría progreso.</w:t>
      </w:r>
    </w:p>
    <w:p>
      <w:pPr>
        <w:pStyle w:val="Heading1"/>
        <w:keepNext/>
        <w:widowControl/>
      </w:pPr>
      <w:r>
        <w:t>9. Inteligencia artificial, poder productivo y nueva cuestión social</w:t>
      </w:r>
    </w:p>
    <w:p>
      <w:pPr>
        <w:pStyle w:val="Heading2"/>
        <w:keepNext/>
        <w:widowControl/>
      </w:pPr>
      <w:r>
        <w:t>9.1. La tecnología reordena la jerarquía de las naciones</w:t>
      </w:r>
    </w:p>
    <w:p>
      <w:pPr>
        <w:widowControl/>
        <w:spacing w:before="0" w:after="160"/>
      </w:pPr>
      <w:r>
        <w:rPr>
          <w:rFonts w:ascii="Calibri" w:hAnsi="Calibri"/>
          <w:i w:val="0"/>
          <w:color w:val="20272E"/>
        </w:rPr>
        <w:t>Cada gran innovación, sostiene Yeo, divide a las sociedades entre quienes la adoptan con rapidez y quienes intentan contenerla para proteger el orden existente. Hace quinientos años, ciencia, armas, navegación, finanzas y organización permitieron a Europa adelantarse. La IA abre otra redistribución. El criterio no es únicamente inventar, sino desplegar, integrar y convertir conocimiento en productividad social.</w:t>
      </w:r>
    </w:p>
    <w:p>
      <w:pPr>
        <w:pStyle w:val="Heading2"/>
        <w:keepNext/>
        <w:widowControl/>
      </w:pPr>
      <w:r>
        <w:t>9.2. Dos estilos de competencia</w:t>
      </w:r>
    </w:p>
    <w:p>
      <w:pPr>
        <w:widowControl/>
        <w:spacing w:before="0" w:after="160"/>
      </w:pPr>
      <w:r>
        <w:rPr>
          <w:rFonts w:ascii="Calibri" w:hAnsi="Calibri"/>
          <w:i w:val="0"/>
          <w:color w:val="20272E"/>
        </w:rPr>
        <w:t>Yeo contrapone un estilo estadounidense centrado en ganar una carrera —ser el primero, captar ingenieros y construir posiciones de “el ganador se lo lleva todo”— con un estilo chino centrado en aplicaciones: vejez, contaminación, mantenimiento, agricultura, seguridad, drones, transporte y producción. El contraste recuerda una diferencia entre frontera científica y difusión tecnológica. Estados Unidos conserva universidades, capital y empresas de vanguardia; China posee escala industrial, datos, ingeniería de procesos y capacidad de implementación.</w:t>
      </w:r>
    </w:p>
    <w:p>
      <w:pPr>
        <w:widowControl/>
        <w:spacing w:before="0" w:after="160"/>
      </w:pPr>
      <w:r>
        <w:rPr>
          <w:rFonts w:ascii="Calibri" w:hAnsi="Calibri"/>
          <w:i w:val="0"/>
          <w:color w:val="20272E"/>
        </w:rPr>
        <w:t>La dicotomía, sin embargo, no debe absolutizarse. Estados Unidos también despliega IA en salud, industria y administración; China también compite por liderazgo, rentas y control de plataformas. La diferencia más útil es institucional: modelos cerrados y propietarios frente a ecosistemas más abiertos; concentración de capital frente a difusión; y capacidad de cada gobierno para repartir beneficios y contener riesgos.</w:t>
      </w:r>
    </w:p>
    <w:p>
      <w:pPr>
        <w:pStyle w:val="Heading2"/>
        <w:keepNext/>
        <w:widowControl/>
      </w:pPr>
      <w:r>
        <w:t>9.3. Modelos abiertos y burbuja tecnológica</w:t>
      </w:r>
    </w:p>
    <w:p>
      <w:pPr>
        <w:widowControl/>
        <w:spacing w:before="0" w:after="160"/>
      </w:pPr>
      <w:r>
        <w:rPr>
          <w:rFonts w:ascii="Calibri" w:hAnsi="Calibri"/>
          <w:i w:val="0"/>
          <w:color w:val="20272E"/>
        </w:rPr>
        <w:t>Yeo plantea que la apertura de grandes modelos chinos puede erosionar los ingresos que justifican las valoraciones de las “Siete Magníficas”, cuya capitalización representa una fracción enorme del mercado estadounidense. Si capacidades similares se convierten en infraestructura barata, los márgenes de los proveedores de modelos podrían comprimirse y una corrección afectaría al sistema financiero global. Es una hipótesis, no un pronóstico establecido: el valor puede desplazarse desde el modelo hacia chips, nube, datos, distribución y aplicaciones, y las grandes empresas disponen de ecosistemas capaces de monetizar la IA de varias maneras.</w:t>
      </w:r>
    </w:p>
    <w:p>
      <w:pPr>
        <w:pStyle w:val="Heading2"/>
        <w:keepNext/>
        <w:widowControl/>
      </w:pPr>
      <w:r>
        <w:t>9.4. El contrato social de la automatización</w:t>
      </w:r>
    </w:p>
    <w:p>
      <w:pPr>
        <w:widowControl/>
        <w:spacing w:before="0" w:after="160"/>
      </w:pPr>
      <w:r>
        <w:rPr>
          <w:rFonts w:ascii="Calibri" w:hAnsi="Calibri"/>
          <w:i w:val="0"/>
          <w:color w:val="20272E"/>
        </w:rPr>
        <w:t>La cuestión de fondo no es si las máquinas podrán realizar gran parte del trabajo, sino quién poseerá los sistemas, quién recibirá sus ganancias y qué dará reconocimiento social a quienes pierdan ocupaciones. Yeo rechaza la idea de que la productividad garantice por sí sola armonía. La automatización puede ampliar riqueza e igualmente producir desigualdad, resentimiento y conflicto. El éxito nacional exigirá educación continua, protección durante las transiciones, competencia económica, acceso amplio a herramientas y formas de participación que no reduzcan la dignidad al empleo tradicional.</w:t>
      </w:r>
    </w:p>
    <w:p>
      <w:pPr>
        <w:pStyle w:val="Heading1"/>
        <w:keepNext/>
        <w:widowControl/>
      </w:pPr>
      <w:r>
        <w:t>10. Singapur y la estrategia del movimiento permanente</w:t>
      </w:r>
    </w:p>
    <w:p>
      <w:pPr>
        <w:pStyle w:val="Heading2"/>
        <w:keepNext/>
        <w:widowControl/>
      </w:pPr>
      <w:r>
        <w:t>10.1. Aceptar el mundo sin resignarse</w:t>
      </w:r>
    </w:p>
    <w:p>
      <w:pPr>
        <w:widowControl/>
        <w:spacing w:before="0" w:after="160"/>
      </w:pPr>
      <w:r>
        <w:rPr>
          <w:rFonts w:ascii="Calibri" w:hAnsi="Calibri"/>
          <w:i w:val="0"/>
          <w:color w:val="20272E"/>
        </w:rPr>
        <w:t>Singapur no puede rehacer el entorno a su imagen. Si China e India se enfrentan o se reconcilian, debe entender el cambio y reposicionarse. Yeo llama a un análisis “frío”, no a una política sin valores. Realismo significa separar deseos de capacidades; no significa indiferencia moral. La influencia disponible debe concentrarse en ASEAN, cuya integridad proporciona amortiguación estratégica, escala económica y protección frente a la intimidación.</w:t>
      </w:r>
    </w:p>
    <w:p>
      <w:pPr>
        <w:pStyle w:val="Heading2"/>
        <w:keepNext/>
        <w:widowControl/>
      </w:pPr>
      <w:r>
        <w:t>10.2. Pequeñez: velocidad y vulnerabilidad</w:t>
      </w:r>
    </w:p>
    <w:p>
      <w:pPr>
        <w:widowControl/>
        <w:spacing w:before="0" w:after="160"/>
      </w:pPr>
      <w:r>
        <w:rPr>
          <w:rFonts w:ascii="Calibri" w:hAnsi="Calibri"/>
          <w:i w:val="0"/>
          <w:color w:val="20272E"/>
        </w:rPr>
        <w:t>La escala reducida permite coordinación administrativa y adaptación rápida, pero concentra infraestructuras críticas. En guerra de drones e información, centrales eléctricas, redes, centros de datos y comunicaciones constituyen blancos difíciles de defender frente a ataques masivos. La seguridad ya no puede reducirse a interceptar aviones o responder a artillería: exige redundancia energética, dispersión, defensa civil, ciberseguridad, continuidad de gobierno y protección de datos.</w:t>
      </w:r>
    </w:p>
    <w:p>
      <w:pPr>
        <w:pStyle w:val="Heading2"/>
        <w:keepNext/>
        <w:widowControl/>
      </w:pPr>
      <w:r>
        <w:t>10.3. El taichí como teoría de la autonomía</w:t>
      </w:r>
    </w:p>
    <w:p>
      <w:pPr>
        <w:widowControl/>
        <w:spacing w:before="0" w:after="160"/>
      </w:pPr>
      <w:r>
        <w:rPr>
          <w:rFonts w:ascii="Calibri" w:hAnsi="Calibri"/>
          <w:i w:val="0"/>
          <w:color w:val="20272E"/>
        </w:rPr>
        <w:t>No tomar partido no equivale a permanecer quieto entre Washington y Pekín. En el taichí, la inmovilidad rígida produce inestabilidad; el equilibrio surge del ajuste continuo. Aplicado a la política exterior, esto implica cooperar de forma distinta según asuntos, preservar relaciones con ambos polos, evitar compromisos irreversibles y desplazar el peso propio cuando cambia el entorno. La autonomía no es equidistancia matemática, sino capacidad de decidir cada movimiento sin perder el centro nacional.</w:t>
      </w:r>
    </w:p>
    <w:p>
      <w:pPr>
        <w:pStyle w:val="Heading2"/>
        <w:keepNext/>
        <w:widowControl/>
      </w:pPr>
      <w:r>
        <w:t>10.4. Fuerza física y autoridad moral</w:t>
      </w:r>
    </w:p>
    <w:p>
      <w:pPr>
        <w:widowControl/>
        <w:spacing w:before="0" w:after="160"/>
      </w:pPr>
      <w:r>
        <w:rPr>
          <w:rFonts w:ascii="Calibri" w:hAnsi="Calibri"/>
          <w:i w:val="0"/>
          <w:color w:val="20272E"/>
        </w:rPr>
        <w:t>Yeo reconoce que, en última instancia, la fuerza influye en toda política. Pero la fuerza física sólo produce éxito duradero cuando está acompañada de legitimidad. Su crítica a Israel y a Estados Unidos se formula en esos términos: pueden proyectar poder y, al mismo tiempo, perder autoridad moral si su conducta se percibe como abiertamente egoísta o desproporcionada. Para un Estado pequeño, la reputación de competencia, cumplimiento y utilidad común es un multiplicador indispensable de recursos limitados.</w:t>
      </w:r>
    </w:p>
    <w:p>
      <w:pPr>
        <w:pStyle w:val="Heading2"/>
        <w:keepNext/>
        <w:widowControl/>
      </w:pPr>
      <w:r>
        <w:t>10.5. Preocupación como disciplina de gobierno</w:t>
      </w:r>
    </w:p>
    <w:p>
      <w:pPr>
        <w:widowControl/>
        <w:spacing w:before="0" w:after="160"/>
      </w:pPr>
      <w:r>
        <w:rPr>
          <w:rFonts w:ascii="Calibri" w:hAnsi="Calibri"/>
          <w:i w:val="0"/>
          <w:color w:val="20272E"/>
        </w:rPr>
        <w:t>La última respuesta rechaza optimismo y pesimismo simples. En Singapur, dice Yeo, antiguos dirigentes se reúnen y hablan de riesgos: tecnología, divisiones sociales, vecinos, conflictos entre potencias. El día en que dejen de preocuparse, Singapur estará en peligro. La preocupación saludable no es miedo paralizante; es vigilancia organizada que distingue lo grande de lo pequeño y evita que la abundancia convierta desacuerdos menores en fracturas existenciales. “La historia se acelera” resume la obligación de revisar supuestos con frecuencia.</w:t>
      </w:r>
    </w:p>
    <w:p>
      <w:pPr>
        <w:pStyle w:val="Heading1"/>
        <w:keepNext/>
        <w:widowControl/>
      </w:pPr>
      <w:r>
        <w:t>11. La visión estratégica de Yeo: conceptos y mecanismos</w:t>
      </w:r>
    </w:p>
    <w:p>
      <w:pPr>
        <w:widowControl/>
        <w:spacing w:after="120"/>
      </w:pPr>
      <w:r>
        <w:rPr>
          <w:rFonts w:ascii="Calibri" w:hAnsi="Calibri"/>
          <w:b/>
          <w:color w:val="2B6777"/>
        </w:rPr>
        <w:t xml:space="preserve">Historia larga: </w:t>
      </w:r>
      <w:r>
        <w:rPr>
          <w:rFonts w:ascii="Calibri" w:hAnsi="Calibri"/>
          <w:color w:val="20272E"/>
        </w:rPr>
        <w:t>Los acontecimientos presentes adquieren sentido dentro de ciclos de siglos. Este método corrige el presentismo, aunque puede transformar analogías en leyes demasiado rígidas.</w:t>
      </w:r>
    </w:p>
    <w:p>
      <w:pPr>
        <w:widowControl/>
        <w:spacing w:after="120"/>
      </w:pPr>
      <w:r>
        <w:rPr>
          <w:rFonts w:ascii="Calibri" w:hAnsi="Calibri"/>
          <w:b/>
          <w:color w:val="2B6777"/>
        </w:rPr>
        <w:t xml:space="preserve">Cuerpo político: </w:t>
      </w:r>
      <w:r>
        <w:rPr>
          <w:rFonts w:ascii="Calibri" w:hAnsi="Calibri"/>
          <w:color w:val="20272E"/>
        </w:rPr>
        <w:t>La potencia exterior depende de cohesión, legitimidad, disciplina y capacidad productiva internas. La competencia se gana mejor fortaleciéndose que debilitando al adversario.</w:t>
      </w:r>
    </w:p>
    <w:p>
      <w:pPr>
        <w:widowControl/>
        <w:spacing w:after="120"/>
      </w:pPr>
      <w:r>
        <w:rPr>
          <w:rFonts w:ascii="Calibri" w:hAnsi="Calibri"/>
          <w:b/>
          <w:color w:val="2B6777"/>
        </w:rPr>
        <w:t xml:space="preserve">Civilización: </w:t>
      </w:r>
      <w:r>
        <w:rPr>
          <w:rFonts w:ascii="Calibri" w:hAnsi="Calibri"/>
          <w:color w:val="20272E"/>
        </w:rPr>
        <w:t>Las comunidades históricas proporcionan memoria, categorías y confianza. No sustituyen a las instituciones, pero condicionan lo que cada sociedad considera legítimo.</w:t>
      </w:r>
    </w:p>
    <w:p>
      <w:pPr>
        <w:widowControl/>
        <w:spacing w:after="120"/>
      </w:pPr>
      <w:r>
        <w:rPr>
          <w:rFonts w:ascii="Calibri" w:hAnsi="Calibri"/>
          <w:b/>
          <w:color w:val="2B6777"/>
        </w:rPr>
        <w:t xml:space="preserve">Escala: </w:t>
      </w:r>
      <w:r>
        <w:rPr>
          <w:rFonts w:ascii="Calibri" w:hAnsi="Calibri"/>
          <w:color w:val="20272E"/>
        </w:rPr>
        <w:t>China e India poseen mercados y recursos que permiten autonomía; Singapur compensa su pequeñez con rapidez, redes y ASEAN.</w:t>
      </w:r>
    </w:p>
    <w:p>
      <w:pPr>
        <w:widowControl/>
        <w:spacing w:after="120"/>
      </w:pPr>
      <w:r>
        <w:rPr>
          <w:rFonts w:ascii="Calibri" w:hAnsi="Calibri"/>
          <w:b/>
          <w:color w:val="2B6777"/>
        </w:rPr>
        <w:t xml:space="preserve">Adaptación: </w:t>
      </w:r>
      <w:r>
        <w:rPr>
          <w:rFonts w:ascii="Calibri" w:hAnsi="Calibri"/>
          <w:color w:val="20272E"/>
        </w:rPr>
        <w:t>La estabilidad es dinámica. Tecnología, alianzas y posiciones deben ajustarse sin abandonar el núcleo de identidad e interés.</w:t>
      </w:r>
    </w:p>
    <w:p>
      <w:pPr>
        <w:widowControl/>
        <w:spacing w:after="120"/>
      </w:pPr>
      <w:r>
        <w:rPr>
          <w:rFonts w:ascii="Calibri" w:hAnsi="Calibri"/>
          <w:b/>
          <w:color w:val="2B6777"/>
        </w:rPr>
        <w:t xml:space="preserve">Moral y fuerza: </w:t>
      </w:r>
      <w:r>
        <w:rPr>
          <w:rFonts w:ascii="Calibri" w:hAnsi="Calibri"/>
          <w:color w:val="20272E"/>
        </w:rPr>
        <w:t>El poder material impone límites; la autoridad moral convierte obediencia temporal en cooperación durable.</w:t>
      </w:r>
    </w:p>
    <w:p>
      <w:pPr>
        <w:widowControl/>
        <w:spacing w:after="120"/>
      </w:pPr>
      <w:r>
        <w:rPr>
          <w:rFonts w:ascii="Calibri" w:hAnsi="Calibri"/>
          <w:b/>
          <w:color w:val="2B6777"/>
        </w:rPr>
        <w:t xml:space="preserve">Pluralismo de órdenes: </w:t>
      </w:r>
      <w:r>
        <w:rPr>
          <w:rFonts w:ascii="Calibri" w:hAnsi="Calibri"/>
          <w:color w:val="20272E"/>
        </w:rPr>
        <w:t>No existe una modernidad única. Diferentes sociedades combinarán democracia, jerarquía, mercado, comunidad y Estado de maneras propias.</w:t>
      </w:r>
    </w:p>
    <w:p>
      <w:pPr>
        <w:pStyle w:val="Heading1"/>
        <w:keepNext/>
        <w:widowControl/>
      </w:pPr>
      <w:r>
        <w:t>12. Evaluación crítica global</w:t>
      </w:r>
    </w:p>
    <w:p>
      <w:pPr>
        <w:pStyle w:val="Heading2"/>
        <w:keepNext/>
        <w:widowControl/>
      </w:pPr>
      <w:r>
        <w:t>12.1. Aportaciones principales</w:t>
      </w:r>
    </w:p>
    <w:p>
      <w:pPr>
        <w:pStyle w:val="ListBullet"/>
        <w:widowControl/>
        <w:spacing w:after="80"/>
      </w:pPr>
      <w:r>
        <w:rPr>
          <w:rFonts w:ascii="Calibri" w:hAnsi="Calibri"/>
          <w:color w:val="20272E"/>
        </w:rPr>
        <w:t>Desoccidentaliza el análisis sin caer en una inversión puramente antioccidental: Estados Unidos seguirá siendo un polo central y su recuperación sería beneficiosa para la estabilidad.</w:t>
      </w:r>
    </w:p>
    <w:p>
      <w:pPr>
        <w:pStyle w:val="ListBullet"/>
        <w:widowControl/>
        <w:spacing w:after="80"/>
      </w:pPr>
      <w:r>
        <w:rPr>
          <w:rFonts w:ascii="Calibri" w:hAnsi="Calibri"/>
          <w:color w:val="20272E"/>
        </w:rPr>
        <w:t>Relaciona poder externo y salud interna. Deuda, cohesión, desigualdad, corrupción y capacidad tecnológica son variables estratégicas, no asuntos separados de la geopolítica.</w:t>
      </w:r>
    </w:p>
    <w:p>
      <w:pPr>
        <w:pStyle w:val="ListBullet"/>
        <w:widowControl/>
        <w:spacing w:after="80"/>
      </w:pPr>
      <w:r>
        <w:rPr>
          <w:rFonts w:ascii="Calibri" w:hAnsi="Calibri"/>
          <w:color w:val="20272E"/>
        </w:rPr>
        <w:t>Explica a China e India desde sus propias continuidades históricas, lo que ayuda a comprender decisiones que un marco exclusivamente estatal o ideológico no capta.</w:t>
      </w:r>
    </w:p>
    <w:p>
      <w:pPr>
        <w:pStyle w:val="ListBullet"/>
        <w:widowControl/>
        <w:spacing w:after="80"/>
      </w:pPr>
      <w:r>
        <w:rPr>
          <w:rFonts w:ascii="Calibri" w:hAnsi="Calibri"/>
          <w:color w:val="20272E"/>
        </w:rPr>
        <w:t>Rechaza el fatalismo sobre la guerra de Taiwán y recuerda los costes que sostienen la disuasión, aunque su confianza sea excesiva.</w:t>
      </w:r>
    </w:p>
    <w:p>
      <w:pPr>
        <w:pStyle w:val="ListBullet"/>
        <w:widowControl/>
        <w:spacing w:after="80"/>
      </w:pPr>
      <w:r>
        <w:rPr>
          <w:rFonts w:ascii="Calibri" w:hAnsi="Calibri"/>
          <w:color w:val="20272E"/>
        </w:rPr>
        <w:t>Ofrece a los Estados pequeños una doctrina operativa: atención, movilidad, regionalismo, resiliencia e integridad moral.</w:t>
      </w:r>
    </w:p>
    <w:p>
      <w:pPr>
        <w:pStyle w:val="ListBullet"/>
        <w:widowControl/>
        <w:spacing w:after="80"/>
      </w:pPr>
      <w:r>
        <w:rPr>
          <w:rFonts w:ascii="Calibri" w:hAnsi="Calibri"/>
          <w:color w:val="20272E"/>
        </w:rPr>
        <w:t>Introduce la distribución social de la tecnología como criterio de éxito, no sólo la superioridad científica o empresarial.</w:t>
      </w:r>
    </w:p>
    <w:p>
      <w:pPr>
        <w:pStyle w:val="Heading2"/>
        <w:keepNext/>
        <w:widowControl/>
      </w:pPr>
      <w:r>
        <w:t>12.2. Debilidades y objeciones</w:t>
      </w:r>
    </w:p>
    <w:p>
      <w:pPr>
        <w:pStyle w:val="ListBullet"/>
        <w:widowControl/>
        <w:spacing w:after="80"/>
      </w:pPr>
      <w:r>
        <w:rPr>
          <w:rFonts w:ascii="Calibri" w:hAnsi="Calibri"/>
          <w:color w:val="20272E"/>
        </w:rPr>
        <w:t>Determinismo civilizatorio. Las civilizaciones aparecen a veces como sujetos coherentes con intenciones estables, cuando contienen clases, regiones, ideologías y luchas políticas.</w:t>
      </w:r>
    </w:p>
    <w:p>
      <w:pPr>
        <w:pStyle w:val="ListBullet"/>
        <w:widowControl/>
        <w:spacing w:after="80"/>
      </w:pPr>
      <w:r>
        <w:rPr>
          <w:rFonts w:ascii="Calibri" w:hAnsi="Calibri"/>
          <w:color w:val="20272E"/>
        </w:rPr>
        <w:t>Idealización de la no colonización. La ausencia de colonialismo ultramarino europeo no excluye expansión territorial, jerarquía, coerción económica o presión sobre vecinos.</w:t>
      </w:r>
    </w:p>
    <w:p>
      <w:pPr>
        <w:pStyle w:val="ListBullet"/>
        <w:widowControl/>
        <w:spacing w:after="80"/>
      </w:pPr>
      <w:r>
        <w:rPr>
          <w:rFonts w:ascii="Calibri" w:hAnsi="Calibri"/>
          <w:color w:val="20272E"/>
        </w:rPr>
        <w:t>Culturalización de la corrupción. El confucianismo ayuda a explicar redes relacionales, pero la impunidad, la opacidad y la concentración de poder dependen de instituciones concretas.</w:t>
      </w:r>
    </w:p>
    <w:p>
      <w:pPr>
        <w:pStyle w:val="ListBullet"/>
        <w:widowControl/>
        <w:spacing w:after="80"/>
      </w:pPr>
      <w:r>
        <w:rPr>
          <w:rFonts w:ascii="Calibri" w:hAnsi="Calibri"/>
          <w:color w:val="20272E"/>
        </w:rPr>
        <w:t>Infravaloración del problema sucesorio. La experiencia histórica china incluye transiciones ordenadas y catástrofes; debilitar reglas recientes aumenta incertidumbre.</w:t>
      </w:r>
    </w:p>
    <w:p>
      <w:pPr>
        <w:pStyle w:val="ListBullet"/>
        <w:widowControl/>
        <w:spacing w:after="80"/>
      </w:pPr>
      <w:r>
        <w:rPr>
          <w:rFonts w:ascii="Calibri" w:hAnsi="Calibri"/>
          <w:color w:val="20272E"/>
        </w:rPr>
        <w:t>Reducción de Taiwán a la variable estadounidense. La identidad, las instituciones y preferencias de la población taiwanesa son factores causales autónomos.</w:t>
      </w:r>
    </w:p>
    <w:p>
      <w:pPr>
        <w:pStyle w:val="ListBullet"/>
        <w:widowControl/>
        <w:spacing w:after="80"/>
      </w:pPr>
      <w:r>
        <w:rPr>
          <w:rFonts w:ascii="Calibri" w:hAnsi="Calibri"/>
          <w:color w:val="20272E"/>
        </w:rPr>
        <w:t>Confianza excesiva en la racionalidad. Disuasión y dependencia económica reducen riesgos, pero no eliminan errores, accidentes o decisiones motivadas por legitimidad y nacionalismo.</w:t>
      </w:r>
    </w:p>
    <w:p>
      <w:pPr>
        <w:pStyle w:val="ListBullet"/>
        <w:widowControl/>
        <w:spacing w:after="80"/>
      </w:pPr>
      <w:r>
        <w:rPr>
          <w:rFonts w:ascii="Calibri" w:hAnsi="Calibri"/>
          <w:color w:val="20272E"/>
        </w:rPr>
        <w:t>Oposición demasiado limpia entre IA estadounidense y china. Ambos ecosistemas contienen competencia, aplicaciones sociales, control estatal, modelos abiertos y propietarios.</w:t>
      </w:r>
    </w:p>
    <w:p>
      <w:pPr>
        <w:pStyle w:val="ListBullet"/>
        <w:widowControl/>
        <w:spacing w:after="80"/>
      </w:pPr>
      <w:r>
        <w:rPr>
          <w:rFonts w:ascii="Calibri" w:hAnsi="Calibri"/>
          <w:color w:val="20272E"/>
        </w:rPr>
        <w:t>Uso elástico de “declive”. Puede significar pérdida de cuota relativa, crisis moral, dificultad fiscal o incapacidad de reforma; conviene no tratarlos como un solo fenómeno.</w:t>
      </w:r>
    </w:p>
    <w:p>
      <w:pPr>
        <w:pStyle w:val="Heading2"/>
        <w:keepNext/>
        <w:widowControl/>
      </w:pPr>
      <w:r>
        <w:t>12.3. Matriz de afirmaciones controvertidas</w:t>
      </w:r>
    </w:p>
    <w:tbl>
      <w:tblPr>
        <w:tblW w:type="dxa" w:w="9360"/>
        <w:jc w:val="left"/>
        <w:tblLayout w:type="fixed"/>
        <w:tblLook w:firstColumn="1" w:firstRow="1" w:lastColumn="0" w:lastRow="0" w:noHBand="0" w:noVBand="1" w:val="04A0"/>
        <w:tblInd w:w="120" w:type="dxa"/>
      </w:tblPr>
      <w:tblGrid>
        <w:gridCol w:w="1900"/>
        <w:gridCol w:w="2500"/>
        <w:gridCol w:w="2480"/>
        <w:gridCol w:w="2480"/>
      </w:tblGrid>
      <w:tr>
        <w:trPr>
          <w:tblHeader w:val="true"/>
          <w:cantSplit/>
        </w:trPr>
        <w:tc>
          <w:tcPr>
            <w:tcW w:type="dxa" w:w="1900"/>
            <w:tcMar>
              <w:top w:w="100" w:type="dxa"/>
              <w:start w:w="120" w:type="dxa"/>
              <w:bottom w:w="100" w:type="dxa"/>
              <w:end w:w="120" w:type="dxa"/>
            </w:tcMar>
            <w:shd w:fill="18324A"/>
          </w:tcPr>
          <w:p>
            <w:pPr>
              <w:widowControl/>
              <w:spacing w:after="40" w:line="252" w:lineRule="auto"/>
            </w:pPr>
            <w:r>
              <w:rPr>
                <w:rFonts w:ascii="Calibri" w:hAnsi="Calibri"/>
                <w:b/>
                <w:color w:val="FFFFFF"/>
                <w:sz w:val="18"/>
              </w:rPr>
              <w:t>Tesis de Yeo</w:t>
            </w:r>
          </w:p>
        </w:tc>
        <w:tc>
          <w:tcPr>
            <w:tcW w:type="dxa" w:w="2500"/>
            <w:tcMar>
              <w:top w:w="100" w:type="dxa"/>
              <w:start w:w="120" w:type="dxa"/>
              <w:bottom w:w="100" w:type="dxa"/>
              <w:end w:w="120" w:type="dxa"/>
            </w:tcMar>
            <w:shd w:fill="18324A"/>
          </w:tcPr>
          <w:p>
            <w:pPr>
              <w:widowControl/>
              <w:spacing w:after="40" w:line="252" w:lineRule="auto"/>
            </w:pPr>
            <w:r>
              <w:rPr>
                <w:rFonts w:ascii="Calibri" w:hAnsi="Calibri"/>
                <w:b/>
                <w:color w:val="FFFFFF"/>
                <w:sz w:val="18"/>
              </w:rPr>
              <w:t>Qué la respalda</w:t>
            </w:r>
          </w:p>
        </w:tc>
        <w:tc>
          <w:tcPr>
            <w:tcW w:type="dxa" w:w="2480"/>
            <w:tcMar>
              <w:top w:w="100" w:type="dxa"/>
              <w:start w:w="120" w:type="dxa"/>
              <w:bottom w:w="100" w:type="dxa"/>
              <w:end w:w="120" w:type="dxa"/>
            </w:tcMar>
            <w:shd w:fill="18324A"/>
          </w:tcPr>
          <w:p>
            <w:pPr>
              <w:widowControl/>
              <w:spacing w:after="40" w:line="252" w:lineRule="auto"/>
            </w:pPr>
            <w:r>
              <w:rPr>
                <w:rFonts w:ascii="Calibri" w:hAnsi="Calibri"/>
                <w:b/>
                <w:color w:val="FFFFFF"/>
                <w:sz w:val="18"/>
              </w:rPr>
              <w:t>Qué la limita</w:t>
            </w:r>
          </w:p>
        </w:tc>
        <w:tc>
          <w:tcPr>
            <w:tcW w:type="dxa" w:w="2480"/>
            <w:tcMar>
              <w:top w:w="100" w:type="dxa"/>
              <w:start w:w="120" w:type="dxa"/>
              <w:bottom w:w="100" w:type="dxa"/>
              <w:end w:w="120" w:type="dxa"/>
            </w:tcMar>
            <w:shd w:fill="18324A"/>
          </w:tcPr>
          <w:p>
            <w:pPr>
              <w:widowControl/>
              <w:spacing w:after="40" w:line="252" w:lineRule="auto"/>
            </w:pPr>
            <w:r>
              <w:rPr>
                <w:rFonts w:ascii="Calibri" w:hAnsi="Calibri"/>
                <w:b/>
                <w:color w:val="FFFFFF"/>
                <w:sz w:val="18"/>
              </w:rPr>
              <w:t>Juicio del informe</w:t>
            </w:r>
          </w:p>
        </w:tc>
      </w:tr>
      <w:tr>
        <w:trPr>
          <w:cantSplit/>
        </w:trPr>
        <w:tc>
          <w:tcPr>
            <w:tcW w:type="dxa" w:w="1900"/>
            <w:shd w:fill="EEF3F5"/>
          </w:tcPr>
          <w:p>
            <w:pPr>
              <w:widowControl/>
              <w:spacing w:after="40" w:line="252" w:lineRule="auto"/>
            </w:pPr>
            <w:r>
              <w:rPr>
                <w:rFonts w:ascii="Calibri" w:hAnsi="Calibri"/>
                <w:b/>
                <w:color w:val="18324A"/>
                <w:sz w:val="17"/>
              </w:rPr>
              <w:t>EE. UU. está en declive</w:t>
            </w:r>
          </w:p>
        </w:tc>
        <w:tc>
          <w:tcPr>
            <w:tcW w:type="dxa" w:w="2500"/>
            <w:shd w:fill="EEF3F5"/>
          </w:tcPr>
          <w:p>
            <w:pPr>
              <w:widowControl/>
              <w:spacing w:after="40" w:line="252" w:lineRule="auto"/>
            </w:pPr>
            <w:r>
              <w:rPr>
                <w:rFonts w:ascii="Calibri" w:hAnsi="Calibri"/>
                <w:b w:val="0"/>
                <w:color w:val="20272E"/>
                <w:sz w:val="17"/>
              </w:rPr>
              <w:t>Deuda, polarización, pérdida de cuota relativa y desconfianza.</w:t>
            </w:r>
          </w:p>
        </w:tc>
        <w:tc>
          <w:tcPr>
            <w:tcW w:type="dxa" w:w="2480"/>
            <w:shd w:fill="EEF3F5"/>
          </w:tcPr>
          <w:p>
            <w:pPr>
              <w:widowControl/>
              <w:spacing w:after="40" w:line="252" w:lineRule="auto"/>
            </w:pPr>
            <w:r>
              <w:rPr>
                <w:rFonts w:ascii="Calibri" w:hAnsi="Calibri"/>
                <w:b w:val="0"/>
                <w:color w:val="20272E"/>
                <w:sz w:val="17"/>
              </w:rPr>
              <w:t>Innovación, dólar, alianzas, inmigración y capacidad histórica de reforma.</w:t>
            </w:r>
          </w:p>
        </w:tc>
        <w:tc>
          <w:tcPr>
            <w:tcW w:type="dxa" w:w="2480"/>
            <w:shd w:fill="EEF3F5"/>
          </w:tcPr>
          <w:p>
            <w:pPr>
              <w:widowControl/>
              <w:spacing w:after="40" w:line="252" w:lineRule="auto"/>
            </w:pPr>
            <w:r>
              <w:rPr>
                <w:rFonts w:ascii="Calibri" w:hAnsi="Calibri"/>
                <w:b w:val="0"/>
                <w:color w:val="20272E"/>
                <w:sz w:val="17"/>
              </w:rPr>
              <w:t>Declive relativo plausible; desenlace abierto.</w:t>
            </w:r>
          </w:p>
        </w:tc>
      </w:tr>
      <w:tr>
        <w:trPr>
          <w:cantSplit/>
        </w:trPr>
        <w:tc>
          <w:tcPr>
            <w:tcW w:type="dxa" w:w="1900"/>
          </w:tcPr>
          <w:p>
            <w:pPr>
              <w:widowControl/>
              <w:spacing w:after="40" w:line="252" w:lineRule="auto"/>
            </w:pPr>
            <w:r>
              <w:rPr>
                <w:rFonts w:ascii="Calibri" w:hAnsi="Calibri"/>
                <w:b/>
                <w:color w:val="18324A"/>
                <w:sz w:val="17"/>
              </w:rPr>
              <w:t>El dólar financiaría la red de bases</w:t>
            </w:r>
          </w:p>
        </w:tc>
        <w:tc>
          <w:tcPr>
            <w:tcW w:type="dxa" w:w="2500"/>
          </w:tcPr>
          <w:p>
            <w:pPr>
              <w:widowControl/>
              <w:spacing w:after="40" w:line="252" w:lineRule="auto"/>
            </w:pPr>
            <w:r>
              <w:rPr>
                <w:rFonts w:ascii="Calibri" w:hAnsi="Calibri"/>
                <w:b w:val="0"/>
                <w:color w:val="20272E"/>
                <w:sz w:val="17"/>
              </w:rPr>
              <w:t>La demanda global reduce costes y amplía margen fiscal.</w:t>
            </w:r>
          </w:p>
        </w:tc>
        <w:tc>
          <w:tcPr>
            <w:tcW w:type="dxa" w:w="2480"/>
          </w:tcPr>
          <w:p>
            <w:pPr>
              <w:widowControl/>
              <w:spacing w:after="40" w:line="252" w:lineRule="auto"/>
            </w:pPr>
            <w:r>
              <w:rPr>
                <w:rFonts w:ascii="Calibri" w:hAnsi="Calibri"/>
                <w:b w:val="0"/>
                <w:color w:val="20272E"/>
                <w:sz w:val="17"/>
              </w:rPr>
              <w:t>No existe financiación directa; el dólar conserva gran predominio.</w:t>
            </w:r>
          </w:p>
        </w:tc>
        <w:tc>
          <w:tcPr>
            <w:tcW w:type="dxa" w:w="2480"/>
          </w:tcPr>
          <w:p>
            <w:pPr>
              <w:widowControl/>
              <w:spacing w:after="40" w:line="252" w:lineRule="auto"/>
            </w:pPr>
            <w:r>
              <w:rPr>
                <w:rFonts w:ascii="Calibri" w:hAnsi="Calibri"/>
                <w:b w:val="0"/>
                <w:color w:val="20272E"/>
                <w:sz w:val="17"/>
              </w:rPr>
              <w:t>Mecanismo real, causalidad sobredibujada.</w:t>
            </w:r>
          </w:p>
        </w:tc>
      </w:tr>
      <w:tr>
        <w:trPr>
          <w:cantSplit/>
        </w:trPr>
        <w:tc>
          <w:tcPr>
            <w:tcW w:type="dxa" w:w="1900"/>
            <w:shd w:fill="EEF3F5"/>
          </w:tcPr>
          <w:p>
            <w:pPr>
              <w:widowControl/>
              <w:spacing w:after="40" w:line="252" w:lineRule="auto"/>
            </w:pPr>
            <w:r>
              <w:rPr>
                <w:rFonts w:ascii="Calibri" w:hAnsi="Calibri"/>
                <w:b/>
                <w:color w:val="18324A"/>
                <w:sz w:val="17"/>
              </w:rPr>
              <w:t>China no colonizará</w:t>
            </w:r>
          </w:p>
        </w:tc>
        <w:tc>
          <w:tcPr>
            <w:tcW w:type="dxa" w:w="2500"/>
            <w:shd w:fill="EEF3F5"/>
          </w:tcPr>
          <w:p>
            <w:pPr>
              <w:widowControl/>
              <w:spacing w:after="40" w:line="252" w:lineRule="auto"/>
            </w:pPr>
            <w:r>
              <w:rPr>
                <w:rFonts w:ascii="Calibri" w:hAnsi="Calibri"/>
                <w:b w:val="0"/>
                <w:color w:val="20272E"/>
                <w:sz w:val="17"/>
              </w:rPr>
              <w:t>Preferencia por cohesión y ausencia de proyecto misionero universal.</w:t>
            </w:r>
          </w:p>
        </w:tc>
        <w:tc>
          <w:tcPr>
            <w:tcW w:type="dxa" w:w="2480"/>
            <w:shd w:fill="EEF3F5"/>
          </w:tcPr>
          <w:p>
            <w:pPr>
              <w:widowControl/>
              <w:spacing w:after="40" w:line="252" w:lineRule="auto"/>
            </w:pPr>
            <w:r>
              <w:rPr>
                <w:rFonts w:ascii="Calibri" w:hAnsi="Calibri"/>
                <w:b w:val="0"/>
                <w:color w:val="20272E"/>
                <w:sz w:val="17"/>
              </w:rPr>
              <w:t>Historia imperial, periferias, coerción regional y dependencias.</w:t>
            </w:r>
          </w:p>
        </w:tc>
        <w:tc>
          <w:tcPr>
            <w:tcW w:type="dxa" w:w="2480"/>
            <w:shd w:fill="EEF3F5"/>
          </w:tcPr>
          <w:p>
            <w:pPr>
              <w:widowControl/>
              <w:spacing w:after="40" w:line="252" w:lineRule="auto"/>
            </w:pPr>
            <w:r>
              <w:rPr>
                <w:rFonts w:ascii="Calibri" w:hAnsi="Calibri"/>
                <w:b w:val="0"/>
                <w:color w:val="20272E"/>
                <w:sz w:val="17"/>
              </w:rPr>
              <w:t>Probable ausencia de imperio colonial clásico; no de presión.</w:t>
            </w:r>
          </w:p>
        </w:tc>
      </w:tr>
      <w:tr>
        <w:trPr>
          <w:cantSplit/>
        </w:trPr>
        <w:tc>
          <w:tcPr>
            <w:tcW w:type="dxa" w:w="1900"/>
          </w:tcPr>
          <w:p>
            <w:pPr>
              <w:widowControl/>
              <w:spacing w:after="40" w:line="252" w:lineRule="auto"/>
            </w:pPr>
            <w:r>
              <w:rPr>
                <w:rFonts w:ascii="Calibri" w:hAnsi="Calibri"/>
                <w:b/>
                <w:color w:val="18324A"/>
                <w:sz w:val="17"/>
              </w:rPr>
              <w:t>La corrupción nace del confucianismo</w:t>
            </w:r>
          </w:p>
        </w:tc>
        <w:tc>
          <w:tcPr>
            <w:tcW w:type="dxa" w:w="2500"/>
          </w:tcPr>
          <w:p>
            <w:pPr>
              <w:widowControl/>
              <w:spacing w:after="40" w:line="252" w:lineRule="auto"/>
            </w:pPr>
            <w:r>
              <w:rPr>
                <w:rFonts w:ascii="Calibri" w:hAnsi="Calibri"/>
                <w:b w:val="0"/>
                <w:color w:val="20272E"/>
                <w:sz w:val="17"/>
              </w:rPr>
              <w:t>Guanxi, regalos y obligaciones relacionales.</w:t>
            </w:r>
          </w:p>
        </w:tc>
        <w:tc>
          <w:tcPr>
            <w:tcW w:type="dxa" w:w="2480"/>
          </w:tcPr>
          <w:p>
            <w:pPr>
              <w:widowControl/>
              <w:spacing w:after="40" w:line="252" w:lineRule="auto"/>
            </w:pPr>
            <w:r>
              <w:rPr>
                <w:rFonts w:ascii="Calibri" w:hAnsi="Calibri"/>
                <w:b w:val="0"/>
                <w:color w:val="20272E"/>
                <w:sz w:val="17"/>
              </w:rPr>
              <w:t>Instituciones, transparencia, incentivos y selectividad punitiva.</w:t>
            </w:r>
          </w:p>
        </w:tc>
        <w:tc>
          <w:tcPr>
            <w:tcW w:type="dxa" w:w="2480"/>
          </w:tcPr>
          <w:p>
            <w:pPr>
              <w:widowControl/>
              <w:spacing w:after="40" w:line="252" w:lineRule="auto"/>
            </w:pPr>
            <w:r>
              <w:rPr>
                <w:rFonts w:ascii="Calibri" w:hAnsi="Calibri"/>
                <w:b w:val="0"/>
                <w:color w:val="20272E"/>
                <w:sz w:val="17"/>
              </w:rPr>
              <w:t>Explicación parcial que debe institucionalizarse.</w:t>
            </w:r>
          </w:p>
        </w:tc>
      </w:tr>
      <w:tr>
        <w:trPr>
          <w:cantSplit/>
        </w:trPr>
        <w:tc>
          <w:tcPr>
            <w:tcW w:type="dxa" w:w="1900"/>
            <w:shd w:fill="EEF3F5"/>
          </w:tcPr>
          <w:p>
            <w:pPr>
              <w:widowControl/>
              <w:spacing w:after="40" w:line="252" w:lineRule="auto"/>
            </w:pPr>
            <w:r>
              <w:rPr>
                <w:rFonts w:ascii="Calibri" w:hAnsi="Calibri"/>
                <w:b/>
                <w:color w:val="18324A"/>
                <w:sz w:val="17"/>
              </w:rPr>
              <w:t>La sucesión no es el problema central</w:t>
            </w:r>
          </w:p>
        </w:tc>
        <w:tc>
          <w:tcPr>
            <w:tcW w:type="dxa" w:w="2500"/>
            <w:shd w:fill="EEF3F5"/>
          </w:tcPr>
          <w:p>
            <w:pPr>
              <w:widowControl/>
              <w:spacing w:after="40" w:line="252" w:lineRule="auto"/>
            </w:pPr>
            <w:r>
              <w:rPr>
                <w:rFonts w:ascii="Calibri" w:hAnsi="Calibri"/>
                <w:b w:val="0"/>
                <w:color w:val="20272E"/>
                <w:sz w:val="17"/>
              </w:rPr>
              <w:t>Larga experiencia histórica de selección de élites.</w:t>
            </w:r>
          </w:p>
        </w:tc>
        <w:tc>
          <w:tcPr>
            <w:tcW w:type="dxa" w:w="2480"/>
            <w:shd w:fill="EEF3F5"/>
          </w:tcPr>
          <w:p>
            <w:pPr>
              <w:widowControl/>
              <w:spacing w:after="40" w:line="252" w:lineRule="auto"/>
            </w:pPr>
            <w:r>
              <w:rPr>
                <w:rFonts w:ascii="Calibri" w:hAnsi="Calibri"/>
                <w:b w:val="0"/>
                <w:color w:val="20272E"/>
                <w:sz w:val="17"/>
              </w:rPr>
              <w:t>Concentración personal y erosión de normas aumentan riesgo.</w:t>
            </w:r>
          </w:p>
        </w:tc>
        <w:tc>
          <w:tcPr>
            <w:tcW w:type="dxa" w:w="2480"/>
            <w:shd w:fill="EEF3F5"/>
          </w:tcPr>
          <w:p>
            <w:pPr>
              <w:widowControl/>
              <w:spacing w:after="40" w:line="252" w:lineRule="auto"/>
            </w:pPr>
            <w:r>
              <w:rPr>
                <w:rFonts w:ascii="Calibri" w:hAnsi="Calibri"/>
                <w:b w:val="0"/>
                <w:color w:val="20272E"/>
                <w:sz w:val="17"/>
              </w:rPr>
              <w:t>Subestimada por Yeo.</w:t>
            </w:r>
          </w:p>
        </w:tc>
      </w:tr>
      <w:tr>
        <w:trPr>
          <w:cantSplit/>
        </w:trPr>
        <w:tc>
          <w:tcPr>
            <w:tcW w:type="dxa" w:w="1900"/>
          </w:tcPr>
          <w:p>
            <w:pPr>
              <w:widowControl/>
              <w:spacing w:after="40" w:line="252" w:lineRule="auto"/>
            </w:pPr>
            <w:r>
              <w:rPr>
                <w:rFonts w:ascii="Calibri" w:hAnsi="Calibri"/>
                <w:b/>
                <w:color w:val="18324A"/>
                <w:sz w:val="17"/>
              </w:rPr>
              <w:t>No habrá guerra por Taiwán</w:t>
            </w:r>
          </w:p>
        </w:tc>
        <w:tc>
          <w:tcPr>
            <w:tcW w:type="dxa" w:w="2500"/>
          </w:tcPr>
          <w:p>
            <w:pPr>
              <w:widowControl/>
              <w:spacing w:after="40" w:line="252" w:lineRule="auto"/>
            </w:pPr>
            <w:r>
              <w:rPr>
                <w:rFonts w:ascii="Calibri" w:hAnsi="Calibri"/>
                <w:b w:val="0"/>
                <w:color w:val="20272E"/>
                <w:sz w:val="17"/>
              </w:rPr>
              <w:t>Costes militares, económicos y tecnológicos extremos.</w:t>
            </w:r>
          </w:p>
        </w:tc>
        <w:tc>
          <w:tcPr>
            <w:tcW w:type="dxa" w:w="2480"/>
          </w:tcPr>
          <w:p>
            <w:pPr>
              <w:widowControl/>
              <w:spacing w:after="40" w:line="252" w:lineRule="auto"/>
            </w:pPr>
            <w:r>
              <w:rPr>
                <w:rFonts w:ascii="Calibri" w:hAnsi="Calibri"/>
                <w:b w:val="0"/>
                <w:color w:val="20272E"/>
                <w:sz w:val="17"/>
              </w:rPr>
              <w:t>Accidente, bloqueo, nacionalismo y preferencias taiwanesas.</w:t>
            </w:r>
          </w:p>
        </w:tc>
        <w:tc>
          <w:tcPr>
            <w:tcW w:type="dxa" w:w="2480"/>
          </w:tcPr>
          <w:p>
            <w:pPr>
              <w:widowControl/>
              <w:spacing w:after="40" w:line="252" w:lineRule="auto"/>
            </w:pPr>
            <w:r>
              <w:rPr>
                <w:rFonts w:ascii="Calibri" w:hAnsi="Calibri"/>
                <w:b w:val="0"/>
                <w:color w:val="20272E"/>
                <w:sz w:val="17"/>
              </w:rPr>
              <w:t>Guerra no inevitable, pero riesgo irreductible.</w:t>
            </w:r>
          </w:p>
        </w:tc>
      </w:tr>
      <w:tr>
        <w:trPr>
          <w:cantSplit/>
        </w:trPr>
        <w:tc>
          <w:tcPr>
            <w:tcW w:type="dxa" w:w="1900"/>
            <w:shd w:fill="EEF3F5"/>
          </w:tcPr>
          <w:p>
            <w:pPr>
              <w:widowControl/>
              <w:spacing w:after="40" w:line="252" w:lineRule="auto"/>
            </w:pPr>
            <w:r>
              <w:rPr>
                <w:rFonts w:ascii="Calibri" w:hAnsi="Calibri"/>
                <w:b/>
                <w:color w:val="18324A"/>
                <w:sz w:val="17"/>
              </w:rPr>
              <w:t>La IA abierta pinchará una burbuja</w:t>
            </w:r>
          </w:p>
        </w:tc>
        <w:tc>
          <w:tcPr>
            <w:tcW w:type="dxa" w:w="2500"/>
            <w:shd w:fill="EEF3F5"/>
          </w:tcPr>
          <w:p>
            <w:pPr>
              <w:widowControl/>
              <w:spacing w:after="40" w:line="252" w:lineRule="auto"/>
            </w:pPr>
            <w:r>
              <w:rPr>
                <w:rFonts w:ascii="Calibri" w:hAnsi="Calibri"/>
                <w:b w:val="0"/>
                <w:color w:val="20272E"/>
                <w:sz w:val="17"/>
              </w:rPr>
              <w:t>Comoditización puede reducir rentas de modelos.</w:t>
            </w:r>
          </w:p>
        </w:tc>
        <w:tc>
          <w:tcPr>
            <w:tcW w:type="dxa" w:w="2480"/>
            <w:shd w:fill="EEF3F5"/>
          </w:tcPr>
          <w:p>
            <w:pPr>
              <w:widowControl/>
              <w:spacing w:after="40" w:line="252" w:lineRule="auto"/>
            </w:pPr>
            <w:r>
              <w:rPr>
                <w:rFonts w:ascii="Calibri" w:hAnsi="Calibri"/>
                <w:b w:val="0"/>
                <w:color w:val="20272E"/>
                <w:sz w:val="17"/>
              </w:rPr>
              <w:t>Monetización en nube, chips, datos y distribución.</w:t>
            </w:r>
          </w:p>
        </w:tc>
        <w:tc>
          <w:tcPr>
            <w:tcW w:type="dxa" w:w="2480"/>
            <w:shd w:fill="EEF3F5"/>
          </w:tcPr>
          <w:p>
            <w:pPr>
              <w:widowControl/>
              <w:spacing w:after="40" w:line="252" w:lineRule="auto"/>
            </w:pPr>
            <w:r>
              <w:rPr>
                <w:rFonts w:ascii="Calibri" w:hAnsi="Calibri"/>
                <w:b w:val="0"/>
                <w:color w:val="20272E"/>
                <w:sz w:val="17"/>
              </w:rPr>
              <w:t>Hipótesis relevante, no conclusión demostrada.</w:t>
            </w:r>
          </w:p>
        </w:tc>
      </w:tr>
    </w:tbl>
    <w:p>
      <w:pPr>
        <w:widowControl/>
      </w:pPr>
    </w:p>
    <w:p>
      <w:pPr>
        <w:pStyle w:val="Heading1"/>
        <w:keepNext/>
        <w:widowControl/>
      </w:pPr>
      <w:r>
        <w:t>13. Cronología temática del vídeo</w:t>
      </w:r>
    </w:p>
    <w:p>
      <w:pPr>
        <w:widowControl/>
        <w:spacing w:before="0" w:after="160"/>
      </w:pPr>
      <w:r>
        <w:rPr>
          <w:rFonts w:ascii="Calibri" w:hAnsi="Calibri"/>
          <w:i w:val="0"/>
          <w:color w:val="20272E"/>
        </w:rPr>
        <w:t>Los minutos son aproximados y corresponden a los capítulos publicados con el vídeo. Sirven para regresar a la intervención original y localizar cada argumento.</w:t>
      </w:r>
    </w:p>
    <w:tbl>
      <w:tblPr>
        <w:tblW w:type="dxa" w:w="9360"/>
        <w:jc w:val="left"/>
        <w:tblLayout w:type="fixed"/>
        <w:tblLook w:firstColumn="1" w:firstRow="1" w:lastColumn="0" w:lastRow="0" w:noHBand="0" w:noVBand="1" w:val="04A0"/>
        <w:tblInd w:w="120" w:type="dxa"/>
      </w:tblPr>
      <w:tblGrid>
        <w:gridCol w:w="1350"/>
        <w:gridCol w:w="3500"/>
        <w:gridCol w:w="4510"/>
      </w:tblGrid>
      <w:tr>
        <w:trPr>
          <w:tblHeader w:val="true"/>
          <w:cantSplit/>
        </w:trPr>
        <w:tc>
          <w:tcPr>
            <w:tcW w:type="dxa" w:w="1350"/>
            <w:tcMar>
              <w:top w:w="100" w:type="dxa"/>
              <w:start w:w="120" w:type="dxa"/>
              <w:bottom w:w="100" w:type="dxa"/>
              <w:end w:w="120" w:type="dxa"/>
            </w:tcMar>
            <w:shd w:fill="18324A"/>
          </w:tcPr>
          <w:p>
            <w:pPr>
              <w:widowControl/>
              <w:spacing w:after="40" w:line="252" w:lineRule="auto"/>
            </w:pPr>
            <w:r>
              <w:rPr>
                <w:rFonts w:ascii="Calibri" w:hAnsi="Calibri"/>
                <w:b/>
                <w:color w:val="FFFFFF"/>
                <w:sz w:val="18"/>
              </w:rPr>
              <w:t>Minuto</w:t>
            </w:r>
          </w:p>
        </w:tc>
        <w:tc>
          <w:tcPr>
            <w:tcW w:type="dxa" w:w="3500"/>
            <w:tcMar>
              <w:top w:w="100" w:type="dxa"/>
              <w:start w:w="120" w:type="dxa"/>
              <w:bottom w:w="100" w:type="dxa"/>
              <w:end w:w="120" w:type="dxa"/>
            </w:tcMar>
            <w:shd w:fill="18324A"/>
          </w:tcPr>
          <w:p>
            <w:pPr>
              <w:widowControl/>
              <w:spacing w:after="40" w:line="252" w:lineRule="auto"/>
            </w:pPr>
            <w:r>
              <w:rPr>
                <w:rFonts w:ascii="Calibri" w:hAnsi="Calibri"/>
                <w:b/>
                <w:color w:val="FFFFFF"/>
                <w:sz w:val="18"/>
              </w:rPr>
              <w:t>Tema</w:t>
            </w:r>
          </w:p>
        </w:tc>
        <w:tc>
          <w:tcPr>
            <w:tcW w:type="dxa" w:w="4510"/>
            <w:tcMar>
              <w:top w:w="100" w:type="dxa"/>
              <w:start w:w="120" w:type="dxa"/>
              <w:bottom w:w="100" w:type="dxa"/>
              <w:end w:w="120" w:type="dxa"/>
            </w:tcMar>
            <w:shd w:fill="18324A"/>
          </w:tcPr>
          <w:p>
            <w:pPr>
              <w:widowControl/>
              <w:spacing w:after="40" w:line="252" w:lineRule="auto"/>
            </w:pPr>
            <w:r>
              <w:rPr>
                <w:rFonts w:ascii="Calibri" w:hAnsi="Calibri"/>
                <w:b/>
                <w:color w:val="FFFFFF"/>
                <w:sz w:val="18"/>
              </w:rPr>
              <w:t>Núcleo argumental</w:t>
            </w:r>
          </w:p>
        </w:tc>
      </w:tr>
      <w:tr>
        <w:trPr>
          <w:cantSplit/>
        </w:trPr>
        <w:tc>
          <w:tcPr>
            <w:tcW w:type="dxa" w:w="1350"/>
            <w:shd w:fill="EEF3F5"/>
          </w:tcPr>
          <w:p>
            <w:pPr>
              <w:widowControl/>
              <w:spacing w:after="40" w:line="252" w:lineRule="auto"/>
            </w:pPr>
            <w:r>
              <w:rPr>
                <w:rFonts w:ascii="Calibri" w:hAnsi="Calibri"/>
                <w:b/>
                <w:color w:val="18324A"/>
                <w:sz w:val="18"/>
              </w:rPr>
              <w:t>00:00–01:35</w:t>
            </w:r>
          </w:p>
        </w:tc>
        <w:tc>
          <w:tcPr>
            <w:tcW w:type="dxa" w:w="3500"/>
            <w:shd w:fill="EEF3F5"/>
          </w:tcPr>
          <w:p>
            <w:pPr>
              <w:widowControl/>
              <w:spacing w:after="40" w:line="252" w:lineRule="auto"/>
            </w:pPr>
            <w:r>
              <w:rPr>
                <w:rFonts w:ascii="Calibri" w:hAnsi="Calibri"/>
                <w:b/>
                <w:color w:val="18324A"/>
                <w:sz w:val="18"/>
              </w:rPr>
              <w:t>Apertura</w:t>
            </w:r>
          </w:p>
        </w:tc>
        <w:tc>
          <w:tcPr>
            <w:tcW w:type="dxa" w:w="4510"/>
            <w:shd w:fill="EEF3F5"/>
          </w:tcPr>
          <w:p>
            <w:pPr>
              <w:widowControl/>
              <w:spacing w:after="40" w:line="252" w:lineRule="auto"/>
            </w:pPr>
            <w:r>
              <w:rPr>
                <w:rFonts w:ascii="Calibri" w:hAnsi="Calibri"/>
                <w:b w:val="0"/>
                <w:color w:val="20272E"/>
                <w:sz w:val="18"/>
              </w:rPr>
              <w:t>Presentación de la incertidumbre y del papel de Trump.</w:t>
            </w:r>
          </w:p>
        </w:tc>
      </w:tr>
      <w:tr>
        <w:trPr>
          <w:cantSplit/>
        </w:trPr>
        <w:tc>
          <w:tcPr>
            <w:tcW w:type="dxa" w:w="1350"/>
          </w:tcPr>
          <w:p>
            <w:pPr>
              <w:widowControl/>
              <w:spacing w:after="40" w:line="252" w:lineRule="auto"/>
            </w:pPr>
            <w:r>
              <w:rPr>
                <w:rFonts w:ascii="Calibri" w:hAnsi="Calibri"/>
                <w:b/>
                <w:color w:val="18324A"/>
                <w:sz w:val="18"/>
              </w:rPr>
              <w:t>01:36–05:11</w:t>
            </w:r>
          </w:p>
        </w:tc>
        <w:tc>
          <w:tcPr>
            <w:tcW w:type="dxa" w:w="3500"/>
          </w:tcPr>
          <w:p>
            <w:pPr>
              <w:widowControl/>
              <w:spacing w:after="40" w:line="252" w:lineRule="auto"/>
            </w:pPr>
            <w:r>
              <w:rPr>
                <w:rFonts w:ascii="Calibri" w:hAnsi="Calibri"/>
                <w:b/>
                <w:color w:val="18324A"/>
                <w:sz w:val="18"/>
              </w:rPr>
              <w:t>Estrategia de Trump</w:t>
            </w:r>
          </w:p>
        </w:tc>
        <w:tc>
          <w:tcPr>
            <w:tcW w:type="dxa" w:w="4510"/>
          </w:tcPr>
          <w:p>
            <w:pPr>
              <w:widowControl/>
              <w:spacing w:after="40" w:line="252" w:lineRule="auto"/>
            </w:pPr>
            <w:r>
              <w:rPr>
                <w:rFonts w:ascii="Calibri" w:hAnsi="Calibri"/>
                <w:b w:val="0"/>
                <w:color w:val="20272E"/>
                <w:sz w:val="18"/>
              </w:rPr>
              <w:t>Sobreextensión, hemisferio occidental y negociación maximalista.</w:t>
            </w:r>
          </w:p>
        </w:tc>
      </w:tr>
      <w:tr>
        <w:trPr>
          <w:cantSplit/>
        </w:trPr>
        <w:tc>
          <w:tcPr>
            <w:tcW w:type="dxa" w:w="1350"/>
            <w:shd w:fill="EEF3F5"/>
          </w:tcPr>
          <w:p>
            <w:pPr>
              <w:widowControl/>
              <w:spacing w:after="40" w:line="252" w:lineRule="auto"/>
            </w:pPr>
            <w:r>
              <w:rPr>
                <w:rFonts w:ascii="Calibri" w:hAnsi="Calibri"/>
                <w:b/>
                <w:color w:val="18324A"/>
                <w:sz w:val="18"/>
              </w:rPr>
              <w:t>05:12–07:38</w:t>
            </w:r>
          </w:p>
        </w:tc>
        <w:tc>
          <w:tcPr>
            <w:tcW w:type="dxa" w:w="3500"/>
            <w:shd w:fill="EEF3F5"/>
          </w:tcPr>
          <w:p>
            <w:pPr>
              <w:widowControl/>
              <w:spacing w:after="40" w:line="252" w:lineRule="auto"/>
            </w:pPr>
            <w:r>
              <w:rPr>
                <w:rFonts w:ascii="Calibri" w:hAnsi="Calibri"/>
                <w:b/>
                <w:color w:val="18324A"/>
                <w:sz w:val="18"/>
              </w:rPr>
              <w:t>Sentido de la historia</w:t>
            </w:r>
          </w:p>
        </w:tc>
        <w:tc>
          <w:tcPr>
            <w:tcW w:type="dxa" w:w="4510"/>
            <w:shd w:fill="EEF3F5"/>
          </w:tcPr>
          <w:p>
            <w:pPr>
              <w:widowControl/>
              <w:spacing w:after="40" w:line="252" w:lineRule="auto"/>
            </w:pPr>
            <w:r>
              <w:rPr>
                <w:rFonts w:ascii="Calibri" w:hAnsi="Calibri"/>
                <w:b w:val="0"/>
                <w:color w:val="20272E"/>
                <w:sz w:val="18"/>
              </w:rPr>
              <w:t>Trump como catalizador y transición multipolar.</w:t>
            </w:r>
          </w:p>
        </w:tc>
      </w:tr>
      <w:tr>
        <w:trPr>
          <w:cantSplit/>
        </w:trPr>
        <w:tc>
          <w:tcPr>
            <w:tcW w:type="dxa" w:w="1350"/>
          </w:tcPr>
          <w:p>
            <w:pPr>
              <w:widowControl/>
              <w:spacing w:after="40" w:line="252" w:lineRule="auto"/>
            </w:pPr>
            <w:r>
              <w:rPr>
                <w:rFonts w:ascii="Calibri" w:hAnsi="Calibri"/>
                <w:b/>
                <w:color w:val="18324A"/>
                <w:sz w:val="18"/>
              </w:rPr>
              <w:t>07:39–12:12</w:t>
            </w:r>
          </w:p>
        </w:tc>
        <w:tc>
          <w:tcPr>
            <w:tcW w:type="dxa" w:w="3500"/>
          </w:tcPr>
          <w:p>
            <w:pPr>
              <w:widowControl/>
              <w:spacing w:after="40" w:line="252" w:lineRule="auto"/>
            </w:pPr>
            <w:r>
              <w:rPr>
                <w:rFonts w:ascii="Calibri" w:hAnsi="Calibri"/>
                <w:b/>
                <w:color w:val="18324A"/>
                <w:sz w:val="18"/>
              </w:rPr>
              <w:t>Dolor estadounidense</w:t>
            </w:r>
          </w:p>
        </w:tc>
        <w:tc>
          <w:tcPr>
            <w:tcW w:type="dxa" w:w="4510"/>
          </w:tcPr>
          <w:p>
            <w:pPr>
              <w:widowControl/>
              <w:spacing w:after="40" w:line="252" w:lineRule="auto"/>
            </w:pPr>
            <w:r>
              <w:rPr>
                <w:rFonts w:ascii="Calibri" w:hAnsi="Calibri"/>
                <w:b w:val="0"/>
                <w:color w:val="20272E"/>
                <w:sz w:val="18"/>
              </w:rPr>
              <w:t>Adicciones, MAGA, inmigración, polarización y escenarios de recuperación o declive.</w:t>
            </w:r>
          </w:p>
        </w:tc>
      </w:tr>
      <w:tr>
        <w:trPr>
          <w:cantSplit/>
        </w:trPr>
        <w:tc>
          <w:tcPr>
            <w:tcW w:type="dxa" w:w="1350"/>
            <w:shd w:fill="EEF3F5"/>
          </w:tcPr>
          <w:p>
            <w:pPr>
              <w:widowControl/>
              <w:spacing w:after="40" w:line="252" w:lineRule="auto"/>
            </w:pPr>
            <w:r>
              <w:rPr>
                <w:rFonts w:ascii="Calibri" w:hAnsi="Calibri"/>
                <w:b/>
                <w:color w:val="18324A"/>
                <w:sz w:val="18"/>
              </w:rPr>
              <w:t>12:13–16:11</w:t>
            </w:r>
          </w:p>
        </w:tc>
        <w:tc>
          <w:tcPr>
            <w:tcW w:type="dxa" w:w="3500"/>
            <w:shd w:fill="EEF3F5"/>
          </w:tcPr>
          <w:p>
            <w:pPr>
              <w:widowControl/>
              <w:spacing w:after="40" w:line="252" w:lineRule="auto"/>
            </w:pPr>
            <w:r>
              <w:rPr>
                <w:rFonts w:ascii="Calibri" w:hAnsi="Calibri"/>
                <w:b/>
                <w:color w:val="18324A"/>
                <w:sz w:val="18"/>
              </w:rPr>
              <w:t>Resiliencia de EE. UU.</w:t>
            </w:r>
          </w:p>
        </w:tc>
        <w:tc>
          <w:tcPr>
            <w:tcW w:type="dxa" w:w="4510"/>
            <w:shd w:fill="EEF3F5"/>
          </w:tcPr>
          <w:p>
            <w:pPr>
              <w:widowControl/>
              <w:spacing w:after="40" w:line="252" w:lineRule="auto"/>
            </w:pPr>
            <w:r>
              <w:rPr>
                <w:rFonts w:ascii="Calibri" w:hAnsi="Calibri"/>
                <w:b w:val="0"/>
                <w:color w:val="20272E"/>
                <w:sz w:val="18"/>
              </w:rPr>
              <w:t>Capacidad histórica de regeneración y creciente duda interna.</w:t>
            </w:r>
          </w:p>
        </w:tc>
      </w:tr>
      <w:tr>
        <w:trPr>
          <w:cantSplit/>
        </w:trPr>
        <w:tc>
          <w:tcPr>
            <w:tcW w:type="dxa" w:w="1350"/>
          </w:tcPr>
          <w:p>
            <w:pPr>
              <w:widowControl/>
              <w:spacing w:after="40" w:line="252" w:lineRule="auto"/>
            </w:pPr>
            <w:r>
              <w:rPr>
                <w:rFonts w:ascii="Calibri" w:hAnsi="Calibri"/>
                <w:b/>
                <w:color w:val="18324A"/>
                <w:sz w:val="18"/>
              </w:rPr>
              <w:t>16:12–20:35</w:t>
            </w:r>
          </w:p>
        </w:tc>
        <w:tc>
          <w:tcPr>
            <w:tcW w:type="dxa" w:w="3500"/>
          </w:tcPr>
          <w:p>
            <w:pPr>
              <w:widowControl/>
              <w:spacing w:after="40" w:line="252" w:lineRule="auto"/>
            </w:pPr>
            <w:r>
              <w:rPr>
                <w:rFonts w:ascii="Calibri" w:hAnsi="Calibri"/>
                <w:b/>
                <w:color w:val="18324A"/>
                <w:sz w:val="18"/>
              </w:rPr>
              <w:t>Siglo asiático</w:t>
            </w:r>
          </w:p>
        </w:tc>
        <w:tc>
          <w:tcPr>
            <w:tcW w:type="dxa" w:w="4510"/>
          </w:tcPr>
          <w:p>
            <w:pPr>
              <w:widowControl/>
              <w:spacing w:after="40" w:line="252" w:lineRule="auto"/>
            </w:pPr>
            <w:r>
              <w:rPr>
                <w:rFonts w:ascii="Calibri" w:hAnsi="Calibri"/>
                <w:b w:val="0"/>
                <w:color w:val="20272E"/>
                <w:sz w:val="18"/>
              </w:rPr>
              <w:t>Retorno de civilizaciones antiguas y rechazo de una hegemonía colonial asiática.</w:t>
            </w:r>
          </w:p>
        </w:tc>
      </w:tr>
      <w:tr>
        <w:trPr>
          <w:cantSplit/>
        </w:trPr>
        <w:tc>
          <w:tcPr>
            <w:tcW w:type="dxa" w:w="1350"/>
            <w:shd w:fill="EEF3F5"/>
          </w:tcPr>
          <w:p>
            <w:pPr>
              <w:widowControl/>
              <w:spacing w:after="40" w:line="252" w:lineRule="auto"/>
            </w:pPr>
            <w:r>
              <w:rPr>
                <w:rFonts w:ascii="Calibri" w:hAnsi="Calibri"/>
                <w:b/>
                <w:color w:val="18324A"/>
                <w:sz w:val="18"/>
              </w:rPr>
              <w:t>20:36–26:05</w:t>
            </w:r>
          </w:p>
        </w:tc>
        <w:tc>
          <w:tcPr>
            <w:tcW w:type="dxa" w:w="3500"/>
            <w:shd w:fill="EEF3F5"/>
          </w:tcPr>
          <w:p>
            <w:pPr>
              <w:widowControl/>
              <w:spacing w:after="40" w:line="252" w:lineRule="auto"/>
            </w:pPr>
            <w:r>
              <w:rPr>
                <w:rFonts w:ascii="Calibri" w:hAnsi="Calibri"/>
                <w:b/>
                <w:color w:val="18324A"/>
                <w:sz w:val="18"/>
              </w:rPr>
              <w:t>China, India y Sudeste Asiático</w:t>
            </w:r>
          </w:p>
        </w:tc>
        <w:tc>
          <w:tcPr>
            <w:tcW w:type="dxa" w:w="4510"/>
            <w:shd w:fill="EEF3F5"/>
          </w:tcPr>
          <w:p>
            <w:pPr>
              <w:widowControl/>
              <w:spacing w:after="40" w:line="252" w:lineRule="auto"/>
            </w:pPr>
            <w:r>
              <w:rPr>
                <w:rFonts w:ascii="Calibri" w:hAnsi="Calibri"/>
                <w:b w:val="0"/>
                <w:color w:val="20272E"/>
                <w:sz w:val="18"/>
              </w:rPr>
              <w:t>Autonomía china, Bharat, Hindutva e identidades pequeñas en ASEAN.</w:t>
            </w:r>
          </w:p>
        </w:tc>
      </w:tr>
      <w:tr>
        <w:trPr>
          <w:cantSplit/>
        </w:trPr>
        <w:tc>
          <w:tcPr>
            <w:tcW w:type="dxa" w:w="1350"/>
          </w:tcPr>
          <w:p>
            <w:pPr>
              <w:widowControl/>
              <w:spacing w:after="40" w:line="252" w:lineRule="auto"/>
            </w:pPr>
            <w:r>
              <w:rPr>
                <w:rFonts w:ascii="Calibri" w:hAnsi="Calibri"/>
                <w:b/>
                <w:color w:val="18324A"/>
                <w:sz w:val="18"/>
              </w:rPr>
              <w:t>26:06–29:46</w:t>
            </w:r>
          </w:p>
        </w:tc>
        <w:tc>
          <w:tcPr>
            <w:tcW w:type="dxa" w:w="3500"/>
          </w:tcPr>
          <w:p>
            <w:pPr>
              <w:widowControl/>
              <w:spacing w:after="40" w:line="252" w:lineRule="auto"/>
            </w:pPr>
            <w:r>
              <w:rPr>
                <w:rFonts w:ascii="Calibri" w:hAnsi="Calibri"/>
                <w:b/>
                <w:color w:val="18324A"/>
                <w:sz w:val="18"/>
              </w:rPr>
              <w:t>Problemas de China</w:t>
            </w:r>
          </w:p>
        </w:tc>
        <w:tc>
          <w:tcPr>
            <w:tcW w:type="dxa" w:w="4510"/>
          </w:tcPr>
          <w:p>
            <w:pPr>
              <w:widowControl/>
              <w:spacing w:after="40" w:line="252" w:lineRule="auto"/>
            </w:pPr>
            <w:r>
              <w:rPr>
                <w:rFonts w:ascii="Calibri" w:hAnsi="Calibri"/>
                <w:b w:val="0"/>
                <w:color w:val="20272E"/>
                <w:sz w:val="18"/>
              </w:rPr>
              <w:t>Primacía de la cohesión interna y relativización de la sucesión.</w:t>
            </w:r>
          </w:p>
        </w:tc>
      </w:tr>
      <w:tr>
        <w:trPr>
          <w:cantSplit/>
        </w:trPr>
        <w:tc>
          <w:tcPr>
            <w:tcW w:type="dxa" w:w="1350"/>
            <w:shd w:fill="EEF3F5"/>
          </w:tcPr>
          <w:p>
            <w:pPr>
              <w:widowControl/>
              <w:spacing w:after="40" w:line="252" w:lineRule="auto"/>
            </w:pPr>
            <w:r>
              <w:rPr>
                <w:rFonts w:ascii="Calibri" w:hAnsi="Calibri"/>
                <w:b/>
                <w:color w:val="18324A"/>
                <w:sz w:val="18"/>
              </w:rPr>
              <w:t>29:47–35:19</w:t>
            </w:r>
          </w:p>
        </w:tc>
        <w:tc>
          <w:tcPr>
            <w:tcW w:type="dxa" w:w="3500"/>
            <w:shd w:fill="EEF3F5"/>
          </w:tcPr>
          <w:p>
            <w:pPr>
              <w:widowControl/>
              <w:spacing w:after="40" w:line="252" w:lineRule="auto"/>
            </w:pPr>
            <w:r>
              <w:rPr>
                <w:rFonts w:ascii="Calibri" w:hAnsi="Calibri"/>
                <w:b/>
                <w:color w:val="18324A"/>
                <w:sz w:val="18"/>
              </w:rPr>
              <w:t>Corrupción y Confucio</w:t>
            </w:r>
          </w:p>
        </w:tc>
        <w:tc>
          <w:tcPr>
            <w:tcW w:type="dxa" w:w="4510"/>
            <w:shd w:fill="EEF3F5"/>
          </w:tcPr>
          <w:p>
            <w:pPr>
              <w:widowControl/>
              <w:spacing w:after="40" w:line="252" w:lineRule="auto"/>
            </w:pPr>
            <w:r>
              <w:rPr>
                <w:rFonts w:ascii="Calibri" w:hAnsi="Calibri"/>
                <w:b w:val="0"/>
                <w:color w:val="20272E"/>
                <w:sz w:val="18"/>
              </w:rPr>
              <w:t>Relaciones, regalos, campaña de Xi y búsqueda de un confucianismo renovado.</w:t>
            </w:r>
          </w:p>
        </w:tc>
      </w:tr>
      <w:tr>
        <w:trPr>
          <w:cantSplit/>
        </w:trPr>
        <w:tc>
          <w:tcPr>
            <w:tcW w:type="dxa" w:w="1350"/>
          </w:tcPr>
          <w:p>
            <w:pPr>
              <w:widowControl/>
              <w:spacing w:after="40" w:line="252" w:lineRule="auto"/>
            </w:pPr>
            <w:r>
              <w:rPr>
                <w:rFonts w:ascii="Calibri" w:hAnsi="Calibri"/>
                <w:b/>
                <w:color w:val="18324A"/>
                <w:sz w:val="18"/>
              </w:rPr>
              <w:t>35:20–40:34</w:t>
            </w:r>
          </w:p>
        </w:tc>
        <w:tc>
          <w:tcPr>
            <w:tcW w:type="dxa" w:w="3500"/>
          </w:tcPr>
          <w:p>
            <w:pPr>
              <w:widowControl/>
              <w:spacing w:after="40" w:line="252" w:lineRule="auto"/>
            </w:pPr>
            <w:r>
              <w:rPr>
                <w:rFonts w:ascii="Calibri" w:hAnsi="Calibri"/>
                <w:b/>
                <w:color w:val="18324A"/>
                <w:sz w:val="18"/>
              </w:rPr>
              <w:t>Taiwán</w:t>
            </w:r>
          </w:p>
        </w:tc>
        <w:tc>
          <w:tcPr>
            <w:tcW w:type="dxa" w:w="4510"/>
          </w:tcPr>
          <w:p>
            <w:pPr>
              <w:widowControl/>
              <w:spacing w:after="40" w:line="252" w:lineRule="auto"/>
            </w:pPr>
            <w:r>
              <w:rPr>
                <w:rFonts w:ascii="Calibri" w:hAnsi="Calibri"/>
                <w:b w:val="0"/>
                <w:color w:val="20272E"/>
                <w:sz w:val="18"/>
              </w:rPr>
              <w:t>Origen histórico, política taiwanesa, rare earths y baja probabilidad de guerra según Yeo.</w:t>
            </w:r>
          </w:p>
        </w:tc>
      </w:tr>
      <w:tr>
        <w:trPr>
          <w:cantSplit/>
        </w:trPr>
        <w:tc>
          <w:tcPr>
            <w:tcW w:type="dxa" w:w="1350"/>
            <w:shd w:fill="EEF3F5"/>
          </w:tcPr>
          <w:p>
            <w:pPr>
              <w:widowControl/>
              <w:spacing w:after="40" w:line="252" w:lineRule="auto"/>
            </w:pPr>
            <w:r>
              <w:rPr>
                <w:rFonts w:ascii="Calibri" w:hAnsi="Calibri"/>
                <w:b/>
                <w:color w:val="18324A"/>
                <w:sz w:val="18"/>
              </w:rPr>
              <w:t>40:35–47:04</w:t>
            </w:r>
          </w:p>
        </w:tc>
        <w:tc>
          <w:tcPr>
            <w:tcW w:type="dxa" w:w="3500"/>
            <w:shd w:fill="EEF3F5"/>
          </w:tcPr>
          <w:p>
            <w:pPr>
              <w:widowControl/>
              <w:spacing w:after="40" w:line="252" w:lineRule="auto"/>
            </w:pPr>
            <w:r>
              <w:rPr>
                <w:rFonts w:ascii="Calibri" w:hAnsi="Calibri"/>
                <w:b/>
                <w:color w:val="18324A"/>
                <w:sz w:val="18"/>
              </w:rPr>
              <w:t>Duelo occidental</w:t>
            </w:r>
          </w:p>
        </w:tc>
        <w:tc>
          <w:tcPr>
            <w:tcW w:type="dxa" w:w="4510"/>
            <w:shd w:fill="EEF3F5"/>
          </w:tcPr>
          <w:p>
            <w:pPr>
              <w:widowControl/>
              <w:spacing w:after="40" w:line="252" w:lineRule="auto"/>
            </w:pPr>
            <w:r>
              <w:rPr>
                <w:rFonts w:ascii="Calibri" w:hAnsi="Calibri"/>
                <w:b w:val="0"/>
                <w:color w:val="20272E"/>
                <w:sz w:val="18"/>
              </w:rPr>
              <w:t>Negación, ira, negociación y confianza asiática; advertencia contra la arrogancia.</w:t>
            </w:r>
          </w:p>
        </w:tc>
      </w:tr>
      <w:tr>
        <w:trPr>
          <w:cantSplit/>
        </w:trPr>
        <w:tc>
          <w:tcPr>
            <w:tcW w:type="dxa" w:w="1350"/>
          </w:tcPr>
          <w:p>
            <w:pPr>
              <w:widowControl/>
              <w:spacing w:after="40" w:line="252" w:lineRule="auto"/>
            </w:pPr>
            <w:r>
              <w:rPr>
                <w:rFonts w:ascii="Calibri" w:hAnsi="Calibri"/>
                <w:b/>
                <w:color w:val="18324A"/>
                <w:sz w:val="18"/>
              </w:rPr>
              <w:t>47:05–51:57</w:t>
            </w:r>
          </w:p>
        </w:tc>
        <w:tc>
          <w:tcPr>
            <w:tcW w:type="dxa" w:w="3500"/>
          </w:tcPr>
          <w:p>
            <w:pPr>
              <w:widowControl/>
              <w:spacing w:after="40" w:line="252" w:lineRule="auto"/>
            </w:pPr>
            <w:r>
              <w:rPr>
                <w:rFonts w:ascii="Calibri" w:hAnsi="Calibri"/>
                <w:b/>
                <w:color w:val="18324A"/>
                <w:sz w:val="18"/>
              </w:rPr>
              <w:t>IA y sociedad</w:t>
            </w:r>
          </w:p>
        </w:tc>
        <w:tc>
          <w:tcPr>
            <w:tcW w:type="dxa" w:w="4510"/>
          </w:tcPr>
          <w:p>
            <w:pPr>
              <w:widowControl/>
              <w:spacing w:after="40" w:line="252" w:lineRule="auto"/>
            </w:pPr>
            <w:r>
              <w:rPr>
                <w:rFonts w:ascii="Calibri" w:hAnsi="Calibri"/>
                <w:b w:val="0"/>
                <w:color w:val="20272E"/>
                <w:sz w:val="18"/>
              </w:rPr>
              <w:t>Adopción tecnológica, aplicaciones chinas, modelos abiertos, valoraciones y desigualdad.</w:t>
            </w:r>
          </w:p>
        </w:tc>
      </w:tr>
      <w:tr>
        <w:trPr>
          <w:cantSplit/>
        </w:trPr>
        <w:tc>
          <w:tcPr>
            <w:tcW w:type="dxa" w:w="1350"/>
            <w:shd w:fill="EEF3F5"/>
          </w:tcPr>
          <w:p>
            <w:pPr>
              <w:widowControl/>
              <w:spacing w:after="40" w:line="252" w:lineRule="auto"/>
            </w:pPr>
            <w:r>
              <w:rPr>
                <w:rFonts w:ascii="Calibri" w:hAnsi="Calibri"/>
                <w:b/>
                <w:color w:val="18324A"/>
                <w:sz w:val="18"/>
              </w:rPr>
              <w:t>51:58–55:57</w:t>
            </w:r>
          </w:p>
        </w:tc>
        <w:tc>
          <w:tcPr>
            <w:tcW w:type="dxa" w:w="3500"/>
            <w:shd w:fill="EEF3F5"/>
          </w:tcPr>
          <w:p>
            <w:pPr>
              <w:widowControl/>
              <w:spacing w:after="40" w:line="252" w:lineRule="auto"/>
            </w:pPr>
            <w:r>
              <w:rPr>
                <w:rFonts w:ascii="Calibri" w:hAnsi="Calibri"/>
                <w:b/>
                <w:color w:val="18324A"/>
                <w:sz w:val="18"/>
              </w:rPr>
              <w:t>Singapur</w:t>
            </w:r>
          </w:p>
        </w:tc>
        <w:tc>
          <w:tcPr>
            <w:tcW w:type="dxa" w:w="4510"/>
            <w:shd w:fill="EEF3F5"/>
          </w:tcPr>
          <w:p>
            <w:pPr>
              <w:widowControl/>
              <w:spacing w:after="40" w:line="252" w:lineRule="auto"/>
            </w:pPr>
            <w:r>
              <w:rPr>
                <w:rFonts w:ascii="Calibri" w:hAnsi="Calibri"/>
                <w:b w:val="0"/>
                <w:color w:val="20272E"/>
                <w:sz w:val="18"/>
              </w:rPr>
              <w:t>ASEAN, vulnerabilidad de infraestructuras, drones, datos y metáfora del taichí.</w:t>
            </w:r>
          </w:p>
        </w:tc>
      </w:tr>
      <w:tr>
        <w:trPr>
          <w:cantSplit/>
        </w:trPr>
        <w:tc>
          <w:tcPr>
            <w:tcW w:type="dxa" w:w="1350"/>
          </w:tcPr>
          <w:p>
            <w:pPr>
              <w:widowControl/>
              <w:spacing w:after="40" w:line="252" w:lineRule="auto"/>
            </w:pPr>
            <w:r>
              <w:rPr>
                <w:rFonts w:ascii="Calibri" w:hAnsi="Calibri"/>
                <w:b/>
                <w:color w:val="18324A"/>
                <w:sz w:val="18"/>
              </w:rPr>
              <w:t>55:58–59:20</w:t>
            </w:r>
          </w:p>
        </w:tc>
        <w:tc>
          <w:tcPr>
            <w:tcW w:type="dxa" w:w="3500"/>
          </w:tcPr>
          <w:p>
            <w:pPr>
              <w:widowControl/>
              <w:spacing w:after="40" w:line="252" w:lineRule="auto"/>
            </w:pPr>
            <w:r>
              <w:rPr>
                <w:rFonts w:ascii="Calibri" w:hAnsi="Calibri"/>
                <w:b/>
                <w:color w:val="18324A"/>
                <w:sz w:val="18"/>
              </w:rPr>
              <w:t>Multipolaridad y moral</w:t>
            </w:r>
          </w:p>
        </w:tc>
        <w:tc>
          <w:tcPr>
            <w:tcW w:type="dxa" w:w="4510"/>
          </w:tcPr>
          <w:p>
            <w:pPr>
              <w:widowControl/>
              <w:spacing w:after="40" w:line="252" w:lineRule="auto"/>
            </w:pPr>
            <w:r>
              <w:rPr>
                <w:rFonts w:ascii="Calibri" w:hAnsi="Calibri"/>
                <w:b w:val="0"/>
                <w:color w:val="20272E"/>
                <w:sz w:val="18"/>
              </w:rPr>
              <w:t>Polos estatales y redes; fuerza física, reglas y autoridad moral.</w:t>
            </w:r>
          </w:p>
        </w:tc>
      </w:tr>
      <w:tr>
        <w:trPr>
          <w:cantSplit/>
        </w:trPr>
        <w:tc>
          <w:tcPr>
            <w:tcW w:type="dxa" w:w="1350"/>
            <w:shd w:fill="EEF3F5"/>
          </w:tcPr>
          <w:p>
            <w:pPr>
              <w:widowControl/>
              <w:spacing w:after="40" w:line="252" w:lineRule="auto"/>
            </w:pPr>
            <w:r>
              <w:rPr>
                <w:rFonts w:ascii="Calibri" w:hAnsi="Calibri"/>
                <w:b/>
                <w:color w:val="18324A"/>
                <w:sz w:val="18"/>
              </w:rPr>
              <w:t>59:21–61:33</w:t>
            </w:r>
          </w:p>
        </w:tc>
        <w:tc>
          <w:tcPr>
            <w:tcW w:type="dxa" w:w="3500"/>
            <w:shd w:fill="EEF3F5"/>
          </w:tcPr>
          <w:p>
            <w:pPr>
              <w:widowControl/>
              <w:spacing w:after="40" w:line="252" w:lineRule="auto"/>
            </w:pPr>
            <w:r>
              <w:rPr>
                <w:rFonts w:ascii="Calibri" w:hAnsi="Calibri"/>
                <w:b/>
                <w:color w:val="18324A"/>
                <w:sz w:val="18"/>
              </w:rPr>
              <w:t>Preocupación y aceleración</w:t>
            </w:r>
          </w:p>
        </w:tc>
        <w:tc>
          <w:tcPr>
            <w:tcW w:type="dxa" w:w="4510"/>
            <w:shd w:fill="EEF3F5"/>
          </w:tcPr>
          <w:p>
            <w:pPr>
              <w:widowControl/>
              <w:spacing w:after="40" w:line="252" w:lineRule="auto"/>
            </w:pPr>
            <w:r>
              <w:rPr>
                <w:rFonts w:ascii="Calibri" w:hAnsi="Calibri"/>
                <w:b w:val="0"/>
                <w:color w:val="20272E"/>
                <w:sz w:val="18"/>
              </w:rPr>
              <w:t>La vigilancia estratégica como condición de supervivencia de Singapur.</w:t>
            </w:r>
          </w:p>
        </w:tc>
      </w:tr>
    </w:tbl>
    <w:p>
      <w:pPr>
        <w:widowControl/>
      </w:pPr>
    </w:p>
    <w:p>
      <w:pPr>
        <w:pStyle w:val="Heading1"/>
        <w:keepNext/>
        <w:widowControl/>
      </w:pPr>
      <w:r>
        <w:t>14. Conclusiones</w:t>
      </w:r>
    </w:p>
    <w:p>
      <w:pPr>
        <w:pStyle w:val="ListNumber"/>
        <w:widowControl/>
        <w:spacing w:after="100"/>
      </w:pPr>
      <w:r>
        <w:rPr>
          <w:rFonts w:ascii="Calibri" w:hAnsi="Calibri"/>
          <w:color w:val="20272E"/>
        </w:rPr>
        <w:t>La entrevista ofrece una teoría de transición, no un catálogo de acontecimientos. Su unidad procede de una idea: la distribución mundial de poder cambia porque las capacidades internas, las tecnologías y las identidades civilizatorias cambian a ritmos distintos.</w:t>
      </w:r>
    </w:p>
    <w:p>
      <w:pPr>
        <w:pStyle w:val="ListNumber"/>
        <w:widowControl/>
        <w:spacing w:after="100"/>
      </w:pPr>
      <w:r>
        <w:rPr>
          <w:rFonts w:ascii="Calibri" w:hAnsi="Calibri"/>
          <w:color w:val="20272E"/>
        </w:rPr>
        <w:t>Estados Unidos no desaparece. Pierde margen relativo y autoridad, pero conserva recursos excepcionales. La pregunta decisiva es si transformará la nostalgia en reforma o si la polarización bloqueará su adaptación.</w:t>
      </w:r>
    </w:p>
    <w:p>
      <w:pPr>
        <w:pStyle w:val="ListNumber"/>
        <w:widowControl/>
        <w:spacing w:after="100"/>
      </w:pPr>
      <w:r>
        <w:rPr>
          <w:rFonts w:ascii="Calibri" w:hAnsi="Calibri"/>
          <w:color w:val="20272E"/>
        </w:rPr>
        <w:t>La multipolaridad es el horizonte más plausible, pero no constituye por sí misma un orden justo o estable. Puede limitar hegemonías y, al mismo tiempo, multiplicar rivalidades y esferas de presión.</w:t>
      </w:r>
    </w:p>
    <w:p>
      <w:pPr>
        <w:pStyle w:val="ListNumber"/>
        <w:widowControl/>
        <w:spacing w:after="100"/>
      </w:pPr>
      <w:r>
        <w:rPr>
          <w:rFonts w:ascii="Calibri" w:hAnsi="Calibri"/>
          <w:color w:val="20272E"/>
        </w:rPr>
        <w:t>El ascenso de Asia debe entenderse como recentramiento económico y cultural. La idea es sólida cuando describe escala y confianza; se debilita cuando atribuye intenciones fijas a civilizaciones enteras.</w:t>
      </w:r>
    </w:p>
    <w:p>
      <w:pPr>
        <w:pStyle w:val="ListNumber"/>
        <w:widowControl/>
        <w:spacing w:after="100"/>
      </w:pPr>
      <w:r>
        <w:rPr>
          <w:rFonts w:ascii="Calibri" w:hAnsi="Calibri"/>
          <w:color w:val="20272E"/>
        </w:rPr>
        <w:t>La lectura de China es valiosa por su profundidad cultural, pero indulgente con la concentración de poder. Corrupción, sucesión y coerción no pueden explicarse sólo mediante continuidades confucianas.</w:t>
      </w:r>
    </w:p>
    <w:p>
      <w:pPr>
        <w:pStyle w:val="ListNumber"/>
        <w:widowControl/>
        <w:spacing w:after="100"/>
      </w:pPr>
      <w:r>
        <w:rPr>
          <w:rFonts w:ascii="Calibri" w:hAnsi="Calibri"/>
          <w:color w:val="20272E"/>
        </w:rPr>
        <w:t>Taiwán es el principal correctivo a cualquier determinismo. La historia de 1950 importa, pero también importan siete décadas de vida política separada. La disuasión reduce la probabilidad de guerra sin convertir la reunificación en un desenlace natural o automático.</w:t>
      </w:r>
    </w:p>
    <w:p>
      <w:pPr>
        <w:pStyle w:val="ListNumber"/>
        <w:widowControl/>
        <w:spacing w:after="100"/>
      </w:pPr>
      <w:r>
        <w:rPr>
          <w:rFonts w:ascii="Calibri" w:hAnsi="Calibri"/>
          <w:color w:val="20272E"/>
        </w:rPr>
        <w:t>En IA, la ventaja no dependerá sólo de quién alcance primero la frontera, sino de quién despliegue la tecnología, distribuya productividad y evite que la desigualdad destruya la legitimidad del cambio.</w:t>
      </w:r>
    </w:p>
    <w:p>
      <w:pPr>
        <w:pStyle w:val="ListNumber"/>
        <w:widowControl/>
        <w:spacing w:after="100"/>
      </w:pPr>
      <w:r>
        <w:rPr>
          <w:rFonts w:ascii="Calibri" w:hAnsi="Calibri"/>
          <w:color w:val="20272E"/>
        </w:rPr>
        <w:t>La aportación más transferible es la doctrina del taichí: en un entorno acelerado, la estabilidad exige movimiento, lectura fría de la realidad, cohesión interna, redes regionales y autoridad moral.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shd w:fill="F7F4EC"/>
            <w:vAlign w:val="center"/>
          </w:tcPr>
          <w:p>
            <w:pPr>
              <w:widowControl/>
              <w:spacing w:after="40" w:line="252" w:lineRule="auto"/>
            </w:pPr>
            <w:r>
              <w:rPr>
                <w:rFonts w:ascii="Calibri" w:hAnsi="Calibri"/>
                <w:b/>
                <w:color w:val="B7852A"/>
                <w:sz w:val="18"/>
              </w:rPr>
              <w:t xml:space="preserve">CONCLUSIÓN DE CONJUNTO  </w:t>
            </w:r>
            <w:r>
              <w:rPr>
                <w:rFonts w:ascii="Calibri" w:hAnsi="Calibri"/>
                <w:b/>
                <w:color w:val="18324A"/>
                <w:sz w:val="21"/>
              </w:rPr>
              <w:t>Yeo es más convincente cuando analiza procesos que cuando predice desenlaces. Su gran valor está en obligar a pensar desde la larga duración y desde Asia; su límite, en convertir a veces tendencias históricas en certezas civilizatorias.</w:t>
            </w:r>
          </w:p>
        </w:tc>
      </w:tr>
    </w:tbl>
    <w:p>
      <w:pPr>
        <w:widowControl/>
        <w:spacing w:after="40"/>
      </w:pPr>
    </w:p>
    <w:p>
      <w:pPr>
        <w:pStyle w:val="Heading1"/>
        <w:keepNext/>
        <w:widowControl/>
      </w:pPr>
      <w:r>
        <w:t>Fuentes y referencias</w:t>
      </w:r>
    </w:p>
    <w:p>
      <w:pPr>
        <w:widowControl/>
        <w:spacing w:after="140"/>
        <w:ind w:left="259" w:hanging="259"/>
      </w:pPr>
      <w:r>
        <w:rPr>
          <w:rFonts w:ascii="Calibri" w:hAnsi="Calibri"/>
          <w:b/>
          <w:color w:val="2B6777"/>
        </w:rPr>
        <w:t xml:space="preserve">Fuente primaria audiovisual. </w:t>
      </w:r>
      <w:r>
        <w:rPr>
          <w:rFonts w:ascii="Calibri" w:hAnsi="Calibri"/>
          <w:color w:val="20272E"/>
        </w:rPr>
        <w:t xml:space="preserve">ThinkChina, “George Yeo: America’s deep pain — and why China won’t colonise”, entrevista de Chow Yian Ping, 27 febrero 2026. </w:t>
      </w:r>
      <w:hyperlink r:id="rId11">
        <w:r>
          <w:rPr>
            <w:color w:val="2B6777"/>
            <w:u w:val="single"/>
            <w:rFonts w:ascii="Calibri" w:hAnsi="Calibri"/>
          </w:rPr>
          <w:t>Enlace</w:t>
        </w:r>
      </w:hyperlink>
    </w:p>
    <w:p>
      <w:pPr>
        <w:widowControl/>
        <w:spacing w:after="140"/>
        <w:ind w:left="259" w:hanging="259"/>
      </w:pPr>
      <w:r>
        <w:rPr>
          <w:rFonts w:ascii="Calibri" w:hAnsi="Calibri"/>
          <w:b/>
          <w:color w:val="2B6777"/>
        </w:rPr>
        <w:t xml:space="preserve">Transcripción editorial. </w:t>
      </w:r>
      <w:r>
        <w:rPr>
          <w:rFonts w:ascii="Calibri" w:hAnsi="Calibri"/>
          <w:color w:val="20272E"/>
        </w:rPr>
        <w:t xml:space="preserve">ThinkChina, transcripción completa de la entrevista. </w:t>
      </w:r>
      <w:hyperlink r:id="rId12">
        <w:r>
          <w:rPr>
            <w:color w:val="2B6777"/>
            <w:u w:val="single"/>
            <w:rFonts w:ascii="Calibri" w:hAnsi="Calibri"/>
          </w:rPr>
          <w:t>Enlace</w:t>
        </w:r>
      </w:hyperlink>
    </w:p>
    <w:p>
      <w:pPr>
        <w:widowControl/>
        <w:spacing w:after="140"/>
        <w:ind w:left="259" w:hanging="259"/>
      </w:pPr>
      <w:r>
        <w:rPr>
          <w:rFonts w:ascii="Calibri" w:hAnsi="Calibri"/>
          <w:b/>
          <w:color w:val="2B6777"/>
        </w:rPr>
        <w:t xml:space="preserve">Perfil biográfico. </w:t>
      </w:r>
      <w:r>
        <w:rPr>
          <w:rFonts w:ascii="Calibri" w:hAnsi="Calibri"/>
          <w:color w:val="20272E"/>
        </w:rPr>
        <w:t xml:space="preserve">Lee Kuan Yew School of Public Policy, National University of Singapore, perfil de George Yeo. </w:t>
      </w:r>
      <w:hyperlink r:id="rId13">
        <w:r>
          <w:rPr>
            <w:color w:val="2B6777"/>
            <w:u w:val="single"/>
            <w:rFonts w:ascii="Calibri" w:hAnsi="Calibri"/>
          </w:rPr>
          <w:t>Enlace</w:t>
        </w:r>
      </w:hyperlink>
    </w:p>
    <w:p>
      <w:pPr>
        <w:widowControl/>
        <w:spacing w:after="140"/>
        <w:ind w:left="259" w:hanging="259"/>
      </w:pPr>
      <w:r>
        <w:rPr>
          <w:rFonts w:ascii="Calibri" w:hAnsi="Calibri"/>
          <w:b/>
          <w:color w:val="2B6777"/>
        </w:rPr>
        <w:t xml:space="preserve">Deuda e intereses. </w:t>
      </w:r>
      <w:r>
        <w:rPr>
          <w:rFonts w:ascii="Calibri" w:hAnsi="Calibri"/>
          <w:color w:val="20272E"/>
        </w:rPr>
        <w:t xml:space="preserve">Congressional Budget Office, An Update to the Budget and Economic Outlook: 2024 to 2034, 18 junio 2024. </w:t>
      </w:r>
      <w:hyperlink r:id="rId14">
        <w:r>
          <w:rPr>
            <w:color w:val="2B6777"/>
            <w:u w:val="single"/>
            <w:rFonts w:ascii="Calibri" w:hAnsi="Calibri"/>
          </w:rPr>
          <w:t>Enlace</w:t>
        </w:r>
      </w:hyperlink>
    </w:p>
    <w:p>
      <w:pPr>
        <w:widowControl/>
        <w:spacing w:after="140"/>
        <w:ind w:left="259" w:hanging="259"/>
      </w:pPr>
      <w:r>
        <w:rPr>
          <w:rFonts w:ascii="Calibri" w:hAnsi="Calibri"/>
          <w:b/>
          <w:color w:val="2B6777"/>
        </w:rPr>
        <w:t xml:space="preserve">Reservas internacionales. </w:t>
      </w:r>
      <w:r>
        <w:rPr>
          <w:rFonts w:ascii="Calibri" w:hAnsi="Calibri"/>
          <w:color w:val="20272E"/>
        </w:rPr>
        <w:t xml:space="preserve">Fondo Monetario Internacional, COFER, composición monetaria de las reservas oficiales, datos 2025–2026. </w:t>
      </w:r>
      <w:hyperlink r:id="rId15">
        <w:r>
          <w:rPr>
            <w:color w:val="2B6777"/>
            <w:u w:val="single"/>
            <w:rFonts w:ascii="Calibri" w:hAnsi="Calibri"/>
          </w:rPr>
          <w:t>Enlace</w:t>
        </w:r>
      </w:hyperlink>
    </w:p>
    <w:p>
      <w:pPr>
        <w:widowControl/>
        <w:spacing w:after="140"/>
        <w:ind w:left="259" w:hanging="259"/>
      </w:pPr>
      <w:r>
        <w:rPr>
          <w:rFonts w:ascii="Calibri" w:hAnsi="Calibri"/>
          <w:b/>
          <w:color w:val="2B6777"/>
        </w:rPr>
        <w:t xml:space="preserve">Séptima Flota. </w:t>
      </w:r>
      <w:r>
        <w:rPr>
          <w:rFonts w:ascii="Calibri" w:hAnsi="Calibri"/>
          <w:color w:val="20272E"/>
        </w:rPr>
        <w:t xml:space="preserve">U.S. Department of State, Office of the Historian, Taiwan Strait Crises y documentación de junio de 1950. </w:t>
      </w:r>
      <w:hyperlink r:id="rId16">
        <w:r>
          <w:rPr>
            <w:color w:val="2B6777"/>
            <w:u w:val="single"/>
            <w:rFonts w:ascii="Calibri" w:hAnsi="Calibri"/>
          </w:rPr>
          <w:t>Enlace</w:t>
        </w:r>
      </w:hyperlink>
    </w:p>
    <w:p>
      <w:pPr>
        <w:widowControl/>
        <w:spacing w:after="140"/>
        <w:ind w:left="259" w:hanging="259"/>
      </w:pPr>
      <w:r>
        <w:rPr>
          <w:rFonts w:ascii="Calibri" w:hAnsi="Calibri"/>
          <w:b/>
          <w:color w:val="2B6777"/>
        </w:rPr>
        <w:t xml:space="preserve">Opinión pública taiwanesa. </w:t>
      </w:r>
      <w:r>
        <w:rPr>
          <w:rFonts w:ascii="Calibri" w:hAnsi="Calibri"/>
          <w:color w:val="20272E"/>
        </w:rPr>
        <w:t xml:space="preserve">Election Study Center, National Chengchi University, tendencias de identidad y preferencias sobre independencia/unificación, 1992/1994–2026. </w:t>
      </w:r>
      <w:hyperlink r:id="rId17">
        <w:r>
          <w:rPr>
            <w:color w:val="2B6777"/>
            <w:u w:val="single"/>
            <w:rFonts w:ascii="Calibri" w:hAnsi="Calibri"/>
          </w:rPr>
          <w:t>Enlace</w:t>
        </w:r>
      </w:hyperlink>
    </w:p>
    <w:p>
      <w:pPr>
        <w:widowControl/>
        <w:spacing w:after="140"/>
        <w:ind w:left="259" w:hanging="259"/>
      </w:pPr>
      <w:r>
        <w:rPr>
          <w:rFonts w:ascii="Calibri" w:hAnsi="Calibri"/>
          <w:b/>
          <w:color w:val="2B6777"/>
        </w:rPr>
        <w:t xml:space="preserve">Antecedente conceptual. </w:t>
      </w:r>
      <w:r>
        <w:rPr>
          <w:rFonts w:ascii="Calibri" w:hAnsi="Calibri"/>
          <w:color w:val="20272E"/>
        </w:rPr>
        <w:t xml:space="preserve">George Yeo, “China’s rise is creating a multipolar world that could benefit the US”, Goh Keng Swee Lecture, 2022. </w:t>
      </w:r>
      <w:hyperlink r:id="rId18">
        <w:r>
          <w:rPr>
            <w:color w:val="2B6777"/>
            <w:u w:val="single"/>
            <w:rFonts w:ascii="Calibri" w:hAnsi="Calibri"/>
          </w:rPr>
          <w:t>Enlace</w:t>
        </w:r>
      </w:hyperlink>
    </w:p>
    <w:p>
      <w:pPr>
        <w:widowControl/>
        <w:spacing w:before="0" w:after="0"/>
      </w:pPr>
      <w:r>
        <w:rPr>
          <w:rFonts w:ascii="Calibri" w:hAnsi="Calibri"/>
          <w:i/>
          <w:color w:val="20272E"/>
        </w:rPr>
        <w:t>Nota de método: las referencias sirven para verificar o matizar hechos centrales. Los juicios interpretativos se atribuyen expresamente a George Yeo o al presente informe. Consulta realizada en septiembre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37D"/>
        <w:sz w:val="17"/>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8737D"/>
        <w:sz w:val="16"/>
      </w:rPr>
      <w:t>GEORGE YEO · ESTRATEGIA, CIVILIZACIÓN Y ORDEN MUNDIAL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7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B677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outu.be/NY2Vgiuh1ZY?si=mbGAt9-jadDAqFtA" TargetMode="External"/><Relationship Id="rId12" Type="http://schemas.openxmlformats.org/officeDocument/2006/relationships/hyperlink" Target="https://www.thinkchina.sg/politics/video-george-yeo-americas-deep-pain-and-why-china-wont-colonise" TargetMode="External"/><Relationship Id="rId13" Type="http://schemas.openxmlformats.org/officeDocument/2006/relationships/hyperlink" Target="https://lkyspp.nus.edu.sg/aci/about-us/faculty-researchers-and-staff/george-yeo" TargetMode="External"/><Relationship Id="rId14" Type="http://schemas.openxmlformats.org/officeDocument/2006/relationships/hyperlink" Target="https://www.cbo.gov/publication/60419" TargetMode="External"/><Relationship Id="rId15" Type="http://schemas.openxmlformats.org/officeDocument/2006/relationships/hyperlink" Target="https://data.imf.org/Datasets/COFER" TargetMode="External"/><Relationship Id="rId16" Type="http://schemas.openxmlformats.org/officeDocument/2006/relationships/hyperlink" Target="https://history.state.gov/milestones/1953-1960/taiwan-strait-crises" TargetMode="External"/><Relationship Id="rId17" Type="http://schemas.openxmlformats.org/officeDocument/2006/relationships/hyperlink" Target="https://esc.nccu.edu.tw/PageDoc/Detail?fid=7800&amp;id=6963" TargetMode="External"/><Relationship Id="rId18" Type="http://schemas.openxmlformats.org/officeDocument/2006/relationships/hyperlink" Target="https://www.thinkchina.sg/politics/george-yeo-chinas-rise-creating-multipolar-world-could-benef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aceleración de la historia: George Yeo y el orden multipolar</dc:title>
  <dc:subject>Informe exhaustivo sobre la entrevista de George Yeo en ThinkChina</dc:subject>
  <dc:creator>OpenAI</dc:creator>
  <cp:keywords>George Yeo, China, Estados Unidos, multipolaridad, Taiwán, inteligencia artificial, Singapur</cp:keywords>
  <dc:description>generated by python-docx</dc:description>
  <cp:lastModifiedBy/>
  <cp:revision>1</cp:revision>
  <dcterms:created xsi:type="dcterms:W3CDTF">2013-12-23T23:15:00Z</dcterms:created>
  <dcterms:modified xsi:type="dcterms:W3CDTF">2013-12-23T23:15:00Z</dcterms:modified>
  <cp:category/>
</cp:coreProperties>
</file>