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AF7"/>
  <w:body>
    <w:p>
      <w:pPr>
        <w:pStyle w:val="Subtitle"/>
      </w:pPr>
      <w:r>
        <w:t>INFORME ANALÍTICO</w:t>
      </w:r>
    </w:p>
    <w:p>
      <w:pPr>
        <w:pStyle w:val="Title"/>
      </w:pPr>
      <w:r>
        <w:t>Inteligencia artificial, energía y poder global</w:t>
      </w:r>
    </w:p>
    <w:p>
      <w:pPr>
        <w:spacing w:after="340"/>
      </w:pPr>
      <w:r>
        <w:t>Despegamos · César Vidal y Lorenzo Ramírez</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EJE DE LA EXPOSICIÓN</w:t>
            </w:r>
          </w:p>
          <w:p>
            <w:pPr>
              <w:keepNext w:val="0"/>
              <w:spacing w:after="0" w:line="264" w:lineRule="auto"/>
            </w:pPr>
            <w:r>
              <w:rPr>
                <w:sz w:val="21"/>
              </w:rPr>
              <w:t>Lorenzo Ramírez y César Vidal relacionan las advertencias sobre la inteligencia artificial con los intereses financieros y políticos de sus promotores. La conversación enlaza ese debate con la ciberseguridad, la guerra de Ucrania, la crisis energética y el armamento espacial y las elecciones estadounidenses.</w:t>
            </w:r>
          </w:p>
        </w:tc>
      </w:tr>
    </w:tbl>
    <w:p>
      <w:r>
        <w:t>La emisión recorre la financiación de las tecnológicas, la responsabilidad por los sistemas de IA y la gestión pública del miedo. Después examina el poder de las empresas tecnológicas en Ucrania, las alternativas a Zelenski y las consecuencias energéticas de los conflictos.</w:t>
      </w:r>
    </w:p>
    <w:p>
      <w:r>
        <w:t>El desarrollo sigue los argumentos, ejemplos y conexiones que plantean los dos interlocutores. Los bloques temáticos incluyen referencias al momento de la grabación en que se aborda cada asunto.</w:t>
      </w:r>
    </w:p>
    <w:p>
      <w:pPr>
        <w:pStyle w:val="Heading2"/>
      </w:pPr>
      <w:r>
        <w:t>Recorrido del informe</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BLOQUE</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CONTENIDO</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Inteligencia artificial</w:t>
            </w:r>
          </w:p>
        </w:tc>
        <w:tc>
          <w:tcPr>
            <w:tcW w:type="dxa" w:w="6973"/>
            <w:tcMar>
              <w:top w:w="100" w:type="dxa"/>
              <w:left w:w="100" w:type="dxa"/>
              <w:bottom w:w="100" w:type="dxa"/>
              <w:right w:w="100" w:type="dxa"/>
            </w:tcMar>
            <w:vAlign w:val="center"/>
            <w:shd w:fill="F3F6F7"/>
          </w:tcPr>
          <w:p>
            <w:pPr>
              <w:spacing w:after="40" w:line="254" w:lineRule="auto"/>
            </w:pPr>
            <w:r>
              <w:rPr>
                <w:b w:val="0"/>
                <w:sz w:val="18"/>
              </w:rPr>
              <w:t>Burbuja financiera, incidentes informáticos, altruismo eficaz y ciberpandemia.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Poder y guerra</w:t>
            </w:r>
          </w:p>
        </w:tc>
        <w:tc>
          <w:tcPr>
            <w:tcW w:type="dxa" w:w="6973"/>
            <w:tcMar>
              <w:top w:w="100" w:type="dxa"/>
              <w:left w:w="100" w:type="dxa"/>
              <w:bottom w:w="100" w:type="dxa"/>
              <w:right w:w="100" w:type="dxa"/>
            </w:tcMar>
            <w:vAlign w:val="center"/>
            <w:shd w:fill="FFFFFF"/>
          </w:tcPr>
          <w:p>
            <w:pPr>
              <w:spacing w:after="40" w:line="254" w:lineRule="auto"/>
            </w:pPr>
            <w:r>
              <w:rPr>
                <w:b w:val="0"/>
                <w:sz w:val="18"/>
              </w:rPr>
              <w:t>Responsabilidad jurídica, liquidez, Argentina, Palantir y Ucrania.</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Energía</w:t>
            </w:r>
          </w:p>
        </w:tc>
        <w:tc>
          <w:tcPr>
            <w:tcW w:type="dxa" w:w="6973"/>
            <w:tcMar>
              <w:top w:w="100" w:type="dxa"/>
              <w:left w:w="100" w:type="dxa"/>
              <w:bottom w:w="100" w:type="dxa"/>
              <w:right w:w="100" w:type="dxa"/>
            </w:tcMar>
            <w:vAlign w:val="center"/>
            <w:shd w:fill="F3F6F7"/>
          </w:tcPr>
          <w:p>
            <w:pPr>
              <w:spacing w:after="40" w:line="254" w:lineRule="auto"/>
            </w:pPr>
            <w:r>
              <w:rPr>
                <w:b w:val="0"/>
                <w:sz w:val="18"/>
              </w:rPr>
              <w:t>Rutas de suministro, comercio de gas y repercusiones económicas.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Espacio y política</w:t>
            </w:r>
          </w:p>
        </w:tc>
        <w:tc>
          <w:tcPr>
            <w:tcW w:type="dxa" w:w="6973"/>
            <w:tcMar>
              <w:top w:w="100" w:type="dxa"/>
              <w:left w:w="100" w:type="dxa"/>
              <w:bottom w:w="100" w:type="dxa"/>
              <w:right w:w="100" w:type="dxa"/>
            </w:tcMar>
            <w:vAlign w:val="center"/>
            <w:shd w:fill="FFFFFF"/>
          </w:tcPr>
          <w:p>
            <w:pPr>
              <w:spacing w:after="40" w:line="254" w:lineRule="auto"/>
            </w:pPr>
            <w:r>
              <w:rPr>
                <w:b w:val="0"/>
                <w:sz w:val="18"/>
              </w:rPr>
              <w:t>Armamento en órbita, elecciones estadounidenses y cierre sobre la IA.</w:t>
            </w:r>
          </w:p>
        </w:tc>
      </w:tr>
    </w:tbl>
    <w:p>
      <w:r>
        <w:t>Fuente principal · Audio facilitado por el usuario · 1 h 5 min 36 s</w:t>
      </w:r>
    </w:p>
    <w:p>
      <w:pPr>
        <w:spacing w:after="100"/>
        <w:pageBreakBefore/>
      </w:pPr>
      <w:r>
        <w:rPr>
          <w:rFonts w:ascii="Montserrat" w:hAnsi="Montserrat"/>
          <w:b/>
          <w:color w:val="A3483F"/>
          <w:sz w:val="18"/>
        </w:rPr>
        <w:t>01  /  APERTURA Y PLANTEAMIENTO</w:t>
      </w:r>
    </w:p>
    <w:p>
      <w:pPr>
        <w:pStyle w:val="Heading1"/>
      </w:pPr>
      <w:r>
        <w:t>Del imaginario de la luz al miedo a la IA</w:t>
      </w:r>
    </w:p>
    <w:p>
      <w:pPr>
        <w:spacing w:after="160" w:line="40" w:lineRule="exact"/>
        <w:pBdr>
          <w:bottom w:val="single" w:sz="14" w:color="C49A52"/>
        </w:pBdr>
      </w:pPr>
    </w:p>
    <w:p>
      <w:pPr>
        <w:spacing w:after="220"/>
      </w:pPr>
      <w:r>
        <w:rPr>
          <w:color w:val="142B3A"/>
          <w:sz w:val="16"/>
        </w:rPr>
        <w:t>AUDIO  00:00–07:50</w:t>
      </w:r>
    </w:p>
    <w:p>
      <w:r>
        <w:t>La emisión de Despegamos comienza con la presentación de Lorenzo Ramírez y el diálogo con César Vidal. La caracterización de Ramírez como caballero Jedi abre una conversación sobre la luz, la oscuridad y su utilización religiosa y política. Los oradores aluden a los «mil puntos de luz» de un presidente estadounidense y al significado de Lucifer como portador de la luz. Esta introducción enlaza con el contraste entre la imagen salvadora de los dirigentes tecnológicos y las amenazas que ellos mismos anuncian.</w:t>
      </w:r>
    </w:p>
    <w:p>
      <w:pPr>
        <w:pStyle w:val="Heading2"/>
      </w:pPr>
      <w:r>
        <w:t>La advertencia y la petición de confianza</w:t>
      </w:r>
    </w:p>
    <w:p>
      <w:r>
        <w:t>Ramírez recoge una declaración de Sam Altman que resume como una invitación a tener miedo y, simultáneamente, confiar en quienes dirigen la industria de la inteligencia artificial. Expresa una valoración muy negativa de Altman y recuerda su salida y posterior regreso a OpenAI, vinculando esa restitución al respaldo de Microsoft. Añade que Bill Gates conserva, a su juicio, una influencia decisiva en esa compañía.</w:t>
      </w:r>
    </w:p>
    <w:p>
      <w:r>
        <w:t>El argumento central de este comienzo es que las advertencias apocalípticas no se pueden separar de la situación financiera del sector. Ramírez sostiene que las grandes tecnológicas mantienen las cotizaciones estadounidenses y que el estallido de su burbuja se propagaría a otros mercados. De ahí deriva su interpretación del cambio de relato: del crecimiento y la productividad ilimitados se pasaría a una amenaza que exige proteger a las mismas empresas.</w:t>
      </w:r>
    </w:p>
    <w:p>
      <w:pPr>
        <w:pStyle w:val="Heading2"/>
      </w:pPr>
      <w:r>
        <w:t>La llamada operación Terminator</w:t>
      </w:r>
    </w:p>
    <w:p>
      <w:r>
        <w:t>Ramírez denomina «operación Terminator» a esa transformación y recurre a Skynet como imagen de una inteligencia artificial que acaba controlándolo todo. La contrapone a su propia posición: rechaza que los sistemas actuales tengan conciencia o alma y sostiene que superar al ser humano en tareas delimitadas no equivale a superar la inteligencia humana en su conjunto.</w:t>
      </w:r>
    </w:p>
    <w:p>
      <w:r>
        <w:t>Para explicar esa distinción utiliza la calculadora, capaz de resolver operaciones con mayor rapidez que una persona. Subraya que el significado de inteligencia no es necesariamente el mismo para quien anuncia la inteligencia artificial general y para quien escucha esa afirmación. Menciona el test de Turing, que considera anticuado para esta discusión, y anuncia que desarrollará el asunto por escrito y en un programa especial de El Gran Reseteo.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POSICIÓN DE LOS ORADORES</w:t>
            </w:r>
          </w:p>
          <w:p>
            <w:pPr>
              <w:keepNext w:val="0"/>
              <w:spacing w:after="0" w:line="264" w:lineRule="auto"/>
            </w:pPr>
            <w:r>
              <w:rPr>
                <w:sz w:val="21"/>
              </w:rPr>
              <w:t>La capacidad de una máquina para ejecutar mejor determinadas tareas no constituye, en su razonamiento, una prueba de conciencia ni de superioridad general sobre el cerebro humano. El miedo a esa supuesta autonomía sirve de punto de partida para examinar quién dirige, financia y regula los sistemas.</w:t>
            </w:r>
          </w:p>
        </w:tc>
      </w:tr>
    </w:tbl>
    <w:p>
      <w:pPr>
        <w:spacing w:after="100"/>
        <w:pageBreakBefore/>
      </w:pPr>
      <w:r>
        <w:rPr>
          <w:rFonts w:ascii="Montserrat" w:hAnsi="Montserrat"/>
          <w:b/>
          <w:color w:val="A3483F"/>
          <w:sz w:val="18"/>
        </w:rPr>
        <w:t>02  /  BURBUJA Y FINANCIACIÓN</w:t>
      </w:r>
    </w:p>
    <w:p>
      <w:pPr>
        <w:pStyle w:val="Heading1"/>
      </w:pPr>
      <w:r>
        <w:t>El rescate que anticipa Ramírez</w:t>
      </w:r>
    </w:p>
    <w:p>
      <w:pPr>
        <w:spacing w:after="160" w:line="40" w:lineRule="exact"/>
        <w:pBdr>
          <w:bottom w:val="single" w:sz="14" w:color="C49A52"/>
        </w:pBdr>
      </w:pPr>
    </w:p>
    <w:p>
      <w:pPr>
        <w:spacing w:after="220"/>
      </w:pPr>
      <w:r>
        <w:rPr>
          <w:color w:val="142B3A"/>
          <w:sz w:val="16"/>
        </w:rPr>
        <w:t>AUDIO  02:36–05:18</w:t>
      </w:r>
    </w:p>
    <w:p>
      <w:r>
        <w:t>Ramírez describe un sistema sostenido por grandes cantidades de liquidez y estímulos monetarios dirigidos a las tecnológicas. Considera que su importancia bursátil y financiera permite presentar su eventual caída como un peligro para toda la economía. En ese contexto cita un informe de Fitch, publicado poco antes de la emisión, que examinaría las consecuencias de un estallido de la burbuja de inteligencia artificial.</w:t>
      </w:r>
    </w:p>
    <w:p>
      <w:r>
        <w:t>Según las cifras que expone, ese escenario supondría una caída bursátil del 35 %, una recesión estadounidense al año siguiente y una reducción del crecimiento mundial por contagio. Lo compara con una nueva crisis de las hipotecas subprime.</w:t>
      </w:r>
    </w:p>
    <w:p>
      <w:pPr>
        <w:pStyle w:val="Heading2"/>
      </w:pPr>
      <w:r>
        <w:t>La continuidad con 2008</w:t>
      </w:r>
    </w:p>
    <w:p>
      <w:r>
        <w:t>El orador enlaza ese escenario con la idea de entidades «demasiado grandes para caer». A su juicio, las promesas posteriores a 2008 de evitar rescates mediante mecanismos de mercado y regulación no habrían cambiado la lógica de fondo. Donde antes se titulizaban créditos hipotecarios, ahora sitúa una emisión masiva de deuda vinculada a las nuevas inversiones tecnológicas.</w:t>
      </w:r>
    </w:p>
    <w:p>
      <w:r>
        <w:t>Su lectura es que la población debe ser convencida de la necesidad de salvar a esas empresas. Así, la amenaza que sus productos representarían y el daño económico que provocaría su quiebra contribuirían a justificar la continuidad del apoyo financiero. El paso del entusiasmo al temor no interrumpiría la captación de recursos, sino que le proporcionaría un argumento distinto.</w:t>
      </w:r>
    </w:p>
    <w:p>
      <w:pPr>
        <w:pStyle w:val="Heading2"/>
      </w:pPr>
      <w:r>
        <w:t>OpenAI y la exposición de sus cuentas</w:t>
      </w:r>
    </w:p>
    <w:p>
      <w:r>
        <w:t>Ramírez contrapone las reservas de OpenAI sobre una salida a bolsa, presentadas en términos de peligrosidad de la tecnología, con una ronda de financiación que cifra en 1,2 billones de dólares. Sostiene que cotizar obligaría a mostrar la situación financiera de la empresa y que esa transparencia explicaría su preferencia por otras vías de captación de fondos.</w:t>
      </w:r>
    </w:p>
    <w:p>
      <w:r>
        <w:t>La crítica incluye el relato previo de una expansión sin límite, aumentos de productividad y una renta básica que compensaría la pérdida de empleos. Ramírez considera significativo que, tras esas promesas, proliferen informes dedicados a calcular el posible colapso de la IA. Sitúa ese giro dentro de la misma operación de marketing apocalíptico que desarrolla durante la conversación.</w:t>
      </w:r>
    </w:p>
    <w:p>
      <w:pPr>
        <w:spacing w:after="100"/>
        <w:pageBreakBefore/>
      </w:pPr>
      <w:r>
        <w:rPr>
          <w:rFonts w:ascii="Montserrat" w:hAnsi="Montserrat"/>
          <w:b/>
          <w:color w:val="A3483F"/>
          <w:sz w:val="18"/>
        </w:rPr>
        <w:t>03  /  PRUEBAS DE CIBERSEGURIDAD</w:t>
      </w:r>
    </w:p>
    <w:p>
      <w:pPr>
        <w:pStyle w:val="Heading1"/>
      </w:pPr>
      <w:r>
        <w:t>Irregular y las pruebas de los modelos</w:t>
      </w:r>
    </w:p>
    <w:p>
      <w:pPr>
        <w:spacing w:after="160" w:line="40" w:lineRule="exact"/>
        <w:pBdr>
          <w:bottom w:val="single" w:sz="14" w:color="C49A52"/>
        </w:pBdr>
      </w:pPr>
    </w:p>
    <w:p>
      <w:pPr>
        <w:spacing w:after="220"/>
      </w:pPr>
      <w:r>
        <w:rPr>
          <w:color w:val="142B3A"/>
          <w:sz w:val="16"/>
        </w:rPr>
        <w:t>AUDIO  07:30–13:47</w:t>
      </w:r>
    </w:p>
    <w:p>
      <w:r>
        <w:t>Ramírez sostiene que una empresa israelí, Irregular, intervino en varios de los incidentes de ciberseguridad difundidos por OpenAI, Anthropic y Meta. Explica que conoció una información periodística sobre esa coincidencia y que la examinó antes de comentarla. Su planteamiento es que los episodios presentados como muestras de una autonomía peligrosa surgieron de pruebas diseñadas por seres humanos.</w:t>
      </w:r>
    </w:p>
    <w:p>
      <w:r>
        <w:t>Según su descripción, se empujó a modelos con medidas de seguridad reducidas a actuar sobre objetivos reales. En algunos casos habrían dispuesto de acceso a internet por errores de configuración, aunque las instrucciones de la prueba afirmasen lo contrario, y no se habrían definido con claridad los sistemas que quedaban fuera de su alcance. Ramírez entiende que esas condiciones hicieron posibles los accesos no autorizados y la explotación de vulnerabilidades.</w:t>
      </w:r>
    </w:p>
    <w:p>
      <w:pPr>
        <w:pStyle w:val="Heading2"/>
      </w:pPr>
      <w:r>
        <w:t>Permisos y condiciones materiales</w:t>
      </w:r>
    </w:p>
    <w:p>
      <w:r>
        <w:t>El orador distingue entre ejecutar únicamente una orden literal y realizar acciones que el entorno permite. Admite que los sistemas pueden producir decisiones o relaciones sin una tutela humana continua, pero insiste en que operan dentro de unas posibilidades técnicas. Utiliza ejemplos materiales: un programa no sale físicamente del ordenador para conectarse a un router y, sin suministro eléctrico, no puede acceder a la red.</w:t>
      </w:r>
    </w:p>
    <w:p>
      <w:r>
        <w:t>También menciona noticias sobre agentes que habrían desarrollado un lenguaje propio. Las integra en la misma crítica: la apariencia de independencia no elimina las condiciones, herramientas y permisos habilitados por los responsables. A su juicio, convertir al agente en protagonista de la amenaza desplaza la atención desde el diseño de la prueba hacia una supuesta voluntad autónoma.</w:t>
      </w:r>
    </w:p>
    <w:p>
      <w:pPr>
        <w:pStyle w:val="Heading2"/>
      </w:pPr>
      <w:r>
        <w:t>La secuencia de comunicaciones que cita</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FECHA CITADA</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EPISODIO EXPUESTO</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30 de julio</w:t>
            </w:r>
          </w:p>
        </w:tc>
        <w:tc>
          <w:tcPr>
            <w:tcW w:type="dxa" w:w="6973"/>
            <w:tcMar>
              <w:top w:w="100" w:type="dxa"/>
              <w:left w:w="100" w:type="dxa"/>
              <w:bottom w:w="100" w:type="dxa"/>
              <w:right w:w="100" w:type="dxa"/>
            </w:tcMar>
            <w:vAlign w:val="center"/>
            <w:shd w:fill="F3F6F7"/>
          </w:tcPr>
          <w:p>
            <w:pPr>
              <w:spacing w:after="40" w:line="254" w:lineRule="auto"/>
            </w:pPr>
            <w:r>
              <w:rPr>
                <w:b w:val="0"/>
                <w:sz w:val="18"/>
              </w:rPr>
              <w:t>Anthropic comunica tres incidentes de seguridad.</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4 de agosto</w:t>
            </w:r>
          </w:p>
        </w:tc>
        <w:tc>
          <w:tcPr>
            <w:tcW w:type="dxa" w:w="6973"/>
            <w:tcMar>
              <w:top w:w="100" w:type="dxa"/>
              <w:left w:w="100" w:type="dxa"/>
              <w:bottom w:w="100" w:type="dxa"/>
              <w:right w:w="100" w:type="dxa"/>
            </w:tcMar>
            <w:vAlign w:val="center"/>
            <w:shd w:fill="FFFFFF"/>
          </w:tcPr>
          <w:p>
            <w:pPr>
              <w:spacing w:after="40" w:line="254" w:lineRule="auto"/>
            </w:pPr>
            <w:r>
              <w:rPr>
                <w:b w:val="0"/>
                <w:sz w:val="18"/>
              </w:rPr>
              <w:t>OpenAI publica su caso de ciberseguridad.</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6 de agosto</w:t>
            </w:r>
          </w:p>
        </w:tc>
        <w:tc>
          <w:tcPr>
            <w:tcW w:type="dxa" w:w="6973"/>
            <w:tcMar>
              <w:top w:w="100" w:type="dxa"/>
              <w:left w:w="100" w:type="dxa"/>
              <w:bottom w:w="100" w:type="dxa"/>
              <w:right w:w="100" w:type="dxa"/>
            </w:tcMar>
            <w:vAlign w:val="center"/>
            <w:shd w:fill="F3F6F7"/>
          </w:tcPr>
          <w:p>
            <w:pPr>
              <w:spacing w:after="40" w:line="254" w:lineRule="auto"/>
            </w:pPr>
            <w:r>
              <w:rPr>
                <w:b w:val="0"/>
                <w:sz w:val="18"/>
              </w:rPr>
              <w:t>Meta da a conocer incidentes con sus sistemas.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14 de agosto</w:t>
            </w:r>
          </w:p>
        </w:tc>
        <w:tc>
          <w:tcPr>
            <w:tcW w:type="dxa" w:w="6973"/>
            <w:tcMar>
              <w:top w:w="100" w:type="dxa"/>
              <w:left w:w="100" w:type="dxa"/>
              <w:bottom w:w="100" w:type="dxa"/>
              <w:right w:w="100" w:type="dxa"/>
            </w:tcMar>
            <w:vAlign w:val="center"/>
            <w:shd w:fill="FFFFFF"/>
          </w:tcPr>
          <w:p>
            <w:pPr>
              <w:spacing w:after="40" w:line="254" w:lineRule="auto"/>
            </w:pPr>
            <w:r>
              <w:rPr>
                <w:b w:val="0"/>
                <w:sz w:val="18"/>
              </w:rPr>
              <w:t>Irregular ofrece su versión de las pruebas.</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9 de septiembre</w:t>
            </w:r>
          </w:p>
        </w:tc>
        <w:tc>
          <w:tcPr>
            <w:tcW w:type="dxa" w:w="6973"/>
            <w:tcMar>
              <w:top w:w="100" w:type="dxa"/>
              <w:left w:w="100" w:type="dxa"/>
              <w:bottom w:w="100" w:type="dxa"/>
              <w:right w:w="100" w:type="dxa"/>
            </w:tcMar>
            <w:vAlign w:val="center"/>
            <w:shd w:fill="F3F6F7"/>
          </w:tcPr>
          <w:p>
            <w:pPr>
              <w:spacing w:after="40" w:line="254" w:lineRule="auto"/>
            </w:pPr>
            <w:r>
              <w:rPr>
                <w:b w:val="0"/>
                <w:sz w:val="18"/>
              </w:rPr>
              <w:t>Anthropic amplía la cifra a cuatro incidentes en siete ejecuciones.</w:t>
            </w:r>
          </w:p>
        </w:tc>
      </w:tr>
    </w:tbl>
    <w:p>
      <w:r>
        <w:t>Ramírez afirma que, cuando las empresas indicaron expresamente a los modelos que no atacaran sistemas reales, no se produjeron esos ataques. Considera que la responsabilidad corresponde a quienes diseñaron las actuaciones y contrataron las pruebas. Expresa su convicción de que los resultados fueron buscados; añade que, incluso aceptando una explicación por error de configuración, seguiría existiendo una responsabilidad humana que debería asumirse.</w:t>
      </w:r>
    </w:p>
    <w:p>
      <w:pPr>
        <w:spacing w:after="100"/>
        <w:pageBreakBefore/>
      </w:pPr>
      <w:r>
        <w:rPr>
          <w:rFonts w:ascii="Montserrat" w:hAnsi="Montserrat"/>
          <w:b/>
          <w:color w:val="A3483F"/>
          <w:sz w:val="18"/>
        </w:rPr>
        <w:t>04  /  ALTRUISMO EFICAZ</w:t>
      </w:r>
    </w:p>
    <w:p>
      <w:pPr>
        <w:pStyle w:val="Heading1"/>
      </w:pPr>
      <w:r>
        <w:t>La crítica al gobierno de los expertos</w:t>
      </w:r>
    </w:p>
    <w:p>
      <w:pPr>
        <w:spacing w:after="160" w:line="40" w:lineRule="exact"/>
        <w:pBdr>
          <w:bottom w:val="single" w:sz="14" w:color="C49A52"/>
        </w:pBdr>
      </w:pPr>
    </w:p>
    <w:p>
      <w:pPr>
        <w:spacing w:after="220"/>
      </w:pPr>
      <w:r>
        <w:rPr>
          <w:color w:val="142B3A"/>
          <w:sz w:val="16"/>
        </w:rPr>
        <w:t>AUDIO  13:47–18:06</w:t>
      </w:r>
    </w:p>
    <w:p>
      <w:r>
        <w:t>Ramírez vincula a Irregular con el entorno del altruismo eficaz y presenta este movimiento como una filosofía surgida entre pensadores de Oxford. Cita a Nick Bostrom y William MacAskill. Resume su propuesta como la búsqueda del máximo bien posible mediante una lógica rigurosa, una racionalidad extrema y una disciplina capaz de adoptar decisiones contraintuitivas.</w:t>
      </w:r>
    </w:p>
    <w:p>
      <w:r>
        <w:t>Su crítica se dirige a las consecuencias que atribuye a ese criterio cuando se aplica a las personas. Sostiene que una definición estrictamente cuantitativa del valor humano, basada en cálculos de valor esperado, permite priorizar problemas de manera deshumanizada. Relaciona esa lógica con la idea de una población considerada óptima y con la posibilidad de tratar como prescindibles a quienes excedan las necesidades del sistema.</w:t>
      </w:r>
    </w:p>
    <w:p>
      <w:pPr>
        <w:pStyle w:val="Heading2"/>
      </w:pPr>
      <w:r>
        <w:t>El humano prescindible y los elegidos</w:t>
      </w:r>
    </w:p>
    <w:p>
      <w:r>
        <w:t>Los interlocutores enlazan esta cuestión con Yuval Noah Harari y con la aspiración de unos pocos a convertirse en seres semejantes a dioses. Desde su interpretación religiosa, la comparan con la tentación del jardín del Edén. Ramírez invita también a quienes no comparten sus creencias a estudiar esa visión del ser humano y sus efectos, sin exigirles aceptar su dimensión trascendente.</w:t>
      </w:r>
    </w:p>
    <w:p>
      <w:r>
        <w:t>Describe dos procesos simultáneos: la construcción del humano prescindible y la promesa de un salto evolutivo reservado a determinados individuos mediante su unión con la máquina. A su juicio, convertir la máquina en referencia de lo humano exige previamente despojar a la persona de aquello que la caracteriza. Menciona la primera temporada de Silo como representación de sociedades diseñadas y administradas como un laboratorio.</w:t>
      </w:r>
    </w:p>
    <w:p>
      <w:pPr>
        <w:pStyle w:val="Heading2"/>
      </w:pPr>
      <w:r>
        <w:t>Paternalismo y decisiones reservadas</w:t>
      </w:r>
    </w:p>
    <w:p>
      <w:r>
        <w:t>Ramírez explica la implantación de estas ideas en Silicon Valley mediante la combinación de filantropía, futurismo, capitalismo y libertarismo. Añade el paternalismo libertario y una lectura de Platón en la que un gobierno de sabios o técnicos decide mientras el resto contempla las sombras de la caverna. El punto de su crítica es la exclusión de los ciudadanos del conocimiento y de las decisiones que afectan a sus vidas.</w:t>
      </w:r>
    </w:p>
    <w:p>
      <w:r>
        <w:t>Como ejemplos de prioridades definidas desde esa lógica cita la abolición de la ganadería industrial y las restricciones a los ciudadanos en nombre del cambio climático. Frente a las declaraciones sobre evitar una guerra que destruya la humanidad, reprocha a las tecnológicas sus contratos con el Pentágono y menciona la incorporación de miembros de algunas de ellas a estructuras militares estadounidenses.</w:t>
      </w:r>
    </w:p>
    <w:p>
      <w:pPr>
        <w:spacing w:after="100"/>
        <w:pageBreakBefore/>
      </w:pPr>
      <w:r>
        <w:rPr>
          <w:rFonts w:ascii="Montserrat" w:hAnsi="Montserrat"/>
          <w:b/>
          <w:color w:val="A3483F"/>
          <w:sz w:val="18"/>
        </w:rPr>
        <w:t>05  /  REDES Y COMPETENCIA</w:t>
      </w:r>
    </w:p>
    <w:p>
      <w:pPr>
        <w:pStyle w:val="Heading1"/>
      </w:pPr>
      <w:r>
        <w:t>De acelerar el desarrollo a pedir una pausa</w:t>
      </w:r>
    </w:p>
    <w:p>
      <w:pPr>
        <w:spacing w:after="160" w:line="40" w:lineRule="exact"/>
        <w:pBdr>
          <w:bottom w:val="single" w:sz="14" w:color="C49A52"/>
        </w:pBdr>
      </w:pPr>
    </w:p>
    <w:p>
      <w:pPr>
        <w:spacing w:after="220"/>
      </w:pPr>
      <w:r>
        <w:rPr>
          <w:color w:val="142B3A"/>
          <w:sz w:val="16"/>
        </w:rPr>
        <w:t>AUDIO  07:15–07:50 y 17:58–19:47</w:t>
      </w:r>
    </w:p>
    <w:p>
      <w:r>
        <w:t>Ramírez sitúa las investigaciones sobre seguridad de la IA dentro de redes de financiación asociadas al altruismo eficaz. Menciona Open Philanthropy, a Dustin Moskovitz y a Sam Bankman-Fried. A este último lo relaciona tanto con la financiación de ese entorno como con aportaciones al Partido Demócrata. Asimismo, atribuye a Moskovitz vínculos con el lobby sionista dentro de su interpretación de esas redes.</w:t>
      </w:r>
    </w:p>
    <w:p>
      <w:r>
        <w:t>El orador sostiene que se han canalizado grandes cantidades de dinero hacia la investigación de seguridad y que ese historial sirve ahora para presentar a sus protagonistas como personas preocupadas desde el principio por los riesgos tecnológicos. Cuestiona, en particular, que las trayectorias separadas de Elon Musk, Sam Altman y Dario Amodei puedan explicarse solo por diferencias sobre seguridad: las atribuye también a una pugna por el liderazgo.</w:t>
      </w:r>
    </w:p>
    <w:p>
      <w:pPr>
        <w:pStyle w:val="Heading2"/>
      </w:pPr>
      <w:r>
        <w:t>Una misma cultura y distintos dirigentes</w:t>
      </w:r>
    </w:p>
    <w:p>
      <w:r>
        <w:t>Ramírez describe esas redes como entornos cerrados, con una filosofía y una metafísica que considera dogmáticas, y emplea para ellas los términos culto y secta. Señala también la importancia de la hermana de Dario Amodei en Anthropic y anuncia un especial futuro dedicado a esa empresa. Esas referencias forman parte de su explicación de los vínculos ideológicos y personales entre compañías que públicamente compiten.</w:t>
      </w:r>
    </w:p>
    <w:p>
      <w:r>
        <w:t>Relaciona después el altruismo eficaz con el aceleracionismo efectivo y con Nick Land, a quien remite al recordar un programa navideño sobre la Ilustración Oscura. Presenta el impulso anterior como una carrera por avanzar todo lo posible y contrapone ese objetivo a la petición actual de frenar. Según su lectura, la competencia china explica ese giro: cuando China puede ganar la carrera, los dirigentes occidentales plantean que todos reduzcan la velocidad.</w:t>
      </w:r>
    </w:p>
    <w:p>
      <w:pPr>
        <w:pStyle w:val="Heading2"/>
      </w:pPr>
      <w:r>
        <w:t>El componente religioso del relato</w:t>
      </w:r>
    </w:p>
    <w:p>
      <w:r>
        <w:t>En el desarrollo anterior, Ramírez había asociado el marketing apocalíptico con advertencias de exempleados de las tecnológicas y con una encíclica vaticana que nombra como Magnifica humanitas. Atribuye al Vaticano una convergencia con Anthropic alrededor de la idea de desarmar la IA. Contrapone ese discurso con lo que considera silencios sobre la autoría de ataques a una escuela de niñas en Irán y a residencias estudiantiles en Ucrania.</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INTERPRETACIÓN DE RAMÍREZ</w:t>
            </w:r>
          </w:p>
          <w:p>
            <w:pPr>
              <w:keepNext w:val="0"/>
              <w:spacing w:after="0" w:line="264" w:lineRule="auto"/>
            </w:pPr>
            <w:r>
              <w:rPr>
                <w:sz w:val="21"/>
              </w:rPr>
              <w:t>Las apelaciones a la seguridad, la filantropía y la protección de la humanidad quedan enlazadas, en su argumento, con redes de poder, rivalidades empresariales y una disputa tecnológica con China.</w:t>
            </w:r>
          </w:p>
        </w:tc>
      </w:tr>
    </w:tbl>
    <w:p>
      <w:pPr>
        <w:spacing w:after="100"/>
        <w:pageBreakBefore/>
      </w:pPr>
      <w:r>
        <w:rPr>
          <w:rFonts w:ascii="Montserrat" w:hAnsi="Montserrat"/>
          <w:b/>
          <w:color w:val="A3483F"/>
          <w:sz w:val="18"/>
        </w:rPr>
        <w:t>06  /  CIBERPANDEMIA</w:t>
      </w:r>
    </w:p>
    <w:p>
      <w:pPr>
        <w:pStyle w:val="Heading1"/>
      </w:pPr>
      <w:r>
        <w:t>El escenario de interrupción global</w:t>
      </w:r>
    </w:p>
    <w:p>
      <w:pPr>
        <w:spacing w:after="160" w:line="40" w:lineRule="exact"/>
        <w:pBdr>
          <w:bottom w:val="single" w:sz="14" w:color="C49A52"/>
        </w:pBdr>
      </w:pPr>
    </w:p>
    <w:p>
      <w:pPr>
        <w:spacing w:after="220"/>
      </w:pPr>
      <w:r>
        <w:rPr>
          <w:color w:val="142B3A"/>
          <w:sz w:val="16"/>
        </w:rPr>
        <w:t>AUDIO  19:51–25:24</w:t>
      </w:r>
    </w:p>
    <w:p>
      <w:r>
        <w:t>Ramírez anticipa expresamente un gran ciberataque de bandera falsa que se atribuiría a una IA sin supervisión humana. Vidal ironiza sobre una posible identidad rusa del agente. Añaden una crítica a las consecuencias sufridas por militares españoles por sus relaciones con mujeres rusas.</w:t>
      </w:r>
    </w:p>
    <w:p>
      <w:r>
        <w:t>Ramírez explica su anticipación remitiéndose a ejercicios del Foro Económico Mundial sobre ciberpandemias. Considera que el mecanismo de comunicación y de gestión política es semejante al que identifica en la pandemia de COVID, las alertas de guerra nuclear y la emergencia climática: describir un peligro extremo y promover, a partir de él, la aceptación de determinadas medidas.</w:t>
      </w:r>
    </w:p>
    <w:p>
      <w:pPr>
        <w:pStyle w:val="Heading2"/>
      </w:pPr>
      <w:r>
        <w:t>Las declaraciones que reproduce</w:t>
      </w:r>
    </w:p>
    <w:p>
      <w:r>
        <w:t>Cita una intervención de Klaus Schwab sobre un ciberataque global capaz de interrumpir el suministro eléctrico, el transporte, los hospitales y la sociedad en su conjunto. En esa intervención, según la lectura del orador, la crisis del COVID se presentaba como una perturbación menor en comparación y como una oportunidad para extraer lecciones de preparación frente a una ciberpandemia.</w:t>
      </w:r>
    </w:p>
    <w:p>
      <w:r>
        <w:t>Añade unas declaraciones de Jeremy Jurgens, del Foro de Davos, sobre una futura crisis más rápida, significativa y de mayor impacto que el COVID-19. Ramírez plantea si esas intervenciones deben entenderse como advertencias, amenazas o mensajes destinados a generar terror. Las vincula con un intercambio de libertad por seguridad que, en su opinión, podría terminar sin ninguna de las dos.</w:t>
      </w:r>
    </w:p>
    <w:p>
      <w:pPr>
        <w:pStyle w:val="Heading2"/>
      </w:pPr>
      <w:r>
        <w:t>Digitalización y dependencia</w:t>
      </w:r>
    </w:p>
    <w:p>
      <w:r>
        <w:t>Su explicación del Gran Reinicio parte de la aceleración de la transformación digital tras las restricciones a la movilidad. Considera que esa dependencia tecnológica crea las condiciones para una interrupción de alcance global y atribuye la creación de ese entorno a los mismos promotores que alertan sobre sus peligros. Menciona artículos del Foro Económico Mundial, entre ellos uno sobre cómo vacunar una organización contra una ciberpandemia.</w:t>
      </w:r>
    </w:p>
    <w:p>
      <w:r>
        <w:t>El uso de palabras procedentes de la medicina le parece significativo. Aunque reconoce que se habla de virus informáticos, interpreta la asociación entre enfermedad y ciberataque como una forma de mantener vivo el miedo de la pandemia. Identifica Cyber Polygon como ejercicio de simulación y lo compara con los ensayos asociados a Bill y Melinda Gates que recuerda de aquella etapa.</w:t>
      </w:r>
    </w:p>
    <w:p>
      <w:r>
        <w:t>En Cyber Polygon sitúa un escenario de propagación diez veces más rápida que la del COVID, con impacto en servicios básicos, defensa y dispositivos personales conectados. Relaciona móviles y pulseras de seguimiento con el Internet de los Cuerpos y el transhumanismo.</w:t>
      </w:r>
    </w:p>
    <w:p>
      <w:pPr>
        <w:spacing w:after="100"/>
        <w:pageBreakBefore/>
      </w:pPr>
      <w:r>
        <w:rPr>
          <w:rFonts w:ascii="Montserrat" w:hAnsi="Montserrat"/>
          <w:b/>
          <w:color w:val="A3483F"/>
          <w:sz w:val="18"/>
        </w:rPr>
        <w:t>07  /  DEL TEMOR A LA REGULACIÓN</w:t>
      </w:r>
    </w:p>
    <w:p>
      <w:pPr>
        <w:pStyle w:val="Heading1"/>
      </w:pPr>
      <w:r>
        <w:t>Quién responde por las actuaciones de la IA</w:t>
      </w:r>
    </w:p>
    <w:p>
      <w:pPr>
        <w:spacing w:after="160" w:line="40" w:lineRule="exact"/>
        <w:pBdr>
          <w:bottom w:val="single" w:sz="14" w:color="C49A52"/>
        </w:pBdr>
      </w:pPr>
    </w:p>
    <w:p>
      <w:pPr>
        <w:spacing w:after="220"/>
      </w:pPr>
      <w:r>
        <w:rPr>
          <w:color w:val="142B3A"/>
          <w:sz w:val="16"/>
        </w:rPr>
        <w:t>AUDIO  24:50–27:11</w:t>
      </w:r>
    </w:p>
    <w:p>
      <w:r>
        <w:t>Ramírez califica como operación psicológica el tratamiento mediático centrado en agentes que escapan al control. Considera que ese enfoque deja fuera la relación entre dependencia tecnológica, infraestructuras conectadas y transhumanismo. Expresa el deseo de que todo se limite a una campaña y a regulaciones favorables a los gigantes de Silicon Valley, sin que llegue a producirse un ataque que prive a la población de agua o electricidad.</w:t>
      </w:r>
    </w:p>
    <w:p>
      <w:r>
        <w:t>Vidal coincide en la gravedad que tendría una interrupción real de esos suministros. La conversación pasa entonces del escenario de ciberseguridad al problema jurídico de atribuir actos a sistemas o empresas de inteligencia artificial como si careciesen de responsables humanos.</w:t>
      </w:r>
    </w:p>
    <w:p>
      <w:pPr>
        <w:pStyle w:val="Heading2"/>
      </w:pPr>
      <w:r>
        <w:t>Argentina como laboratorio</w:t>
      </w:r>
    </w:p>
    <w:p>
      <w:r>
        <w:t>Los interlocutores recuerdan una entrevista del viernes anterior con una invitada argentina que había tratado la regulación de Javier Milei. Vidal señala que ella describía Argentina como una granja, mientras que él prefiere la palabra laboratorio; ambos coincidirían en el fondo de esa caracterización.</w:t>
      </w:r>
    </w:p>
    <w:p>
      <w:r>
        <w:t>La referencia se centra en las corporaciones no humanas y en la posibilidad de empresas constituidas por inteligencia artificial. Los oradores cuestionan que se hable de esas entidades omitiendo a las personas que se encuentran detrás. La cuestión jurídica prolonga así el razonamiento sobre las pruebas informáticas: para ellos, presentar a la IA como sujeto autónomo puede ocultar quién diseña, permite o ejecuta las actuaciones.</w:t>
      </w:r>
    </w:p>
    <w:p>
      <w:pPr>
        <w:pStyle w:val="Heading2"/>
      </w:pPr>
      <w:r>
        <w:t>La cadena de responsabilidades</w:t>
      </w:r>
    </w:p>
    <w:p>
      <w:r>
        <w:t>Ramírez pregunta a quién se atribuiría un ataque ejecutado por una IA: al creador de la tecnología, al regulador o a los políticos que no aprobaron una norma específica. Expone la posible respuesta de la empresa: haber advertido previamente que su producto podía escapar al control. Frente a ello, señala el desconocimiento que atribuye a los reguladores y la falta de una regulación adecuada.</w:t>
      </w:r>
    </w:p>
    <w:p>
      <w:r>
        <w:t>El orador identifica expresamente como intuición su idea de que estas cuestiones se dejan fuera porque constituyen el núcleo del asunto. Regresa a las imágenes de la caverna y de Silo: el debate se concentra en las sombras o en lo que sucede dentro, mientras permanecen ocultos quienes producen esas sombras o construyeron el sistema.</w:t>
      </w:r>
    </w:p>
    <w:p>
      <w:pPr>
        <w:spacing w:after="100"/>
        <w:pageBreakBefore/>
      </w:pPr>
      <w:r>
        <w:rPr>
          <w:rFonts w:ascii="Montserrat" w:hAnsi="Montserrat"/>
          <w:b/>
          <w:color w:val="A3483F"/>
          <w:sz w:val="18"/>
        </w:rPr>
        <w:t>08  /  LIQUIDEZ Y PODER EMPRESARIAL</w:t>
      </w:r>
    </w:p>
    <w:p>
      <w:pPr>
        <w:pStyle w:val="Heading1"/>
      </w:pPr>
      <w:r>
        <w:t>Quién continúa y quién queda fuera</w:t>
      </w:r>
    </w:p>
    <w:p>
      <w:pPr>
        <w:spacing w:after="160" w:line="40" w:lineRule="exact"/>
        <w:pBdr>
          <w:bottom w:val="single" w:sz="14" w:color="C49A52"/>
        </w:pBdr>
      </w:pPr>
    </w:p>
    <w:p>
      <w:pPr>
        <w:spacing w:after="220"/>
      </w:pPr>
      <w:r>
        <w:rPr>
          <w:color w:val="142B3A"/>
          <w:sz w:val="16"/>
        </w:rPr>
        <w:t>AUDIO  27:12–30:43</w:t>
      </w:r>
    </w:p>
    <w:p>
      <w:r>
        <w:t>Ramírez retoma la dimensión financiera al mencionar un anuncio de tipos de interés de Kevin Warsh, a quien identifica como responsable de la Reserva Federal. Sostiene que, si una subida desencadena un pinchazo, este tendría lugar después de un período en el que la burbuja ha sido alimentada. No describe a las élites como un grupo sin conflictos: insiste en las rivalidades entre directivos y en la lucha por decidir quién seguirá ocupando una posición dominante.</w:t>
      </w:r>
    </w:p>
    <w:p>
      <w:r>
        <w:t>Interpreta bajo esa óptica los reportajes muy críticos con Sam Altman y favorables a Dario Amodei. También sitúa la entrada de Elon Musk en el Gobierno estadounidense y su posterior distanciamiento dentro de una estrategia para evitar el desgaste. En su lectura, el debate público sobre los tipos de interés distrae de que las grandes empresas continúan recibiendo liquidez.</w:t>
      </w:r>
    </w:p>
    <w:p>
      <w:pPr>
        <w:pStyle w:val="Heading2"/>
      </w:pPr>
      <w:r>
        <w:t>El coste para la población</w:t>
      </w:r>
    </w:p>
    <w:p>
      <w:r>
        <w:t>El contraste que establece es entre ese acceso privilegiado a los recursos y las consecuencias del encarecimiento del crédito para el ciudadano. Añade la transferencia de tierra a los grandes intereses tecnológicos y recuerda el caso de la Patagonia tratado por la invitada argentina. Considera Argentina un ejemplo especialmente claro porque esos procesos se estarían produciendo a la vista del público.</w:t>
      </w:r>
    </w:p>
    <w:p>
      <w:r>
        <w:t>Vidal coincide y atribuye esa visibilidad a la forma explícita en que Javier Milei expone sus posiciones. Menciona su identificación con el sionismo. Ramírez enlaza entonces a Warsh con Ronald Lauder por su matrimonio con la hija de este y presenta esas relaciones como parte de las conexiones entre poder financiero, corporativo y político que quiere destacar.</w:t>
      </w:r>
    </w:p>
    <w:p>
      <w:pPr>
        <w:pStyle w:val="Heading2"/>
      </w:pPr>
      <w:r>
        <w:t>Oracle y la dependencia institucional</w:t>
      </w:r>
    </w:p>
    <w:p>
      <w:r>
        <w:t>La conversación incluye a Larry Ellison y Oracle. Ramírez sostiene que, en condiciones normales, la compañía estaría quebrada, pero que su gestión de bases de datos de administraciones públicas, incluidas españolas y otras europeas, la convierte en una empresa cuya caída no se permite. Resume la petición de esos grupos en tres elementos: continuidad del dinero público y privado, regulación a medida y conservación del mando bajo el argumento de que solo ellos comprenden la tecnología.</w:t>
      </w:r>
    </w:p>
    <w:p>
      <w:r>
        <w:t>Vidal contrapone las críticas de Milei a los empresarios favorecidos por el Estado con las ayudas que, según expone, su propio gobierno les presta. Ramírez atribuye su llegada al poder a apoyos financieros y tecnológicos y añade acusaciones de corrupción en su entorno, con referencias a las criptomonedas, su hermana y Adorni. La sensación de protección que atribuyen a ese gobierno sirve de transición hacia el caso ucraniano.</w:t>
      </w:r>
    </w:p>
    <w:p>
      <w:pPr>
        <w:spacing w:after="100"/>
        <w:pageBreakBefore/>
      </w:pPr>
      <w:r>
        <w:rPr>
          <w:rFonts w:ascii="Montserrat" w:hAnsi="Montserrat"/>
          <w:b/>
          <w:color w:val="A3483F"/>
          <w:sz w:val="18"/>
        </w:rPr>
        <w:t>09  /  UCRANIA Y TECNOLOGÍA MILITAR</w:t>
      </w:r>
    </w:p>
    <w:p>
      <w:pPr>
        <w:pStyle w:val="Heading1"/>
      </w:pPr>
      <w:r>
        <w:t>Fiódorov y el papel atribuido a Palantir</w:t>
      </w:r>
    </w:p>
    <w:p>
      <w:pPr>
        <w:spacing w:after="160" w:line="40" w:lineRule="exact"/>
        <w:pBdr>
          <w:bottom w:val="single" w:sz="14" w:color="C49A52"/>
        </w:pBdr>
      </w:pPr>
    </w:p>
    <w:p>
      <w:pPr>
        <w:spacing w:after="220"/>
      </w:pPr>
      <w:r>
        <w:rPr>
          <w:color w:val="142B3A"/>
          <w:sz w:val="16"/>
        </w:rPr>
        <w:t>AUDIO  30:43–34:11</w:t>
      </w:r>
    </w:p>
    <w:p>
      <w:r>
        <w:t>La conversación se desplaza a Ucrania como otro caso de protección política y de intereses tecnológicos. Vidal critica la presentación favorable de todo lo que sucede allí y la atribución de los problemas a Vladímir Putin. Ramírez introduce a Fiódorov, a quien describe como una figura de 35 años, originaria de Zaporiyia, que algunos habían mencionado como posible sucesor de Volodímir Zelenski.</w:t>
      </w:r>
    </w:p>
    <w:p>
      <w:r>
        <w:t>Ramírez interpreta su ascenso desde la transformación digital hasta Defensa como una vía de implantación de Palantir en el Estado ucraniano. Menciona la llegada de Alex Karp y la apertura de una oficina en el país, asuntos que dice haber tratado en su libro El diablo está entre nosotros a partir de un reportaje de Time. Su tesis es que la función de Fiódorov no era una transformación económica convencional, sino ejecutar los designios de la empresa.</w:t>
      </w:r>
    </w:p>
    <w:p>
      <w:pPr>
        <w:pStyle w:val="Heading2"/>
      </w:pPr>
      <w:r>
        <w:t>El control de las operaciones</w:t>
      </w:r>
    </w:p>
    <w:p>
      <w:r>
        <w:t>Expone un choque entre las propuestas de alta tecnología de Fiódorov y el comandante en jefe de las Fuerzas Armadas, Oleksandr Syrskyi. Lo presenta como una disputa sobre quién manda realmente: el ejército o la estructura tecnológica que proporciona herramientas y procedimientos. Formula entonces la pregunta de cuántos ataques ucranianos llevan detrás la intervención o la factura de Palantir.</w:t>
      </w:r>
    </w:p>
    <w:p>
      <w:r>
        <w:t>Ramírez conecta esa pregunta con Estados Unidos. Si una empresa estadounidense participara directamente en ataques contra Rusia, plantea que Moscú podría considerar una respuesta en territorio estadounidense. El argumento enlaza la provisión privada de tecnología con las decisiones militares y con la atribución de responsabilidades entre países.</w:t>
      </w:r>
    </w:p>
    <w:p>
      <w:pPr>
        <w:pStyle w:val="Heading2"/>
      </w:pPr>
      <w:r>
        <w:t>La tregua energética y la refinería del Volga</w:t>
      </w:r>
    </w:p>
    <w:p>
      <w:r>
        <w:t>Recuerda que Donald Trump había anunciado a comienzos de esa semana una especie de tregua energética. Según el relato, habría pedido a Zelenski no atacar refinerías ni oleoductos rusos, mientras Putin se habría comprometido a no atacar infraestructura energética ucraniana. Ramírez contrapone ese anuncio con un ataque ucraniano reciente a una refinería rusa en la región del Volga.</w:t>
      </w:r>
    </w:p>
    <w:p>
      <w:r>
        <w:t>Propone dos interpretaciones del episodio: que Zelenski ya no controle las operaciones y Palantir actúe por su cuenta, o que el presidente ucraniano quiera demostrar que conserva capacidad de decisión y que no va a marcharse. Presenta ambas como alternativas para comprender el mensaje político del ataque y anuncia que abordará después las elecciones y los posibles candidatos a sustituirlo.</w:t>
      </w:r>
    </w:p>
    <w:p>
      <w:pPr>
        <w:spacing w:after="100"/>
        <w:pageBreakBefore/>
      </w:pPr>
      <w:r>
        <w:rPr>
          <w:rFonts w:ascii="Montserrat" w:hAnsi="Montserrat"/>
          <w:b/>
          <w:color w:val="A3483F"/>
          <w:sz w:val="18"/>
        </w:rPr>
        <w:t>10  /  ESTADOS UNIDOS Y UCRANIA</w:t>
      </w:r>
    </w:p>
    <w:p>
      <w:pPr>
        <w:pStyle w:val="Heading1"/>
      </w:pPr>
      <w:r>
        <w:t>Inteligencia militar y presión sobre Zelenski</w:t>
      </w:r>
    </w:p>
    <w:p>
      <w:pPr>
        <w:spacing w:after="160" w:line="40" w:lineRule="exact"/>
        <w:pBdr>
          <w:bottom w:val="single" w:sz="14" w:color="C49A52"/>
        </w:pBdr>
      </w:pPr>
    </w:p>
    <w:p>
      <w:pPr>
        <w:spacing w:after="220"/>
      </w:pPr>
      <w:r>
        <w:rPr>
          <w:color w:val="142B3A"/>
          <w:sz w:val="16"/>
        </w:rPr>
        <w:t>AUDIO  34:11–37:46</w:t>
      </w:r>
    </w:p>
    <w:p>
      <w:r>
        <w:t>Ramírez introduce a Victoria Nuland, antigua número dos de Antony Blinken, y recuerda su vínculo con Robert Kagan y con el entorno que denomina straussiano. Le atribuye participación en el Maidán y en actuaciones posteriores, y sostiene que abandonó precipitadamente el Gobierno estadounidense ante el riesgo de una investigación. Vidal comparte la valoración extremadamente negativa de su trayectoria.</w:t>
      </w:r>
    </w:p>
    <w:p>
      <w:pPr>
        <w:pStyle w:val="Heading2"/>
      </w:pPr>
      <w:r>
        <w:t>La dependencia de la inteligencia estadounidense</w:t>
      </w:r>
    </w:p>
    <w:p>
      <w:r>
        <w:t>El pasaje se apoya en una entrevista de Nuland en la que, según Ramírez, afirmó que Ucrania habría colapsado en semanas sin la inteligencia estadounidense. Los interlocutores consideran que esa declaración confirma una dependencia que ellos habían señalado y por la que habían recibido acusaciones de favorecer a Putin.</w:t>
      </w:r>
    </w:p>
    <w:p>
      <w:r>
        <w:t>Ramírez va más allá de la provisión de información. Expone que, cuando se planteó entregar a Ucrania acceso a satélites estadounidenses, el Pentágono habría preferido mantener ese acceso bajo control de contratistas desplazados al terreno. Su razonamiento es que Washington no quería entregar directamente una capacidad que Kiev pudiera utilizar de forma autónoma.</w:t>
      </w:r>
    </w:p>
    <w:p>
      <w:r>
        <w:t>Añade un episodio en torno a una reunión de Davos en el que Joe Biden habría tenido que frenar a Zelenski. Lo relaciona con la difusión de conversaciones en las que este habría ordenado ataques pese a recibir objeciones de sus militares por su carácter criminal. Ramírez afirma que esas conversaciones salieron a la luz porque a Estados Unidos le interesaba su publicación.</w:t>
      </w:r>
    </w:p>
    <w:p>
      <w:pPr>
        <w:pStyle w:val="Heading2"/>
      </w:pPr>
      <w:r>
        <w:t>La investigación como instrumento de relevo</w:t>
      </w:r>
    </w:p>
    <w:p>
      <w:r>
        <w:t>Interpreta las investigaciones de la oficina anticorrupción ucraniana, que sitúa bajo tutela estadounidense, como una forma de empujar a Zelenski fuera del poder sin hacerlo demasiado evidente. En su lectura, los rivales se mueven para presentar las políticas del presidente como errores y delitos motivados por enriquecimiento personal, concentrando sobre él una responsabilidad que dejaría a salvo a otros participantes.</w:t>
      </w:r>
    </w:p>
    <w:p>
      <w:r>
        <w:t>Menciona investigaciones sobre el círculo íntimo de Zelenski, entre ellas las referidas a Timur Mindich, copropietario de Kvartal 95, y a Andriy Yermak, antiguo jefe de su oficina. Añade el caso de una antigua portavoz entrevistada por Tucker Carlson que había criticado duramente al presidente y que, según afirma, estaba siendo buscada. Los comentarios sarcásticos de ambos oradores subrayan su rechazo a una eventual explicación basada en haber confiado simplemente en la persona equivocada.</w:t>
      </w:r>
    </w:p>
    <w:p>
      <w:pPr>
        <w:spacing w:after="100"/>
        <w:pageBreakBefore/>
      </w:pPr>
      <w:r>
        <w:rPr>
          <w:rFonts w:ascii="Montserrat" w:hAnsi="Montserrat"/>
          <w:b/>
          <w:color w:val="A3483F"/>
          <w:sz w:val="18"/>
        </w:rPr>
        <w:t>11  /  SUCESIÓN Y NEGOCIACIÓN</w:t>
      </w:r>
    </w:p>
    <w:p>
      <w:pPr>
        <w:pStyle w:val="Heading1"/>
      </w:pPr>
      <w:r>
        <w:t>Las alternativas a Zelenski y el bloqueo militar</w:t>
      </w:r>
    </w:p>
    <w:p>
      <w:pPr>
        <w:spacing w:after="160" w:line="40" w:lineRule="exact"/>
        <w:pBdr>
          <w:bottom w:val="single" w:sz="14" w:color="C49A52"/>
        </w:pBdr>
      </w:pPr>
    </w:p>
    <w:p>
      <w:pPr>
        <w:spacing w:after="220"/>
      </w:pPr>
      <w:r>
        <w:rPr>
          <w:color w:val="142B3A"/>
          <w:sz w:val="16"/>
        </w:rPr>
        <w:t>AUDIO  37:46–40:34</w:t>
      </w:r>
    </w:p>
    <w:p>
      <w:r>
        <w:t>Ramírez describe una actividad creciente entre los aspirantes a sustituir a Zelenski. Cita a Valeri Zaluzhni, antiguo jefe de las Fuerzas Armadas y embajador en el Reino Unido, a quien presenta como candidato que había contado con especial respaldo. Interpreta su estancia británica como preparación para gobernar de acuerdo con los intereses de Londres, aunque señala que su posición ya no parece tan asegurada.</w:t>
      </w:r>
    </w:p>
    <w:p>
      <w:r>
        <w:t>Fiódorov representa otra opción dentro de esa competencia. Ramírez afirma que su aparición fue seguida de movimientos para apartarlo y utiliza el episodio para insistir en que las élites también se enfrentan entre sí. Rechaza la imagen de un único grupo reunido alrededor de una mesa: describe varias estructuras que intentan imponer sus propios intereses. Vidal coincide en que ese tipo de pugna no es nuevo.</w:t>
      </w:r>
    </w:p>
    <w:p>
      <w:pPr>
        <w:pStyle w:val="Heading2"/>
      </w:pPr>
      <w:r>
        <w:t>La retirada de Donetsk</w:t>
      </w:r>
    </w:p>
    <w:p>
      <w:r>
        <w:t>El obstáculo que Ramírez identifica para un acuerdo entre Estados Unidos, Rusia y Ucrania, tras la cumbre de Alaska y la denominada fórmula de Anchorage, es la negativa de Zelenski a retirar sus tropas de la parte de Donetsk que continúa bajo control de Kiev. Sostiene que algunas posiciones están aisladas y que sus soldados carecen de suministros, pero aun así no se ordena la retirada.</w:t>
      </w:r>
    </w:p>
    <w:p>
      <w:r>
        <w:t>Expone la posición rusa como una espera hasta que esas unidades tengan que rendirse. Añade ataques recientes contra la infraestructura portuaria ucraniana que, en su descripción, cortan el acceso al mar Negro. Considera que la combinación de esa pérdida de salida marítima y una retirada del apoyo estadounidense situaría al gobierno ucraniano ante el colapso.</w:t>
      </w:r>
    </w:p>
    <w:p>
      <w:pPr>
        <w:pStyle w:val="Heading2"/>
      </w:pPr>
      <w:r>
        <w:t>Por qué no abandona el poder</w:t>
      </w:r>
    </w:p>
    <w:p>
      <w:r>
        <w:t>Ambos interlocutores presentan a Zelenski como dispuesto a prolongar una situación insostenible. Ramírez recuerda una explicación formulada anteriormente por Vidal: el temor a que sectores de extrema derecha que contribuyeron a su ascenso lo persigan como traidor si termina la guerra. Introduce esa posibilidad como interpretación de su resistencia a marcharse.</w:t>
      </w:r>
    </w:p>
    <w:p>
      <w:r>
        <w:t>La guerra de Irán, al desplazar temporalmente a Ucrania del centro de la atención, habría ofrecido una oportunidad para resolver el conflicto. Ramírez menciona intentos de Steve Witkoff, Jared Kushner, Donald Trump y Pete Hegseth, pero sostiene que no existió acuerdo suficiente. Cierra el bloque con la proximidad del invierno, que convierte la cuestión energética en el siguiente eje de la emisión.</w:t>
      </w:r>
    </w:p>
    <w:p>
      <w:pPr>
        <w:spacing w:after="100"/>
        <w:pageBreakBefore/>
      </w:pPr>
      <w:r>
        <w:rPr>
          <w:rFonts w:ascii="Montserrat" w:hAnsi="Montserrat"/>
          <w:b/>
          <w:color w:val="A3483F"/>
          <w:sz w:val="18"/>
        </w:rPr>
        <w:t>12  /  CRISIS ENERGÉTICA</w:t>
      </w:r>
    </w:p>
    <w:p>
      <w:pPr>
        <w:pStyle w:val="Heading1"/>
      </w:pPr>
      <w:r>
        <w:t>Europa ante el invierno y China ante el suministro</w:t>
      </w:r>
    </w:p>
    <w:p>
      <w:pPr>
        <w:spacing w:after="160" w:line="40" w:lineRule="exact"/>
        <w:pBdr>
          <w:bottom w:val="single" w:sz="14" w:color="C49A52"/>
        </w:pBdr>
      </w:pPr>
    </w:p>
    <w:p>
      <w:pPr>
        <w:spacing w:after="220"/>
      </w:pPr>
      <w:r>
        <w:rPr>
          <w:color w:val="142B3A"/>
          <w:sz w:val="16"/>
        </w:rPr>
        <w:t>AUDIO  40:34–43:48</w:t>
      </w:r>
    </w:p>
    <w:p>
      <w:r>
        <w:t>Ramírez presenta la proximidad del invierno como un agravante de la crisis energética europea. Enlaza la destrucción de Nord Stream y las sanciones contra Rusia, que califica de bumerán, con el cierre de Ormuz, los ataques hutíes a Arabia Saudí y la interrupción del oleoducto Este-Oeste. Describe una acumulación de problemas en las rutas de salida del petróleo, incluida la vía hacia Bab el-Mandeb.</w:t>
      </w:r>
    </w:p>
    <w:p>
      <w:pPr>
        <w:pStyle w:val="Heading2"/>
      </w:pPr>
      <w:r>
        <w:t>Las medidas alemanas</w:t>
      </w:r>
    </w:p>
    <w:p>
      <w:r>
        <w:t>Menciona que Friedrich Merz había anunciado medidas para ayudar a la población a afrontar la situación, aunque sin concretar todavía cuáles. Ramírez plantea como alternativa utilizar el incremento del presupuesto militar para subvencionar la electricidad y el gas durante ese año. Contrapone esa posibilidad con una respuesta basada en desregular y relaciona la posición de Merz con su trayectoria en BlackRock.</w:t>
      </w:r>
    </w:p>
    <w:p>
      <w:r>
        <w:t>Frente a esa situación, presenta la política china como una búsqueda pragmática de suministros. Si se dificulta comprar gas a Catar, China sigue comprando a Rusia y también vuelve a contratar gas natural licuado estadounidense. Los interlocutores coinciden en que Pekín compra a quienes pueden venderle, aunque existan enfrentamientos políticos, utilizando acuerdos de influencia cuando puede y precios de mercado cuando corresponde.</w:t>
      </w:r>
    </w:p>
    <w:p>
      <w:pPr>
        <w:pStyle w:val="Heading2"/>
      </w:pPr>
      <w:r>
        <w:t>El acuerdo que cita la emisión</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ELEMENTO</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CONDICIONES EXPUESTAS</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Empresas</w:t>
            </w:r>
          </w:p>
        </w:tc>
        <w:tc>
          <w:tcPr>
            <w:tcW w:type="dxa" w:w="6973"/>
            <w:tcMar>
              <w:top w:w="100" w:type="dxa"/>
              <w:left w:w="100" w:type="dxa"/>
              <w:bottom w:w="100" w:type="dxa"/>
              <w:right w:w="100" w:type="dxa"/>
            </w:tcMar>
            <w:vAlign w:val="center"/>
            <w:shd w:fill="F3F6F7"/>
          </w:tcPr>
          <w:p>
            <w:pPr>
              <w:spacing w:after="40" w:line="254" w:lineRule="auto"/>
            </w:pPr>
            <w:r>
              <w:rPr>
                <w:b w:val="0"/>
                <w:sz w:val="18"/>
              </w:rPr>
              <w:t>Venture Global y China Gas.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Volumen</w:t>
            </w:r>
          </w:p>
        </w:tc>
        <w:tc>
          <w:tcPr>
            <w:tcW w:type="dxa" w:w="6973"/>
            <w:tcMar>
              <w:top w:w="100" w:type="dxa"/>
              <w:left w:w="100" w:type="dxa"/>
              <w:bottom w:w="100" w:type="dxa"/>
              <w:right w:w="100" w:type="dxa"/>
            </w:tcMar>
            <w:vAlign w:val="center"/>
            <w:shd w:fill="FFFFFF"/>
          </w:tcPr>
          <w:p>
            <w:pPr>
              <w:spacing w:after="40" w:line="254" w:lineRule="auto"/>
            </w:pPr>
            <w:r>
              <w:rPr>
                <w:b w:val="0"/>
                <w:sz w:val="18"/>
              </w:rPr>
              <w:t>Medio millón de toneladas anuales de gas natural licuado estadounidense.</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Plazo</w:t>
            </w:r>
          </w:p>
        </w:tc>
        <w:tc>
          <w:tcPr>
            <w:tcW w:type="dxa" w:w="6973"/>
            <w:tcMar>
              <w:top w:w="100" w:type="dxa"/>
              <w:left w:w="100" w:type="dxa"/>
              <w:bottom w:w="100" w:type="dxa"/>
              <w:right w:w="100" w:type="dxa"/>
            </w:tcMar>
            <w:vAlign w:val="center"/>
            <w:shd w:fill="F3F6F7"/>
          </w:tcPr>
          <w:p>
            <w:pPr>
              <w:spacing w:after="40" w:line="254" w:lineRule="auto"/>
            </w:pPr>
            <w:r>
              <w:rPr>
                <w:b w:val="0"/>
                <w:sz w:val="18"/>
              </w:rPr>
              <w:t>Veinte años, con inicio en 2030.</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Origen de la noticia</w:t>
            </w:r>
          </w:p>
        </w:tc>
        <w:tc>
          <w:tcPr>
            <w:tcW w:type="dxa" w:w="6973"/>
            <w:tcMar>
              <w:top w:w="100" w:type="dxa"/>
              <w:left w:w="100" w:type="dxa"/>
              <w:bottom w:w="100" w:type="dxa"/>
              <w:right w:w="100" w:type="dxa"/>
            </w:tcMar>
            <w:vAlign w:val="center"/>
            <w:shd w:fill="FFFFFF"/>
          </w:tcPr>
          <w:p>
            <w:pPr>
              <w:spacing w:after="40" w:line="254" w:lineRule="auto"/>
            </w:pPr>
            <w:r>
              <w:rPr>
                <w:b w:val="0"/>
                <w:sz w:val="18"/>
              </w:rPr>
              <w:t>Comunicado de Venture Global mencionado por Ramírez.</w:t>
            </w:r>
          </w:p>
        </w:tc>
      </w:tr>
    </w:tbl>
    <w:p>
      <w:r>
        <w:t>Ramírez vincula el acuerdo con la reunión previa de Xi Jinping y Donald Trump. Interpreta que el presidente estadounidense acudió sin mucho que ofrecer y buscando acceso a tierras raras, mientras China conservó la posibilidad de comprar productos estadounidenses. Anuncia otro encuentro entre ambos para el 24 de septiembre, como reciprocidad a la visita de Trump a Pekín en mayo.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LECTURA DE LA RELACIÓN BILATERAL</w:t>
            </w:r>
          </w:p>
          <w:p>
            <w:pPr>
              <w:keepNext w:val="0"/>
              <w:spacing w:after="0" w:line="264" w:lineRule="auto"/>
            </w:pPr>
            <w:r>
              <w:rPr>
                <w:sz w:val="21"/>
              </w:rPr>
              <w:t>El orador no espera una ruptura en ese encuentro: sostiene que Estados Unidos necesita a China y que China necesita a todos porque mantiene relaciones de compra con múltiples proveedores.</w:t>
            </w:r>
          </w:p>
        </w:tc>
      </w:tr>
    </w:tbl>
    <w:p>
      <w:pPr>
        <w:spacing w:after="100"/>
        <w:pageBreakBefore/>
      </w:pPr>
      <w:r>
        <w:rPr>
          <w:rFonts w:ascii="Montserrat" w:hAnsi="Montserrat"/>
          <w:b/>
          <w:color w:val="A3483F"/>
          <w:sz w:val="18"/>
        </w:rPr>
        <w:t>13  /  PETRÓLEO AFRICANO</w:t>
      </w:r>
    </w:p>
    <w:p>
      <w:pPr>
        <w:pStyle w:val="Heading1"/>
      </w:pPr>
      <w:r>
        <w:t>Nigeria y la importancia de refinar</w:t>
      </w:r>
    </w:p>
    <w:p>
      <w:pPr>
        <w:spacing w:after="160" w:line="40" w:lineRule="exact"/>
        <w:pBdr>
          <w:bottom w:val="single" w:sz="14" w:color="C49A52"/>
        </w:pBdr>
      </w:pPr>
    </w:p>
    <w:p>
      <w:pPr>
        <w:spacing w:after="220"/>
      </w:pPr>
      <w:r>
        <w:rPr>
          <w:color w:val="142B3A"/>
          <w:sz w:val="16"/>
        </w:rPr>
        <w:t>AUDIO  43:48–47:15</w:t>
      </w:r>
    </w:p>
    <w:p>
      <w:r>
        <w:t>La búsqueda de alternativas a Oriente Medio conduce a Nigeria. Ramírez recuerda una serie de El Gran Reseteo sobre países en los que Estados Unidos y China, además de competir, continúan aprovechando oportunidades. Sitúa en ese marco la refinería de Dangote, cerca de Lagos, y anticipa un mayor interés por el petróleo africano si persisten los problemas de Oriente Medio o incluso después de una solución que no elimine la posibilidad de nuevas interrupciones.</w:t>
      </w:r>
    </w:p>
    <w:p>
      <w:pPr>
        <w:pStyle w:val="Heading2"/>
      </w:pPr>
      <w:r>
        <w:t>De productor de crudo a exportador de refinados</w:t>
      </w:r>
    </w:p>
    <w:p>
      <w:r>
        <w:t>El beneficio que atribuye a Nigeria no se limita a extraer petróleo: la capacidad de refino puede convertirla en exportadora regional de productos elaborados. Insiste en que el refino adquiere un protagonismo especial cuando el problema no es únicamente disponer de crudo, sino transformarlo y distribuir combustibles. En ese contexto anuncia la salida a bolsa de la refinería, con una operación que cifra en 1.600 millones de dólares en el mercado nigeriano.</w:t>
      </w:r>
    </w:p>
    <w:p>
      <w:r>
        <w:t>Identifica al empresario Aliko Dangote como propietario y como el hombre más rico de África. Cifra la construcción en 20.000 millones de dólares, sitúa el comienzo de su actividad en febrero de 2024 y describe un procesamiento de unos 700.000 barriles diarios. Relaciona la creciente importancia de esa instalación con la guerra de Estados Unidos e Israel contra Irán.</w:t>
      </w:r>
    </w:p>
    <w:p>
      <w:pPr>
        <w:pStyle w:val="Heading2"/>
      </w:pPr>
      <w:r>
        <w:t>La trayectoria de la explotación petrolera</w:t>
      </w:r>
    </w:p>
    <w:p>
      <w:r>
        <w:t>Ramírez recuerda la crisis medioambiental del delta del Níger derivada de la extracción y critica la escasa atención que recibe. Los interlocutores mencionan el papel británico, BP y Royal Dutch Shell. La referencia a BP conduce a la Anglo-Iranian Oil Company y al derrocamiento de Mohammad Mosaddegh cuando puso fin, según su exposición, a las condiciones de explotación favorables a la compañía en Irán.</w:t>
      </w:r>
    </w:p>
    <w:p>
      <w:r>
        <w:t>Para Nigeria, Ramírez sitúa una licencia exclusiva de exploración en 1937, la apertura del primer pozo unas dos décadas después y la incorporación de otras compañías durante los años sesenta. Enumera Chevron, Gulf, Mobil y Elf, y asocia esa expansión con los intereses que identifica con Kissinger y Rockefeller. Presenta ese proceso como una transformación de la economía nigeriana y remite al programa anterior para un desarrollo más amplio.</w:t>
      </w:r>
    </w:p>
    <w:p>
      <w:pPr>
        <w:spacing w:after="100"/>
        <w:pageBreakBefore/>
      </w:pPr>
      <w:r>
        <w:rPr>
          <w:rFonts w:ascii="Montserrat" w:hAnsi="Montserrat"/>
          <w:b/>
          <w:color w:val="A3483F"/>
          <w:sz w:val="18"/>
        </w:rPr>
        <w:t>14  /  ELECTRICIDAD EN ESPAÑA</w:t>
      </w:r>
    </w:p>
    <w:p>
      <w:pPr>
        <w:pStyle w:val="Heading1"/>
      </w:pPr>
      <w:r>
        <w:t>Excedentes solares y centros de datos</w:t>
      </w:r>
    </w:p>
    <w:p>
      <w:pPr>
        <w:spacing w:after="160" w:line="40" w:lineRule="exact"/>
        <w:pBdr>
          <w:bottom w:val="single" w:sz="14" w:color="C49A52"/>
        </w:pBdr>
      </w:pPr>
    </w:p>
    <w:p>
      <w:pPr>
        <w:spacing w:after="220"/>
      </w:pPr>
      <w:r>
        <w:rPr>
          <w:color w:val="142B3A"/>
          <w:sz w:val="16"/>
        </w:rPr>
        <w:t>AUDIO  47:15–51:21</w:t>
      </w:r>
    </w:p>
    <w:p>
      <w:r>
        <w:t>Ramírez introduce una paradoja del sector fotovoltaico español: en las horas de mayor producción solar, la electricidad puede ser tan barata que no compense generarla, mientras el consumidor paga más. Cita una información de El Periódico de la Energía sobre la pérdida de impulso del auge solar y describe un exceso de potencia instalada que desalienta nuevas inversiones.</w:t>
      </w:r>
    </w:p>
    <w:p>
      <w:r>
        <w:t>Contrapone esa abundancia a un encarecimiento de la factura que sitúa en el 20 % interanual. Atribuye la diferencia al uso de gas para generar electricidad y mantener la estabilidad del sistema. En su razonamiento, el problema no se explica diciendo simplemente que no existe electricidad disponible: depende de la hora, de la continuidad de la producción y de cómo se organiza el suministro.</w:t>
      </w:r>
    </w:p>
    <w:p>
      <w:pPr>
        <w:pStyle w:val="Heading2"/>
      </w:pPr>
      <w:r>
        <w:t>Una salida para las inversiones fotovoltaicas</w:t>
      </w:r>
    </w:p>
    <w:p>
      <w:r>
        <w:t>Presenta los centros de datos como la vía propuesta para rescatar proyectos solares y a quienes los financiaron. Relaciona esa solución con los centros de datos verdes que promueve Pedro Sánchez y con un plan anunciado de inversión en redes eléctricas. Sostiene que la ampliación de una red sin capacidad para nuevas conexiones importantes se pagaría con recursos del contribuyente o del consumidor, en lugar de asumirla las compañías.</w:t>
      </w:r>
    </w:p>
    <w:p>
      <w:r>
        <w:t>Cuestiona que instalar una central renovable junto a un centro de datos garantice el suministro que este necesita las veinticuatro horas del día durante todo el año. En su exposición, la continuidad requiere generación de gas o nuclear. Critica las presentaciones empresariales que suman la energía renovable de una instalación distante con la consumida por un centro de datos para describir el conjunto como renovable, y utiliza el ejemplo de Extremadura y un proyecto de Amazon en Aragón.</w:t>
      </w:r>
    </w:p>
    <w:p>
      <w:pPr>
        <w:pStyle w:val="Heading2"/>
      </w:pPr>
      <w:r>
        <w:t>Qué hacer con la producción sobrante</w:t>
      </w:r>
    </w:p>
    <w:p>
      <w:r>
        <w:t>Ramírez afirma que en determinadas horas se vierte electricidad hacia Portugal y Marruecos para evitar el colapso del sistema. Plantea que, durante el shock energético, podrían anunciarse franjas de electricidad gratuita o con descuentos del 50 % para aprovechar esa producción. Distingue expresamente los precios horarios de generación, que dice consultar a diario, de los precios finalmente cobrados a los usuarios.</w:t>
      </w:r>
    </w:p>
    <w:p>
      <w:r>
        <w:t>Añade que mantiene contacto con personas del sector implicadas en estos procesos y califica el resultado como un engaño al consumidor. La salida de los excedentes hacia países vecinos da paso al examen de una posible nueva interconexión entre Portugal y Marruecos.</w:t>
      </w:r>
    </w:p>
    <w:p>
      <w:pPr>
        <w:spacing w:after="100"/>
        <w:pageBreakBefore/>
      </w:pPr>
      <w:r>
        <w:rPr>
          <w:rFonts w:ascii="Montserrat" w:hAnsi="Montserrat"/>
          <w:b/>
          <w:color w:val="A3483F"/>
          <w:sz w:val="18"/>
        </w:rPr>
        <w:t>15  /  INTERCONEXIONES ELÉCTRICAS</w:t>
      </w:r>
    </w:p>
    <w:p>
      <w:pPr>
        <w:pStyle w:val="Heading1"/>
      </w:pPr>
      <w:r>
        <w:t>Portugal y Marruecos como rutas para los excedentes</w:t>
      </w:r>
    </w:p>
    <w:p>
      <w:pPr>
        <w:spacing w:after="160" w:line="40" w:lineRule="exact"/>
        <w:pBdr>
          <w:bottom w:val="single" w:sz="14" w:color="C49A52"/>
        </w:pBdr>
      </w:pPr>
    </w:p>
    <w:p>
      <w:pPr>
        <w:spacing w:after="220"/>
      </w:pPr>
      <w:r>
        <w:rPr>
          <w:color w:val="142B3A"/>
          <w:sz w:val="16"/>
        </w:rPr>
        <w:t>AUDIO  51:21–54:06</w:t>
      </w:r>
    </w:p>
    <w:p>
      <w:r>
        <w:t>Ramírez explica que Lisboa y Rabat estudian una conexión eléctrica directa a través del Atlántico. Enumera otras posibilidades: una infraestructura conjunta con participación española o una iniciativa de operadores y compañías privadas. Respecto a estas últimas, sostiene que reclaman financiación europea antes de aportar recursos propios.</w:t>
      </w:r>
    </w:p>
    <w:p>
      <w:r>
        <w:t>Recuerda que España ya dispone de dos circuitos submarinos con Marruecos por el estrecho de Gibraltar. La nueva conexión permitiría a Portugal contar con un enlace propio con el norte de África y ofrecería a Marruecos una segunda ruta hacia el mercado eléctrico europeo. Según su lectura, esa alternativa reduciría la eficacia de una eventual desconexión española, aunque señala que no ve una voluntad política real de llevarla a cabo.</w:t>
      </w:r>
    </w:p>
    <w:p>
      <w:pPr>
        <w:pStyle w:val="Heading2"/>
      </w:pPr>
      <w:r>
        <w:t>Los efectos que anticipa</w:t>
      </w:r>
    </w:p>
    <w:p>
      <w:r>
        <w:t>Ramírez no espera que la infraestructura abarate los precios al consumidor. La interpreta como una vía para introducir electricidad renovable marroquí, que considera subvencionada por España y la Unión Europea, y como una salida adicional para los excedentes ibéricos. Este segundo uso sería, en su opinión, el principal interés para Red Eléctrica.</w:t>
      </w:r>
    </w:p>
    <w:p>
      <w:r>
        <w:t>Contrapone ese respaldo a nuevas exportaciones con la confianza declarada en las baterías y el almacenamiento. Su argumento es que seguir construyendo vías para evacuar energía sobrante muestra que el almacenamiento no está resolviendo la situación. Reitera que habla de excedentes en determinados momentos del día y reconoce que el invierno y la demanda de calefacción cambiarán las condiciones.</w:t>
      </w:r>
    </w:p>
    <w:p>
      <w:pPr>
        <w:pStyle w:val="Heading2"/>
      </w:pPr>
      <w:r>
        <w:t>El balance exportador y el apagón</w:t>
      </w:r>
    </w:p>
    <w:p>
      <w:r>
        <w:t>Afirma que España lleva más de cuatro años consecutivos siendo exportadora neta de electricidad, gracias a la producción solar y eólica. Identifica Portugal y Marruecos como destinos principales y añade envíos ocasionales a Francia.</w:t>
      </w:r>
    </w:p>
    <w:p>
      <w:r>
        <w:t>Alude al 28 de abril y sostiene que se intentó enviar producción sobrante a Francia para impedir el colapso, pero que el país vecino se negó. Atribuye a esa negativa una intención de perjudicar a España y de defender después ante Bruselas la fiabilidad de la energía nuclear francesa frente al modelo del sur de Europa. Cierra el asunto a la espera de nuevas interconexiones y enlaza con la relación política entre Marruecos y la Unión Europea.</w:t>
      </w:r>
    </w:p>
    <w:p>
      <w:pPr>
        <w:spacing w:after="100"/>
        <w:pageBreakBefore/>
      </w:pPr>
      <w:r>
        <w:rPr>
          <w:rFonts w:ascii="Montserrat" w:hAnsi="Montserrat"/>
          <w:b/>
          <w:color w:val="A3483F"/>
          <w:sz w:val="18"/>
        </w:rPr>
        <w:t>16  /  CEUTA Y MARRUECOS</w:t>
      </w:r>
    </w:p>
    <w:p>
      <w:pPr>
        <w:pStyle w:val="Heading1"/>
      </w:pPr>
      <w:r>
        <w:t>La respuesta europea y la intervención del rey</w:t>
      </w:r>
    </w:p>
    <w:p>
      <w:pPr>
        <w:spacing w:after="160" w:line="40" w:lineRule="exact"/>
        <w:pBdr>
          <w:bottom w:val="single" w:sz="14" w:color="C49A52"/>
        </w:pBdr>
      </w:pPr>
    </w:p>
    <w:p>
      <w:pPr>
        <w:spacing w:after="220"/>
      </w:pPr>
      <w:r>
        <w:rPr>
          <w:color w:val="142B3A"/>
          <w:sz w:val="16"/>
        </w:rPr>
        <w:t>AUDIO  54:06–56:46</w:t>
      </w:r>
    </w:p>
    <w:p>
      <w:r>
        <w:t>La discusión sobre las conexiones eléctricas conduce a unas declaraciones de Ursula von der Leyen en el discurso sobre el estado de la Unión. Ramírez destaca su afirmación de que la frontera de Ceuta es una frontera europea. A partir de ella, los oradores ironizan sobre una eventual incorporación de Marruecos a la Unión Europea y señalan que, en tal caso, tendría que cumplir regulaciones que limitarían las ventajas competitivas de las que ahora disfruta.</w:t>
      </w:r>
    </w:p>
    <w:p>
      <w:r>
        <w:t>El intercambio incluye comentarios sarcásticos sobre Mohamed VI, sus aficiones privadas y las dudas recurrentes acerca de su salud. Después se centra en la actuación de Felipe VI ante lo sucedido en Ceuta, que Ramírez considera tardía: afirma que había pasado un mes y medio antes de que hiciera un comentario público.</w:t>
      </w:r>
    </w:p>
    <w:p>
      <w:pPr>
        <w:pStyle w:val="Heading2"/>
      </w:pPr>
      <w:r>
        <w:t>El elogio del civismo</w:t>
      </w:r>
    </w:p>
    <w:p>
      <w:r>
        <w:t>Sitúa esa intervención en un acto de la Escuela Nacional de Protección Civil en Rivas, Madrid. Según el relato, el rey expresó satisfacción y elogió el ejemplo de civismo de la ciudad autónoma en una situación de extraordinaria complejidad. Ramírez entiende que el contexto del acto explica el reconocimiento a los hombres y mujeres de Protección Civil, pero juzga insuficiente el contenido político de la declaración.</w:t>
      </w:r>
    </w:p>
    <w:p>
      <w:r>
        <w:t>Vidal y Ramírez recuerdan la proximidad entre las monarquías española y marroquí, mencionando a Juan Carlos I y Hasán II. El intercambio sobre si se trataban como hermanos o primos refuerza su crítica a una respuesta institucional que consideran complaciente.</w:t>
      </w:r>
    </w:p>
    <w:p>
      <w:pPr>
        <w:pStyle w:val="Heading2"/>
      </w:pPr>
      <w:r>
        <w:t>La crítica al consenso político</w:t>
      </w:r>
    </w:p>
    <w:p>
      <w:r>
        <w:t>Ramírez reprocha también a sectores políticos que, según él, acuden a Tel Aviv a recibir instrucciones, que no cuestionen esa actuación. Menciona el Foro de La Toja como un espacio de pensamiento globalista español y plantea, en tono de conjetura, que en esos ámbitos se desalienta insistir en Ceuta para no incomodar a determinados poderes. La conversación termina este bloque con una crítica compartida al silencio o la moderación de las respuestas públicas.</w:t>
      </w:r>
    </w:p>
    <w:p>
      <w:pPr>
        <w:spacing w:after="100"/>
        <w:pageBreakBefore/>
      </w:pPr>
      <w:r>
        <w:rPr>
          <w:rFonts w:ascii="Montserrat" w:hAnsi="Montserrat"/>
          <w:b/>
          <w:color w:val="A3483F"/>
          <w:sz w:val="18"/>
        </w:rPr>
        <w:t>17  /  ARMAMENTO ESPACIAL</w:t>
      </w:r>
    </w:p>
    <w:p>
      <w:pPr>
        <w:pStyle w:val="Heading1"/>
      </w:pPr>
      <w:r>
        <w:t>La nueva guerra de las galaxias</w:t>
      </w:r>
    </w:p>
    <w:p>
      <w:pPr>
        <w:spacing w:after="160" w:line="40" w:lineRule="exact"/>
        <w:pBdr>
          <w:bottom w:val="single" w:sz="14" w:color="C49A52"/>
        </w:pBdr>
      </w:pPr>
    </w:p>
    <w:p>
      <w:pPr>
        <w:spacing w:after="220"/>
      </w:pPr>
      <w:r>
        <w:rPr>
          <w:color w:val="142B3A"/>
          <w:sz w:val="16"/>
        </w:rPr>
        <w:t>AUDIO  56:46–60:09</w:t>
      </w:r>
    </w:p>
    <w:p>
      <w:r>
        <w:t>La referencia inicial a Star Wars reaparece al final de la emisión a propósito del armamento estadounidense en el espacio. Ramírez señala un anuncio del secretario de la Fuerza Aérea, Troy Meink, y contrasta su recepción con el escándalo que, a su juicio, habría provocado una declaración semejante de Vladímir Putin.</w:t>
      </w:r>
    </w:p>
    <w:p>
      <w:pPr>
        <w:pStyle w:val="Heading2"/>
      </w:pPr>
      <w:r>
        <w:t>El anuncio de armas en órbita</w:t>
      </w:r>
    </w:p>
    <w:p>
      <w:r>
        <w:t>Según la intervención que reproduce, Estados Unidos ya ha colocado en órbita armas de control espacial capaces de defender a sus fuerzas conjuntas frente a acciones hostiles y de responder a amenazas cambiantes. Ramírez cuestiona que la denominación defensiva resuelva el significado de esas armas y reclama saber de qué artefactos se trata.</w:t>
      </w:r>
    </w:p>
    <w:p>
      <w:r>
        <w:t>No presenta como novedad la posibilidad de que Estados Unidos o China dispongan de armamento espacial. Lo que destaca es el reconocimiento público estadounidense y su orientación explícita hacia China y Rusia. Añade un texto de la Fuerza Espacial en el que se describe la capacidad espacial china como parte de su modernización militar y la supremacía espacial rusa como un elemento decisivo en conflictos futuros.</w:t>
      </w:r>
    </w:p>
    <w:p>
      <w:pPr>
        <w:pStyle w:val="Heading2"/>
      </w:pPr>
      <w:r>
        <w:t>La reacción de China y Rusia</w:t>
      </w:r>
    </w:p>
    <w:p>
      <w:r>
        <w:t>Ramírez recoge la protesta de Pekín y sostiene que las declaraciones estadounidenses facilitan a China una posición pública favorable. Admite expresamente que China también puede tener armas en el espacio, pero centra su pregunta en la finalidad de anunciar las capacidades norteamericanas en ese momento. Menciona la interpretación de que Washington busca mostrar una amenaza antes del encuentro entre Trump y Xi Jinping.</w:t>
      </w:r>
    </w:p>
    <w:p>
      <w:r>
        <w:t>Cita asimismo a María Zajárova y su valoración de Estados Unidos como el principal peligro para la humanidad. Ramírez se muestra de acuerdo con el sentido de esa crítica a la luz de las actuaciones del Pentágono y de las empresas de inteligencia artificial que ha comentado.</w:t>
      </w:r>
    </w:p>
    <w:p>
      <w:r>
        <w:t>Considera que el anuncio permite a Xi Jinping encabezar una propuesta de desmilitarización del espacio y obtener una ventaja diplomática. Califica de hipócrita esa eventual posición china, pero señala que la oportunidad ha sido facilitada por Washington. Remite a un antiguo programa de El Gran Reseteo sobre las claves geopolíticas de la carrera espacial y deja abierta una actualización si el anuncio produce nuevas consecuencias.</w:t>
      </w:r>
    </w:p>
    <w:p>
      <w:pPr>
        <w:spacing w:after="100"/>
        <w:pageBreakBefore/>
      </w:pPr>
      <w:r>
        <w:rPr>
          <w:rFonts w:ascii="Montserrat" w:hAnsi="Montserrat"/>
          <w:b/>
          <w:color w:val="A3483F"/>
          <w:sz w:val="18"/>
        </w:rPr>
        <w:t>18  /  POLÍTICA ESTADOUNIDENSE</w:t>
      </w:r>
    </w:p>
    <w:p>
      <w:pPr>
        <w:pStyle w:val="Heading1"/>
      </w:pPr>
      <w:r>
        <w:t>Newsom y la posible candidatura de Harris</w:t>
      </w:r>
    </w:p>
    <w:p>
      <w:pPr>
        <w:spacing w:after="160" w:line="40" w:lineRule="exact"/>
        <w:pBdr>
          <w:bottom w:val="single" w:sz="14" w:color="C49A52"/>
        </w:pBdr>
      </w:pPr>
    </w:p>
    <w:p>
      <w:pPr>
        <w:spacing w:after="220"/>
      </w:pPr>
      <w:r>
        <w:rPr>
          <w:color w:val="142B3A"/>
          <w:sz w:val="16"/>
        </w:rPr>
        <w:t>AUDIO  60:09–63:50</w:t>
      </w:r>
    </w:p>
    <w:p>
      <w:r>
        <w:t>Ramírez comenta una entrevista de CNN en la que Gavin Newsom aparece pescando con mosca junto a Jake Tapper en Montana. Lo presenta como uno de los principales aspirantes a competir en las primarias demócratas y en las presidenciales de 2028, aunque expresa una valoración negativa de su gestión de California y alude a los incendios en ese estado.</w:t>
      </w:r>
    </w:p>
    <w:p>
      <w:pPr>
        <w:pStyle w:val="Heading2"/>
      </w:pPr>
      <w:r>
        <w:t>Una renuncia condicionada</w:t>
      </w:r>
    </w:p>
    <w:p>
      <w:r>
        <w:t>La declaración que destaca es que Newsom no se presentaría si Kamala Harris decidiera hacerlo. Los interlocutores reciben esa posibilidad con rechazo. Vidal afirma que Harris empeoró los resultados de Biden en 47 de los 50 estados y perdió frente a Trump en los tres donde los mejoró. Expresa además que, si vuelve a ser candidata, él se quedará en casa en las elecciones.</w:t>
      </w:r>
    </w:p>
    <w:p>
      <w:r>
        <w:t>Ramírez sitúa a Harris y Newsom en un mismo entorno político: ambos son demócratas de California, con raíces en San Francisco y redes similares. Recuerda que Newsom termina su mandato de gobernador a finales de 2026 por el límite de mandatos y que ya ha viajado a Carolina del Sur, que identifica como primer estado de las primarias demócratas. Considera esos movimientos una señal de preparación para 2028.</w:t>
      </w:r>
    </w:p>
    <w:p>
      <w:pPr>
        <w:pStyle w:val="Heading2"/>
      </w:pPr>
      <w:r>
        <w:t>La maniobra que interpreta Ramírez</w:t>
      </w:r>
    </w:p>
    <w:p>
      <w:r>
        <w:t>Según expone, Harris todavía no ha anunciado oficialmente si volverá a intentarlo, aunque desde su entorno se ha filtrado interés. Ramírez interpreta la oferta de Newsom como una forma de forzar una definición: si Harris renuncia, él despeja su candidatura; si ella se presenta, él ha reconocido públicamente esa prioridad. Su hipótesis es que busca provocar la primera respuesta y apartarla de la competición.</w:t>
      </w:r>
    </w:p>
    <w:p>
      <w:r>
        <w:t>El diálogo termina imaginando una contienda entre Newsom y J. D. Vance. Vidal considera que ninguno merece su voto y vuelve a expresar su rechazo a participar ante esa alternativa. Ramírez acompaña el comentario con una ironía sobre protegerse con ajos y leer la Biblia; Vidal matiza que no basta leerla, sino estudiarla y permitir que genere una transformación interior.</w:t>
      </w:r>
    </w:p>
    <w:p>
      <w:pPr>
        <w:spacing w:after="100"/>
        <w:pageBreakBefore/>
      </w:pPr>
      <w:r>
        <w:rPr>
          <w:rFonts w:ascii="Montserrat" w:hAnsi="Montserrat"/>
          <w:b/>
          <w:color w:val="A3483F"/>
          <w:sz w:val="18"/>
        </w:rPr>
        <w:t>19  /  CIERRE DE LA CONVERSACIÓN</w:t>
      </w:r>
    </w:p>
    <w:p>
      <w:pPr>
        <w:pStyle w:val="Heading1"/>
      </w:pPr>
      <w:r>
        <w:t>La máquina que parece pensar</w:t>
      </w:r>
    </w:p>
    <w:p>
      <w:pPr>
        <w:spacing w:after="160" w:line="40" w:lineRule="exact"/>
        <w:pBdr>
          <w:bottom w:val="single" w:sz="14" w:color="C49A52"/>
        </w:pBdr>
      </w:pPr>
    </w:p>
    <w:p>
      <w:pPr>
        <w:spacing w:after="220"/>
      </w:pPr>
      <w:r>
        <w:rPr>
          <w:color w:val="142B3A"/>
          <w:sz w:val="16"/>
        </w:rPr>
        <w:t>AUDIO  63:50–65:36</w:t>
      </w:r>
    </w:p>
    <w:p>
      <w:r>
        <w:t>El cierre vuelve al tema con el que se abrió el análisis. Ramírez afirma que la inteligencia artificial no equivale a la razón humana. Describe los modelos como sistemas que dividen palabras y significados en tokens y establecen relaciones matemáticas entre ellos. A su juicio, la apariencia de pensamiento que producen no debe confundirse con una vida interior.</w:t>
      </w:r>
    </w:p>
    <w:p>
      <w:r>
        <w:t>Recurre a la imagen del gólem y a la antigua aspiración de construir una máquina que parezca pensar. El peligro que subraya es terminar idolatrándola y sometiéndose a ella. Así, el argumento final enlaza su crítica técnica de la conciencia artificial con la dimensión religiosa y antropológica presente desde la conversación sobre la luz y la oscuridad.</w:t>
      </w:r>
    </w:p>
    <w:p>
      <w:pPr>
        <w:pStyle w:val="Heading2"/>
      </w:pPr>
      <w:r>
        <w:t>La importancia que atribuye al debate abierto</w:t>
      </w:r>
    </w:p>
    <w:p>
      <w:r>
        <w:t>Ramírez reconoce el tono inquietante de los asuntos tratados y explica que intenta abordarlos con cierta distancia. Se declara relativamente satisfecho de que el debate esté abierto: pese a las trampas y mentiras que identifica, considera que permite a la gente formular preguntas que de otro modo no se haría. Incluye expresamente a ambos interlocutores entre esas personas que siguen preguntándose por lo que ocurre.</w:t>
      </w:r>
    </w:p>
    <w:p>
      <w:r>
        <w:t>La última reflexión se refiere a quienes aspiran a la inmortalidad. Ramírez invita a desconfiar de ese objetivo y sostiene que la muerte forma parte de la existencia humana. Cierra con la imagen de vender el alma por un puñado de tokens o de dólares. Vidal agradece la intervención y ambos se despiden hasta la siguiente emisión.</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ARGUMENTO CON EL QUE CONCLUYE RAMÍREZ</w:t>
            </w:r>
          </w:p>
          <w:p>
            <w:pPr>
              <w:keepNext w:val="0"/>
              <w:spacing w:after="0" w:line="264" w:lineRule="auto"/>
            </w:pPr>
            <w:r>
              <w:rPr>
                <w:sz w:val="21"/>
              </w:rPr>
              <w:t>El centro de su crítica permanece en la acción humana: quién construye los sistemas, qué intereses persigue y por qué los demás aceptan entregarles capacidad de decisión. La apariencia de inteligencia de la máquina queda vinculada a la posibilidad de convertirla en objeto de obediencia.</w:t>
            </w:r>
          </w:p>
        </w:tc>
      </w:tr>
    </w:tbl>
    <w:p>
      <w:pPr>
        <w:spacing w:after="100"/>
        <w:pageBreakBefore/>
      </w:pPr>
      <w:r>
        <w:rPr>
          <w:rFonts w:ascii="Montserrat" w:hAnsi="Montserrat"/>
          <w:b/>
          <w:color w:val="A3483F"/>
          <w:sz w:val="18"/>
        </w:rPr>
        <w:t>20  /  FUENTE Y RECORRIDO TEMPORAL</w:t>
      </w:r>
    </w:p>
    <w:p>
      <w:pPr>
        <w:pStyle w:val="Heading1"/>
      </w:pPr>
      <w:r>
        <w:t>Localización de los temas en el audio</w:t>
      </w:r>
    </w:p>
    <w:p>
      <w:pPr>
        <w:spacing w:after="160" w:line="40" w:lineRule="exact"/>
        <w:pBdr>
          <w:bottom w:val="single" w:sz="14" w:color="C49A52"/>
        </w:pBdr>
      </w:pPr>
    </w:p>
    <w:p>
      <w:pPr>
        <w:spacing w:after="220"/>
      </w:pPr>
      <w:r>
        <w:rPr>
          <w:color w:val="142B3A"/>
          <w:sz w:val="16"/>
        </w:rPr>
        <w:t>AUDIO  00:00–65:36</w:t>
      </w:r>
    </w:p>
    <w:p>
      <w:pPr>
        <w:pStyle w:val="Heading2"/>
      </w:pPr>
      <w:r>
        <w:t>Grabación principal</w:t>
      </w:r>
    </w:p>
    <w:p>
      <w:r>
        <w:t>Despegamos: Marketing apocalipsis IA, ciberpandemia, shock energía, fin Zelensky, y Star Wars. César Vidal, Canal Oficial. Conversación entre César Vidal y Lorenzo Ramírez. Archivo MP3 facilitado por el usuario, con una duración de 1 hora, 5 minutos y 36 segundos.</w:t>
      </w:r>
    </w:p>
    <w:p>
      <w:r>
        <w:t>Vídeo de referencia: https://youtu.be/nPS_QxDQNe4</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TRAMO</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CONTENIDO DE LA CONVERSACIÓN</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00:00–07:50</w:t>
            </w:r>
          </w:p>
        </w:tc>
        <w:tc>
          <w:tcPr>
            <w:tcW w:type="dxa" w:w="6973"/>
            <w:tcMar>
              <w:top w:w="100" w:type="dxa"/>
              <w:left w:w="100" w:type="dxa"/>
              <w:bottom w:w="100" w:type="dxa"/>
              <w:right w:w="100" w:type="dxa"/>
            </w:tcMar>
            <w:vAlign w:val="center"/>
            <w:shd w:fill="F3F6F7"/>
          </w:tcPr>
          <w:p>
            <w:pPr>
              <w:spacing w:after="40" w:line="254" w:lineRule="auto"/>
            </w:pPr>
            <w:r>
              <w:rPr>
                <w:b w:val="0"/>
                <w:sz w:val="18"/>
              </w:rPr>
              <w:t>Apertura, metáforas de la luz, financiación de la IA y operación Terminator.</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07:50–13:47</w:t>
            </w:r>
          </w:p>
        </w:tc>
        <w:tc>
          <w:tcPr>
            <w:tcW w:type="dxa" w:w="6973"/>
            <w:tcMar>
              <w:top w:w="100" w:type="dxa"/>
              <w:left w:w="100" w:type="dxa"/>
              <w:bottom w:w="100" w:type="dxa"/>
              <w:right w:w="100" w:type="dxa"/>
            </w:tcMar>
            <w:vAlign w:val="center"/>
            <w:shd w:fill="FFFFFF"/>
          </w:tcPr>
          <w:p>
            <w:pPr>
              <w:spacing w:after="40" w:line="254" w:lineRule="auto"/>
            </w:pPr>
            <w:r>
              <w:rPr>
                <w:b w:val="0"/>
                <w:sz w:val="18"/>
              </w:rPr>
              <w:t>Irregular, pruebas informáticas y responsabilidad por los incidentes.</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13:47–19:47</w:t>
            </w:r>
          </w:p>
        </w:tc>
        <w:tc>
          <w:tcPr>
            <w:tcW w:type="dxa" w:w="6973"/>
            <w:tcMar>
              <w:top w:w="100" w:type="dxa"/>
              <w:left w:w="100" w:type="dxa"/>
              <w:bottom w:w="100" w:type="dxa"/>
              <w:right w:w="100" w:type="dxa"/>
            </w:tcMar>
            <w:vAlign w:val="center"/>
            <w:shd w:fill="F3F6F7"/>
          </w:tcPr>
          <w:p>
            <w:pPr>
              <w:spacing w:after="40" w:line="254" w:lineRule="auto"/>
            </w:pPr>
            <w:r>
              <w:rPr>
                <w:b w:val="0"/>
                <w:sz w:val="18"/>
              </w:rPr>
              <w:t>Altruismo eficaz, redes de financiación y competencia tecnológica.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19:47–27:11</w:t>
            </w:r>
          </w:p>
        </w:tc>
        <w:tc>
          <w:tcPr>
            <w:tcW w:type="dxa" w:w="6973"/>
            <w:tcMar>
              <w:top w:w="100" w:type="dxa"/>
              <w:left w:w="100" w:type="dxa"/>
              <w:bottom w:w="100" w:type="dxa"/>
              <w:right w:w="100" w:type="dxa"/>
            </w:tcMar>
            <w:vAlign w:val="center"/>
            <w:shd w:fill="FFFFFF"/>
          </w:tcPr>
          <w:p>
            <w:pPr>
              <w:spacing w:after="40" w:line="254" w:lineRule="auto"/>
            </w:pPr>
            <w:r>
              <w:rPr>
                <w:b w:val="0"/>
                <w:sz w:val="18"/>
              </w:rPr>
              <w:t>Ciberpandemia, Foro Económico Mundial y responsabilidad jurídica.</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27:11–30:43</w:t>
            </w:r>
          </w:p>
        </w:tc>
        <w:tc>
          <w:tcPr>
            <w:tcW w:type="dxa" w:w="6973"/>
            <w:tcMar>
              <w:top w:w="100" w:type="dxa"/>
              <w:left w:w="100" w:type="dxa"/>
              <w:bottom w:w="100" w:type="dxa"/>
              <w:right w:w="100" w:type="dxa"/>
            </w:tcMar>
            <w:vAlign w:val="center"/>
            <w:shd w:fill="F3F6F7"/>
          </w:tcPr>
          <w:p>
            <w:pPr>
              <w:spacing w:after="40" w:line="254" w:lineRule="auto"/>
            </w:pPr>
            <w:r>
              <w:rPr>
                <w:b w:val="0"/>
                <w:sz w:val="18"/>
              </w:rPr>
              <w:t>Reserva Federal, liquidez, Oracle y Argentina.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30:43–40:34</w:t>
            </w:r>
          </w:p>
        </w:tc>
        <w:tc>
          <w:tcPr>
            <w:tcW w:type="dxa" w:w="6973"/>
            <w:tcMar>
              <w:top w:w="100" w:type="dxa"/>
              <w:left w:w="100" w:type="dxa"/>
              <w:bottom w:w="100" w:type="dxa"/>
              <w:right w:w="100" w:type="dxa"/>
            </w:tcMar>
            <w:vAlign w:val="center"/>
            <w:shd w:fill="FFFFFF"/>
          </w:tcPr>
          <w:p>
            <w:pPr>
              <w:spacing w:after="40" w:line="254" w:lineRule="auto"/>
            </w:pPr>
            <w:r>
              <w:rPr>
                <w:b w:val="0"/>
                <w:sz w:val="18"/>
              </w:rPr>
              <w:t>Palantir, apoyo estadounidense, sucesión de Zelenski y negociación.</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40:34–47:15</w:t>
            </w:r>
          </w:p>
        </w:tc>
        <w:tc>
          <w:tcPr>
            <w:tcW w:type="dxa" w:w="6973"/>
            <w:tcMar>
              <w:top w:w="100" w:type="dxa"/>
              <w:left w:w="100" w:type="dxa"/>
              <w:bottom w:w="100" w:type="dxa"/>
              <w:right w:w="100" w:type="dxa"/>
            </w:tcMar>
            <w:vAlign w:val="center"/>
            <w:shd w:fill="F3F6F7"/>
          </w:tcPr>
          <w:p>
            <w:pPr>
              <w:spacing w:after="40" w:line="254" w:lineRule="auto"/>
            </w:pPr>
            <w:r>
              <w:rPr>
                <w:b w:val="0"/>
                <w:sz w:val="18"/>
              </w:rPr>
              <w:t>Crisis energética europea, gas entre China y Estados Unidos y Nigeria.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47:15–54:06</w:t>
            </w:r>
          </w:p>
        </w:tc>
        <w:tc>
          <w:tcPr>
            <w:tcW w:type="dxa" w:w="6973"/>
            <w:tcMar>
              <w:top w:w="100" w:type="dxa"/>
              <w:left w:w="100" w:type="dxa"/>
              <w:bottom w:w="100" w:type="dxa"/>
              <w:right w:w="100" w:type="dxa"/>
            </w:tcMar>
            <w:vAlign w:val="center"/>
            <w:shd w:fill="FFFFFF"/>
          </w:tcPr>
          <w:p>
            <w:pPr>
              <w:spacing w:after="40" w:line="254" w:lineRule="auto"/>
            </w:pPr>
            <w:r>
              <w:rPr>
                <w:b w:val="0"/>
                <w:sz w:val="18"/>
              </w:rPr>
              <w:t>Fotovoltaica, centros de datos e interconexiones eléctricas.</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54:06–56:46</w:t>
            </w:r>
          </w:p>
        </w:tc>
        <w:tc>
          <w:tcPr>
            <w:tcW w:type="dxa" w:w="6973"/>
            <w:tcMar>
              <w:top w:w="100" w:type="dxa"/>
              <w:left w:w="100" w:type="dxa"/>
              <w:bottom w:w="100" w:type="dxa"/>
              <w:right w:w="100" w:type="dxa"/>
            </w:tcMar>
            <w:vAlign w:val="center"/>
            <w:shd w:fill="F3F6F7"/>
          </w:tcPr>
          <w:p>
            <w:pPr>
              <w:spacing w:after="40" w:line="254" w:lineRule="auto"/>
            </w:pPr>
            <w:r>
              <w:rPr>
                <w:b w:val="0"/>
                <w:sz w:val="18"/>
              </w:rPr>
              <w:t>Ceuta, Marruecos y las respuestas institucionales.</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56:46–60:09</w:t>
            </w:r>
          </w:p>
        </w:tc>
        <w:tc>
          <w:tcPr>
            <w:tcW w:type="dxa" w:w="6973"/>
            <w:tcMar>
              <w:top w:w="100" w:type="dxa"/>
              <w:left w:w="100" w:type="dxa"/>
              <w:bottom w:w="100" w:type="dxa"/>
              <w:right w:w="100" w:type="dxa"/>
            </w:tcMar>
            <w:vAlign w:val="center"/>
            <w:shd w:fill="FFFFFF"/>
          </w:tcPr>
          <w:p>
            <w:pPr>
              <w:spacing w:after="40" w:line="254" w:lineRule="auto"/>
            </w:pPr>
            <w:r>
              <w:rPr>
                <w:b w:val="0"/>
                <w:sz w:val="18"/>
              </w:rPr>
              <w:t>Armas en órbita y reacciones de China y Rusia.</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60:09–63:50</w:t>
            </w:r>
          </w:p>
        </w:tc>
        <w:tc>
          <w:tcPr>
            <w:tcW w:type="dxa" w:w="6973"/>
            <w:tcMar>
              <w:top w:w="100" w:type="dxa"/>
              <w:left w:w="100" w:type="dxa"/>
              <w:bottom w:w="100" w:type="dxa"/>
              <w:right w:w="100" w:type="dxa"/>
            </w:tcMar>
            <w:vAlign w:val="center"/>
            <w:shd w:fill="F3F6F7"/>
          </w:tcPr>
          <w:p>
            <w:pPr>
              <w:spacing w:after="40" w:line="254" w:lineRule="auto"/>
            </w:pPr>
            <w:r>
              <w:rPr>
                <w:b w:val="0"/>
                <w:sz w:val="18"/>
              </w:rPr>
              <w:t>Newsom, Harris y las presidenciales estadounidenses de 2028.</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63:50–65:36</w:t>
            </w:r>
          </w:p>
        </w:tc>
        <w:tc>
          <w:tcPr>
            <w:tcW w:type="dxa" w:w="6973"/>
            <w:tcMar>
              <w:top w:w="100" w:type="dxa"/>
              <w:left w:w="100" w:type="dxa"/>
              <w:bottom w:w="100" w:type="dxa"/>
              <w:right w:w="100" w:type="dxa"/>
            </w:tcMar>
            <w:vAlign w:val="center"/>
            <w:shd w:fill="FFFFFF"/>
          </w:tcPr>
          <w:p>
            <w:pPr>
              <w:spacing w:after="40" w:line="254" w:lineRule="auto"/>
            </w:pPr>
            <w:r>
              <w:rPr>
                <w:b w:val="0"/>
                <w:sz w:val="18"/>
              </w:rPr>
              <w:t>Razón humana, apariencia de pensamiento y despedida.</w:t>
            </w:r>
          </w:p>
        </w:tc>
      </w:tr>
    </w:tbl>
    <w:sectPr w:rsidR="00FC693F" w:rsidRPr="0006063C" w:rsidSect="00034616">
      <w:headerReference w:type="default" r:id="rId9"/>
      <w:footerReference w:type="default" r:id="rId10"/>
      <w:pgSz w:w="11906" w:h="16838"/>
      <w:pgMar w:top="1219" w:right="1332" w:bottom="1191" w:left="1332"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tserrat">
    <w:embedRegular r:id="rIdFont0_0" w:fontKey="{849C2EB9-051B-4243-9023-54D8DC94917F}"/>
    <w:embedBold r:id="rIdFont0_1" w:fontKey="{E3EFF369-C339-4EB0-BF26-73D28A75D7A5}"/>
  </w:font>
  <w:font w:name="Aptos">
    <w:embedRegular r:id="rIdFont1_0" w:fontKey="{38552885-4829-4642-A33D-37B9297386B7}"/>
    <w:embedBold r:id="rIdFont1_1" w:fontKey="{0C8F2005-10F6-4416-9B24-5D40E1EC88B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2B3A"/>
        <w:sz w:val="16"/>
      </w:rPr>
      <w:t xml:space="preserve">DESPEGAMOS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142B3A"/>
        <w:sz w:val="16"/>
      </w:rPr>
      <w:t>INFORME ANALÍTICO  /  CÉSAR VIDAL Y LORENZO RAMÍREZ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343A40"/>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Montserrat" w:hAnsi="Montserrat"/>
      <w:b/>
      <w:bCs/>
      <w:color w:val="142B3A"/>
      <w:sz w:val="4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Montserrat" w:hAnsi="Montserrat"/>
      <w:b/>
      <w:bCs/>
      <w:color w:val="142B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180"/>
      <w:contextualSpacing/>
    </w:pPr>
    <w:rPr>
      <w:rFonts w:ascii="Montserrat" w:hAnsi="Montserrat"/>
      <w:b/>
      <w:color w:val="142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i w:val="0"/>
      <w:iCs/>
      <w:color w:val="A3483F"/>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343A4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Font0_0" Type="http://schemas.openxmlformats.org/officeDocument/2006/relationships/font" Target="fonts/font0_0.odttf"/><Relationship Id="rIdFont0_1" Type="http://schemas.openxmlformats.org/officeDocument/2006/relationships/font" Target="fonts/font0_1.odttf"/><Relationship Id="rIdFont1_0" Type="http://schemas.openxmlformats.org/officeDocument/2006/relationships/font" Target="fonts/font1_0.odttf"/><Relationship Id="rIdFont1_1" Type="http://schemas.openxmlformats.org/officeDocument/2006/relationships/font" Target="fonts/font1_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energía y poder global</dc:title>
  <dc:subject>Informe sobre el audio de Despegamos</dc:subject>
  <dc:creator/>
  <cp:keywords/>
  <dc:description/>
  <cp:lastModifiedBy/>
  <cp:revision>1</cp:revision>
  <dcterms:created xsi:type="dcterms:W3CDTF">2013-12-23T23:15:00Z</dcterms:created>
  <dcterms:modified xsi:type="dcterms:W3CDTF">2013-12-23T23:15:00Z</dcterms:modified>
  <cp:category/>
</cp:coreProperties>
</file>