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China necesita menos a Europa</w:t>
      </w:r>
    </w:p>
    <w:p>
      <w:pPr>
        <w:pStyle w:val="Subtitle"/>
      </w:pPr>
      <w:r>
        <w:t>Estudio editorial revisado de F-008</w:t>
      </w:r>
    </w:p>
    <w:p>
      <w:r>
        <w:t>Fuente audiovisual de Marc Vidal</w:t>
        <w:br/>
        <w:t>07-09-2026 · 22 minutos 31 segundos</w:t>
      </w:r>
    </w:p>
    <w:p>
      <w:r>
        <w:t>Estado documental</w:t>
        <w:br/>
        <w:t>borrador-editorial-revisado-pendiente-de-aprobacion</w:t>
      </w:r>
    </w:p>
    <w:p>
      <w:r>
        <w:t>Segundo Cerebro - Piloto</w:t>
        <w:br/>
        <w:t>05-10-2026</w:t>
      </w:r>
    </w:p>
    <w:p>
      <w:r>
        <w:br w:type="page"/>
      </w:r>
    </w:p>
    <w:p>
      <w:pPr>
        <w:pStyle w:val="Heading1"/>
      </w:pPr>
      <w:r>
        <w:t>Contenido</w:t>
      </w:r>
    </w:p>
    <w:p>
      <w:fldSimple w:instr="TOC \o &quot;1-2&quot; \h \z \u"/>
    </w:p>
    <w:p>
      <w:r>
        <w:t>El índice se actualizará al abrir el documento en Microsoft Word.</w:t>
      </w:r>
    </w:p>
    <w:p>
      <w:pPr>
        <w:pStyle w:val="Heading1"/>
      </w:pPr>
      <w:r>
        <w:t>Resumen ejecutivo</w:t>
      </w:r>
    </w:p>
    <w:p>
      <w:r>
        <w:t>Marc Vidal interpreta el déficit comercial entre la Unión Europea y China como el resultado visible de un cambio industrial más profundo. El desequilibrio no crecería solo porque Europa compre muchos bienes chinos. También crecería porque China ha dejado de demandar parte de los productos que antes importaba desde Europa. La caída de las exportaciones, aunque pese menos que las importaciones en el saldo total, indicaría una pérdida de complementariedad y una sustitución tecnológica.</w:t>
      </w:r>
    </w:p>
    <w:p>
      <w:r>
        <w:t>El vídeo reconstruye primero la explicación atribuida a Berlín y Bruselas. Esa explicación combina un yuan infravalorado, subsidios estatales y sobrecapacidad china. Vidal admite que esos factores existen, pero rechaza que puedan cargar con toda la causalidad. Si la moneda y los aranceles fueran suficientes para explicar los resultados, los países europeos sometidos a las mismas condiciones deberían comportarse de modo parecido. El caso irlandés se introduce para cuestionar esa suficiencia.</w:t>
      </w:r>
    </w:p>
    <w:p>
      <w:r>
        <w:t>Alemania ocupa el centro del diagnóstico. Su industria automovilística acumuló durante décadas una ventaja basada en el motor de combustión y en el acceso al mercado chino. La electrificación cambia ambas condiciones. Los fabricantes chinos desarrollan vehículos, baterías y chips; las marcas alemanas pierden ventas; y las fábricas europeas conservan una capacidad concebida para una demanda que ya no existe en la misma magnitud. La sobrecapacidad deja entonces de ser un fenómeno exclusivamente chino.</w:t>
      </w:r>
    </w:p>
    <w:p>
      <w:r>
        <w:t>El Acuerdo del Plaza sirve como advertencia contra una política centrada en el tipo de cambio. Vidal presenta una secuencia en la que la apreciación del yen no corrige el déficit estadounidense, impulsa una compensación monetaria expansiva y desemboca en la burbuja japonesa. El contraste con F-003 conserva la secuencia general, pero introduce una diferencia causal importante: para Werner, la asignación del crédito hacia activos y la orientación cuantitativa del crédito explican el mecanismo de la burbuja mejor que una cadena directa entre apreciación, tipos bajos y crisis.</w:t>
      </w:r>
    </w:p>
    <w:p>
      <w:r>
        <w:t>La conclusión normativa del vídeo es que Europa debe recuperar la capacidad de fabricar bienes difíciles de sustituir. Vidal propone energía competitiva, escala industrial europea y compra pública orientada a la producción interna. Estas propuestas se derivan de su diagnóstico, pero el vídeo no desarrolla sus costes, condiciones institucionales ni efectos distributivos.</w:t>
      </w:r>
    </w:p>
    <w:p>
      <w:pPr>
        <w:pStyle w:val="Heading1"/>
      </w:pPr>
      <w:r>
        <w:t>Nota editorial</w:t>
      </w:r>
    </w:p>
    <w:p>
      <w:r>
        <w:t>Este estudio reconstruye y desarrolla el análisis expuesto por Marc Vidal en el vídeo Algo está pasando con China: cada vez necesita menos a Europa. Las cifras, ejemplos y atribuciones se utilizan con el alcance que les da la fuente audiovisual. Esta fase no realiza una auditoría estadística externa: su finalidad es presentar con fidelidad, continuidad y potencia explicativa el argumento del ponente.</w:t>
      </w:r>
    </w:p>
    <w:p>
      <w:pPr>
        <w:pStyle w:val="Heading1"/>
      </w:pPr>
      <w:r>
        <w:t>El déficit comercial como síntoma</w:t>
      </w:r>
    </w:p>
    <w:p>
      <w:r>
        <w:t>El vídeo comienza con una imagen contable: una transferencia de riqueza superior a 1.000 millones de euros diarios. La formulación busca hacer visible un fenómeno que no produce escenas inmediatas. Según Vidal, el déficit comercial europeo con China habría cerrado 2025 alrededor de 360.000 millones de euros y continuaría creciendo en 2026. El primer trimestre alcanzaría 98.000 millones y abril añadiría 31.900 millones. Si el ritmo se mantuviera, el saldo anual se aproximaría a 392.000 millones.</w:t>
      </w:r>
    </w:p>
    <w:p>
      <w:r>
        <w:t>Estas cifras cumplen dos funciones. Primero, sitúan la cuestión fuera de una oscilación menor. Vidal compara 2026 con el máximo de 2022, pero distingue sus contextos. El déficit de 2022 estaría ligado al rebote importador posterior a la pandemia y a una factura energética excepcional. El de 2026 aparecería, en cambio, en condiciones que el autor describe como normales. Segundo, las cifras preparan un desplazamiento de la pregunta. El problema no consiste solo en cuánto importa Europa, sino en qué ha dejado de vender.</w:t>
      </w:r>
    </w:p>
    <w:p>
      <w:r>
        <w:t>El vídeo reconoce que el peso aritmético principal del déficit corresponde a las importaciones. Vidal afirma que las exportaciones chinas hacia la Unión crecen mientras las europeas hacia China se contraen. La contracción exportadora importa como diagnóstico porque puede reflejar sustitución. Si China compra menos automóviles o maquinaria europeos porque sus empresas ya ofrecen alternativas, el déficit expresa una transformación de capacidades y no únicamente una diferencia de precios.</w:t>
      </w:r>
    </w:p>
    <w:p>
      <w:pPr>
        <w:pStyle w:val="Heading1"/>
      </w:pPr>
      <w:r>
        <w:t>El diagnóstico atribuido a Berlín y Bruselas</w:t>
      </w:r>
    </w:p>
    <w:p>
      <w:r>
        <w:t>Vidal resume el diagnóstico oficial en tres factores. El primero es un yuan que Friedrich Merz consideraría infravalorado en torno a un 30 por ciento. El segundo son los subsidios estatales que permiten a las empresas chinas producir y exportar en condiciones que los fabricantes europeos no pueden igualar. El tercero es la sobrecapacidad en vehículos eléctricos, baterías y paneles solares, cuyo excedente busca salida en el mercado europeo.</w:t>
      </w:r>
    </w:p>
    <w:p>
      <w:r>
        <w:t>El autor no sostiene que estos factores sean inventados. Admite la existencia de subsidios y de capacidad productiva superior a la absorción del mercado chino. También reconoce que el tipo de cambio afecta a los precios relativos. Su objeción se dirige al rango explicativo que se les concede. Cuando la causa se coloca por completo en Pekín, Europa puede evitar una revisión de sus costes energéticos, su inversión tecnológica y la fragmentación de sus políticas industriales.</w:t>
      </w:r>
    </w:p>
    <w:p>
      <w:r>
        <w:t>La respuesta asociada al diagnóstico oficial combinaría presión sobre el yuan, aranceles y otras defensas comerciales. El vídeo también menciona la posible revisión de la regla de nación más favorecida. Ninguno de estos elementos se examina jurídicamente. Su función consiste en mostrar cómo una explicación causal condiciona el menú político: si el problema es un precio exterior artificial, la respuesta lógica es corregir ese precio o bloquear sus efectos.</w:t>
      </w:r>
    </w:p>
    <w:p>
      <w:r>
        <w:t>Vidal introduce una reserva que limita su propia crítica. Irlanda no demostraría que el tipo de cambio sea irrelevante. Demostraría, según él, que el tipo de cambio no basta. Esta distinción es importante porque evita reducir la tesis a una negación absoluta de los factores chinos. El argumento editorialmente más preciso es que la fuente discute su suficiencia y su prioridad, no necesariamente su existencia.</w:t>
      </w:r>
    </w:p>
    <w:p>
      <w:pPr>
        <w:pStyle w:val="Heading1"/>
      </w:pPr>
      <w:r>
        <w:t>China necesita menos productos europeos</w:t>
      </w:r>
    </w:p>
    <w:p>
      <w:r>
        <w:t>La tesis del vídeo se apoya en una divergencia. Las exportaciones chinas hacia Europa aumentarían, mientras las exportaciones europeas hacia China se estancan o disminuyen. Vidal interpreta esa divergencia como resultado de una sustitución industrial. China habría pasado de comprar determinadas tecnologías y manufacturas a producirlas en sus propias cadenas de valor.</w:t>
      </w:r>
    </w:p>
    <w:p>
      <w:r>
        <w:t>La expresión China necesita menos a Europa no describe una ruptura total. China continúa importando bienes europeos y mantiene relaciones productivas con empresas del continente. La frase condensa un cambio relativo: en sectores donde Europa disfrutaba de una ventaja tecnológica, las empresas chinas han reducido la distancia o han tomado la delantera. El mercado chino deja de ser una extensión estable para la industria europea y se convierte también en el lugar donde compiten nuevos productores nacionales.</w:t>
      </w:r>
    </w:p>
    <w:p>
      <w:r>
        <w:t>La explicación tiene una dimensión tecnológica y otra temporal. Las empresas europeas deben amortizar plantas, competencias y modelos de negocio ligados a tecnologías maduras. China puede desplegar infraestructura más reciente sin defender el mismo volumen de activos heredados. Vidal relaciona esta situación con la ventaja del atraso relativo asociada a Alexander Gerschenkron: quien llega después puede adoptar directamente una tecnología nueva y evitar parte de los costes de transición del pionero.</w:t>
      </w:r>
    </w:p>
    <w:p>
      <w:r>
        <w:t>El mecanismo propuesto enlaza inversión, sustitución y capacidad ociosa. China invierte en vehículos eléctricos, baterías y chips. Sus empresas mejoran escala y producto. Las importaciones europeas pierden cuota. Las fábricas alemanas mantienen instalaciones dimensionadas para ventas anteriores. La caída de demanda genera sobrecapacidad en Europa. Finalmente, el déficit se interpreta como consecuencia de una agresión exterior, aunque para Vidal también refleja decisiones internas acumuladas.</w:t>
      </w:r>
    </w:p>
    <w:p>
      <w:pPr>
        <w:pStyle w:val="Heading1"/>
      </w:pPr>
      <w:r>
        <w:t>La automoción alemana</w:t>
      </w:r>
    </w:p>
    <w:p>
      <w:r>
        <w:t>La industria del automóvil convierte la tesis general en un caso reconocible. Vidal afirma que las exportaciones alemanas de bienes hacia China cayeron un 9,3 por ciento y que las ventas de automóviles alemanes se redujeron un 66 por ciento en tres años. También sostiene que Volkswagen perdió un liderazgo de veinticinco años frente a BYD y que Geely desplazó después a la marca alemana a una posición inferior. Estas cifras permanecen atribuidas al vídeo.</w:t>
      </w:r>
    </w:p>
    <w:p>
      <w:r>
        <w:t>La relevancia del caso no depende solo del volumen. Alemania construyó una parte importante de su posición industrial sobre ingeniería, proveedores especializados y motores de combustión. La transición eléctrica altera el producto central y reorganiza la cadena de valor alrededor de baterías, electrónica y software. Una empresa que domina el sistema anterior puede afrontar mayores costes de transición que un competidor que entra directamente en el nuevo.</w:t>
      </w:r>
    </w:p>
    <w:p>
      <w:r>
        <w:t>Vidal contrapone además ritmos de decisión. Mientras los fabricantes europeos discuten la rentabilidad de la electrificación, las empresas chinas habrían construido cadenas completas. La formulación es polémica porque trata a grupos empresariales diversos como dos bloques, pero cumple una función clara: explicar por qué la protección comercial no sustituye la inversión productiva.</w:t>
      </w:r>
    </w:p>
    <w:p>
      <w:r>
        <w:t>El caso alemán también prepara el argumento sobre la sobrecapacidad. Si las plantas fueron dimensionadas para abastecer una demanda china elevada y esa demanda cae, Alemania conserva instalaciones que ya no utiliza plenamente. La capacidad ociosa no nace necesariamente de una expansión reciente; puede aparecer cuando desaparece el cliente para el que se construyó. Con esta observación, Vidal devuelve a Europa una acusación que sus dirigentes dirigen a China.</w:t>
      </w:r>
    </w:p>
    <w:p>
      <w:pPr>
        <w:pStyle w:val="Heading1"/>
      </w:pPr>
      <w:r>
        <w:t>Decisiones que erosionan la competitividad europea</w:t>
      </w:r>
    </w:p>
    <w:p>
      <w:r>
        <w:t>El punto más inquietante del diagnóstico no es que China haya aprendido a fabricar bienes que antes compraba a Europa. Es que Europa afronta esa transformación con decisiones que encarecen su base productiva y reducen su margen de reacción. En el razonamiento de Vidal, el deterioro comercial no llega como un accidente exterior aislado: coincide con energía industrial cara, regulación fragmentada, mercados nacionales de escala insuficiente y una transición tecnológica gestionada sin asegurar primero las capacidades que debían sostenerla.</w:t>
      </w:r>
    </w:p>
    <w:p>
      <w:r>
        <w:t>La industria europea necesita electricidad y gas a precios compatibles con la fabricación intensiva, inversiones de largo plazo y cadenas de suministro previsibles. Cuando esas condiciones empeoran, cada obligación adicional pesa sobre una estructura que ya compite con productores de mayor escala. El problema no es elegir entre regulación y ausencia de regulación, sino advertir que una política que eleva costes sin construir al mismo tiempo alternativas productivas acelera la pérdida de actividad que pretendía transformar.</w:t>
      </w:r>
    </w:p>
    <w:p>
      <w:r>
        <w:t>La fragmentación añade otra desventaja. China coordina inversión, financiación, infraestructura, proveedores y mercado interior alrededor de sectores considerados estratégicos. Europa distribuye decisiones entre veintisiete marcos nacionales y, con frecuencia, intenta formar campeones industriales después de que las empresas rivales ya han alcanzado escala. Esa diferencia temporal importa: la competitividad no se recupera cuando el producto extranjero llega a la frontera, sino cuando se decide qué tecnologías financiar, qué redes construir y qué demanda inicial garantizar.</w:t>
      </w:r>
    </w:p>
    <w:p>
      <w:r>
        <w:t>El resultado es una contradicción política. Europa proclama objetivos de autonomía y descarbonización, pero puede terminar importando los equipos, vehículos, baterías o componentes necesarios para cumplirlos. La sustitución de producción europea por producción china no elimina la demanda europea; cambia quién captura el aprendizaje, el empleo cualificado, los proveedores y la capacidad de innovación asociados a esa demanda. La dependencia se desplaza desde la energía o el motor de combustión hacia nuevas plataformas industriales.</w:t>
      </w:r>
    </w:p>
    <w:p>
      <w:r>
        <w:t>Vidal no propone ignorar los subsidios chinos ni renunciar a instrumentos defensivos. Su objeción es que aranceles, presión cambiaria y denuncias de sobrecapacidad no constituyen una estrategia productiva. Pueden moderar una entrada o comprar tiempo, pero no crean por sí solos una batería competitiva, una cadena de semiconductores, una plataforma eléctrica ni una empresa capaz de vender en China. Si el tiempo ganado no se convierte en inversión, escala y producto, la protección conserva temporalmente una estructura que sigue perdiendo relevancia.</w:t>
      </w:r>
    </w:p>
    <w:p>
      <w:r>
        <w:t>La secuencia del vídeo obliga también a revisar la idea de que la transición puede dirigirse mediante prohibiciones y calendarios sin atender a la oferta disponible. Fijar el destino tecnológico no garantiza que las empresas europeas controlen el camino industrial hasta él. Si los fabricantes afrontan simultáneamente costes energéticos elevados, incertidumbre regulatoria, una demanda debilitada y competidores que ya dominan componentes críticos, el calendario puede acelerar la importación en vez de acelerar la reconversión doméstica. El objetivo ambiental permanece, pero el valor añadido asociado a su cumplimiento se desplaza.</w:t>
      </w:r>
    </w:p>
    <w:p>
      <w:r>
        <w:t>Ese desplazamiento tiene efectos acumulativos. Una planta que reduce producción compra menos a sus proveedores, forma a menos especialistas y justifica menos inversión en ingeniería. El deterioro no se limita a la empresa final: recorre la red de talleres, componentes, logística, investigación aplicada y servicios industriales que hacía posible competir. Recuperar después esa densidad es mucho más difícil que conservarla durante el cambio tecnológico. Por eso Vidal lee la pérdida exportadora como una advertencia adelantada, no como una estadística que deba contemplarse cuando el ajuste ya se haya consumado.</w:t>
      </w:r>
    </w:p>
    <w:p>
      <w:r>
        <w:t>La falta de una respuesta suficiente revela además un problema de prioridades. El debate público se concentra en repartir culpas o proteger sectores cuando la ventaja competitiva se construye mucho antes, mediante energía, capital, formación, infraestructura y demanda. Europa dispone de mercado, ahorro, conocimiento científico y empresas capaces; la cuestión es si los coordina alrededor de resultados industriales medibles. Sin esa coordinación, las declaraciones de autonomía conviven con una dependencia creciente de los bienes que materializan la nueva economía.</w:t>
      </w:r>
    </w:p>
    <w:p>
      <w:r>
        <w:t>Por eso el déficit funciona como una señal de política económica. Señala que la oferta europea satisface una parte decreciente de la demanda china y que la propia demanda europea sostiene cada vez más capacidades construidas fuera del continente. La respuesta exige dejar de tratar la competitividad como una consecuencia automática del mercado único. Requiere energía competitiva, coordinación industrial, financiación paciente, compra pública orientada y decisiones tecnológicas capaces de sobrevivir a los ciclos políticos.</w:t>
      </w:r>
    </w:p>
    <w:p>
      <w:pPr>
        <w:pStyle w:val="Heading1"/>
      </w:pPr>
      <w:r>
        <w:t>El Acuerdo del Plaza: moneda, crédito y capacidad productiva</w:t>
      </w:r>
    </w:p>
    <w:p>
      <w:r>
        <w:t>El vídeo recurre al Acuerdo del Plaza de 1985 porque Friedrich Merz habría evocado una negociación coordinada sobre tipos de cambio. Vidal presenta el acuerdo como un precedente de la idea de que una moneda barata explica un desequilibrio comercial. Estados Unidos y sus socios promovieron la depreciación del dólar y la apreciación del yen con la expectativa de reducir el superávit japonés.</w:t>
      </w:r>
    </w:p>
    <w:p>
      <w:r>
        <w:t>Según el relato del vídeo, la corrección cambiaria no resolvió el déficit estadounidense porque los productos japoneses se compraban por su calidad, no solo por su precio. El yen caro dañó a los exportadores y el Banco de Japón respondió con tipos bajos. El crédito barato alimentó la burbuja inmobiliaria y bursátil; el estallido condujo después a una larga etapa de desapalancamiento.</w:t>
      </w:r>
    </w:p>
    <w:p>
      <w:r>
        <w:t>La secuencia permite a Vidal formular una advertencia contemporánea. Una política que intenta corregir la competitividad mediante el tipo de cambio puede trasladar la presión al sistema financiero sin restaurar la capacidad productiva. El paralelismo con China no se desarrolla hasta sus diferencias institucionales. Funciona como advertencia histórica contra una receta aparentemente sencilla.</w:t>
      </w:r>
    </w:p>
    <w:p>
      <w:r>
        <w:t>El maestro conceptual aprobado de F-003 coincide con el vídeo en dos elementos. La apreciación del yen después del Acuerdo del Plaza forma parte del contexto de los años ochenta. Además, la expansión del crédito hacia suelo y valores alimentó la burbuja mediante un circuito entre préstamos, precios de activos y garantías.</w:t>
      </w:r>
    </w:p>
    <w:p>
      <w:r>
        <w:t>La diferencia reside en el mecanismo causal. El vídeo comprime la historia en una secuencia Plaza, tipos bajos, crédito barato y burbuja. La reconstrucción de Richard Werner en F-003 concede mayor importancia a la orientación cuantitativa del crédito y a la distribución sectorial de los préstamos. El volumen total y el precio del dinero no explican por sí solos el resultado. Importa que el crédito se dirija a activos existentes y produzca aumentos de precios que, a su vez, amplían las garantías disponibles para nuevos préstamos.</w:t>
      </w:r>
    </w:p>
    <w:p>
      <w:r>
        <w:t>Desde esa perspectiva, el Acuerdo del Plaza y la apreciación del yen no desaparecen. Se convierten en condiciones de contexto que ayudan a explicar las decisiones de política, pero no sustituyen el mecanismo de balances. La formulación de Vidal es compatible con la secuencia general y con la relevancia del crédito, aunque resulta más lineal que el modelo de Werner.</w:t>
      </w:r>
    </w:p>
    <w:p>
      <w:r>
        <w:t>El vídeo atribuye a Richard Koo la idea de recesión de balances. Después del estallido, las empresas priorizan reducir deuda aunque los tipos de interés estén cerca de cero. La demanda de crédito no responde porque los balances privados buscan reparación antes que expansión. Esta idea explica, dentro del relato, la duración de la crisis japonesa.</w:t>
      </w:r>
    </w:p>
    <w:p>
      <w:pPr>
        <w:pStyle w:val="Heading2"/>
      </w:pPr>
      <w:r>
        <w:t>Comparación interna de las dos fuentes</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243B53"/>
          </w:tcPr>
          <w:p>
            <w:r/>
            <w:r>
              <w:rPr>
                <w:rFonts w:ascii="Aptos" w:hAnsi="Aptos"/>
                <w:b/>
                <w:color w:val="FFFFFF"/>
                <w:sz w:val="18"/>
              </w:rPr>
              <w:t>Dimensión</w:t>
            </w:r>
          </w:p>
        </w:tc>
        <w:tc>
          <w:tcPr>
            <w:tcW w:type="dxa" w:w="3192"/>
            <w:vAlign w:val="center"/>
            <w:shd w:fill="243B53"/>
          </w:tcPr>
          <w:p>
            <w:r/>
            <w:r>
              <w:rPr>
                <w:rFonts w:ascii="Aptos" w:hAnsi="Aptos"/>
                <w:b/>
                <w:color w:val="FFFFFF"/>
                <w:sz w:val="18"/>
              </w:rPr>
              <w:t>Marc Vidal en F 008</w:t>
            </w:r>
          </w:p>
        </w:tc>
        <w:tc>
          <w:tcPr>
            <w:tcW w:type="dxa" w:w="3192"/>
            <w:vAlign w:val="center"/>
            <w:shd w:fill="243B53"/>
          </w:tcPr>
          <w:p>
            <w:r/>
            <w:r>
              <w:rPr>
                <w:rFonts w:ascii="Aptos" w:hAnsi="Aptos"/>
                <w:b/>
                <w:color w:val="FFFFFF"/>
                <w:sz w:val="18"/>
              </w:rPr>
              <w:t>Werner en F 003</w:t>
            </w:r>
          </w:p>
        </w:tc>
      </w:tr>
      <w:tr>
        <w:tc>
          <w:tcPr>
            <w:tcW w:type="dxa" w:w="3192"/>
            <w:vAlign w:val="center"/>
          </w:tcPr>
          <w:p>
            <w:r/>
            <w:r>
              <w:rPr>
                <w:rFonts w:ascii="Aptos" w:hAnsi="Aptos"/>
                <w:b w:val="0"/>
                <w:sz w:val="18"/>
              </w:rPr>
              <w:t>Función del Plaza</w:t>
            </w:r>
          </w:p>
        </w:tc>
        <w:tc>
          <w:tcPr>
            <w:tcW w:type="dxa" w:w="3192"/>
            <w:vAlign w:val="center"/>
          </w:tcPr>
          <w:p>
            <w:r/>
            <w:r>
              <w:rPr>
                <w:rFonts w:ascii="Aptos" w:hAnsi="Aptos"/>
                <w:b w:val="0"/>
                <w:sz w:val="18"/>
              </w:rPr>
              <w:t>Punto de partida de una apreciación que no corrige el déficit</w:t>
            </w:r>
          </w:p>
        </w:tc>
        <w:tc>
          <w:tcPr>
            <w:tcW w:type="dxa" w:w="3192"/>
            <w:vAlign w:val="center"/>
          </w:tcPr>
          <w:p>
            <w:r/>
            <w:r>
              <w:rPr>
                <w:rFonts w:ascii="Aptos" w:hAnsi="Aptos"/>
                <w:b w:val="0"/>
                <w:sz w:val="18"/>
              </w:rPr>
              <w:t>Contexto internacional de los años ochenta</w:t>
            </w:r>
          </w:p>
        </w:tc>
      </w:tr>
      <w:tr>
        <w:tc>
          <w:tcPr>
            <w:tcW w:type="dxa" w:w="3192"/>
            <w:vAlign w:val="center"/>
            <w:shd w:fill="EAF0F5"/>
          </w:tcPr>
          <w:p>
            <w:r/>
            <w:r>
              <w:rPr>
                <w:rFonts w:ascii="Aptos" w:hAnsi="Aptos"/>
                <w:b w:val="0"/>
                <w:sz w:val="18"/>
              </w:rPr>
              <w:t>Respuesta monetaria</w:t>
            </w:r>
          </w:p>
        </w:tc>
        <w:tc>
          <w:tcPr>
            <w:tcW w:type="dxa" w:w="3192"/>
            <w:vAlign w:val="center"/>
            <w:shd w:fill="EAF0F5"/>
          </w:tcPr>
          <w:p>
            <w:r/>
            <w:r>
              <w:rPr>
                <w:rFonts w:ascii="Aptos" w:hAnsi="Aptos"/>
                <w:b w:val="0"/>
                <w:sz w:val="18"/>
              </w:rPr>
              <w:t>Tipos bajos para compensar al exportador</w:t>
            </w:r>
          </w:p>
        </w:tc>
        <w:tc>
          <w:tcPr>
            <w:tcW w:type="dxa" w:w="3192"/>
            <w:vAlign w:val="center"/>
            <w:shd w:fill="EAF0F5"/>
          </w:tcPr>
          <w:p>
            <w:r/>
            <w:r>
              <w:rPr>
                <w:rFonts w:ascii="Aptos" w:hAnsi="Aptos"/>
                <w:b w:val="0"/>
                <w:sz w:val="18"/>
              </w:rPr>
              <w:t>Política monetaria unida al control cuantitativo del crédito</w:t>
            </w:r>
          </w:p>
        </w:tc>
      </w:tr>
      <w:tr>
        <w:tc>
          <w:tcPr>
            <w:tcW w:type="dxa" w:w="3192"/>
            <w:vAlign w:val="center"/>
          </w:tcPr>
          <w:p>
            <w:r/>
            <w:r>
              <w:rPr>
                <w:rFonts w:ascii="Aptos" w:hAnsi="Aptos"/>
                <w:b w:val="0"/>
                <w:sz w:val="18"/>
              </w:rPr>
              <w:t>Mecanismo de burbuja</w:t>
            </w:r>
          </w:p>
        </w:tc>
        <w:tc>
          <w:tcPr>
            <w:tcW w:type="dxa" w:w="3192"/>
            <w:vAlign w:val="center"/>
          </w:tcPr>
          <w:p>
            <w:r/>
            <w:r>
              <w:rPr>
                <w:rFonts w:ascii="Aptos" w:hAnsi="Aptos"/>
                <w:b w:val="0"/>
                <w:sz w:val="18"/>
              </w:rPr>
              <w:t>Crédito barato que infla inmuebles y bolsa</w:t>
            </w:r>
          </w:p>
        </w:tc>
        <w:tc>
          <w:tcPr>
            <w:tcW w:type="dxa" w:w="3192"/>
            <w:vAlign w:val="center"/>
          </w:tcPr>
          <w:p>
            <w:r/>
            <w:r>
              <w:rPr>
                <w:rFonts w:ascii="Aptos" w:hAnsi="Aptos"/>
                <w:b w:val="0"/>
                <w:sz w:val="18"/>
              </w:rPr>
              <w:t>Crédito asignado a activos existentes y reforzado por garantías</w:t>
            </w:r>
          </w:p>
        </w:tc>
      </w:tr>
      <w:tr>
        <w:tc>
          <w:tcPr>
            <w:tcW w:type="dxa" w:w="3192"/>
            <w:vAlign w:val="center"/>
            <w:shd w:fill="EAF0F5"/>
          </w:tcPr>
          <w:p>
            <w:r/>
            <w:r>
              <w:rPr>
                <w:rFonts w:ascii="Aptos" w:hAnsi="Aptos"/>
                <w:b w:val="0"/>
                <w:sz w:val="18"/>
              </w:rPr>
              <w:t>Alcance</w:t>
            </w:r>
          </w:p>
        </w:tc>
        <w:tc>
          <w:tcPr>
            <w:tcW w:type="dxa" w:w="3192"/>
            <w:vAlign w:val="center"/>
            <w:shd w:fill="EAF0F5"/>
          </w:tcPr>
          <w:p>
            <w:r/>
            <w:r>
              <w:rPr>
                <w:rFonts w:ascii="Aptos" w:hAnsi="Aptos"/>
                <w:b w:val="0"/>
                <w:sz w:val="18"/>
              </w:rPr>
              <w:t>Advertencia para Europa y China</w:t>
            </w:r>
          </w:p>
        </w:tc>
        <w:tc>
          <w:tcPr>
            <w:tcW w:type="dxa" w:w="3192"/>
            <w:vAlign w:val="center"/>
            <w:shd w:fill="EAF0F5"/>
          </w:tcPr>
          <w:p>
            <w:r/>
            <w:r>
              <w:rPr>
                <w:rFonts w:ascii="Aptos" w:hAnsi="Aptos"/>
                <w:b w:val="0"/>
                <w:sz w:val="18"/>
              </w:rPr>
              <w:t>Reconstrucción del sistema institucional japonés</w:t>
            </w:r>
          </w:p>
        </w:tc>
      </w:tr>
      <w:tr>
        <w:tc>
          <w:tcPr>
            <w:tcW w:type="dxa" w:w="3192"/>
            <w:vAlign w:val="center"/>
          </w:tcPr>
          <w:p>
            <w:r/>
            <w:r>
              <w:rPr>
                <w:rFonts w:ascii="Aptos" w:hAnsi="Aptos"/>
                <w:b w:val="0"/>
                <w:sz w:val="18"/>
              </w:rPr>
              <w:t>Coincidencia</w:t>
            </w:r>
          </w:p>
        </w:tc>
        <w:tc>
          <w:tcPr>
            <w:tcW w:type="dxa" w:w="3192"/>
            <w:vAlign w:val="center"/>
          </w:tcPr>
          <w:p>
            <w:r/>
            <w:r>
              <w:rPr>
                <w:rFonts w:ascii="Aptos" w:hAnsi="Aptos"/>
                <w:b w:val="0"/>
                <w:sz w:val="18"/>
              </w:rPr>
              <w:t>La apreciación no basta y el crédito importa</w:t>
            </w:r>
          </w:p>
        </w:tc>
        <w:tc>
          <w:tcPr>
            <w:tcW w:type="dxa" w:w="3192"/>
            <w:vAlign w:val="center"/>
          </w:tcPr>
          <w:p>
            <w:r/>
            <w:r>
              <w:rPr>
                <w:rFonts w:ascii="Aptos" w:hAnsi="Aptos"/>
                <w:b w:val="0"/>
                <w:sz w:val="18"/>
              </w:rPr>
              <w:t>La apreciación no basta y el destino del crédito importa</w:t>
            </w:r>
          </w:p>
        </w:tc>
      </w:tr>
    </w:tbl>
    <w:p/>
    <w:p>
      <w:pPr>
        <w:pStyle w:val="Heading1"/>
      </w:pPr>
      <w:r>
        <w:t>La sobrecapacidad también aparece en Europa</w:t>
      </w:r>
    </w:p>
    <w:p>
      <w:r>
        <w:t>El vídeo acepta que China produce más vehículos eléctricos, baterías y paneles solares de los que absorbe su mercado. Ese excedente busca compradores en Europa y aumenta la presión sobre fabricantes locales. Vidal añade que la sobrecapacidad no identifica por sí sola una práctica específicamente china. También puede surgir en Alemania cuando sus fábricas conservan una escala diseñada para un mercado exterior que reduce sus compras.</w:t>
      </w:r>
    </w:p>
    <w:p>
      <w:r>
        <w:t>La simetría no implica que las dos situaciones tengan el mismo origen o los mismos efectos. En China, el vídeo describe una capacidad creada mediante inversión y subsidios que busca salida. En Alemania, describe capacidad heredada que pierde a su cliente. La comparación sirve para mostrar que la capacidad ociosa puede ser consecuencia tanto de una expansión rápida como de una pérdida de demanda.</w:t>
      </w:r>
    </w:p>
    <w:p>
      <w:r>
        <w:t>Vidal caracteriza de manera distinta las respuestas. China busca nuevos mercados; Alemania espera que la política comercial proteja su estructura. Esta oposición es una interpretación retórica de la fuente, no una constatación independiente. Su función consiste en reforzar el argumento de que los aranceles pueden ganar tiempo, pero no crean automáticamente producto, tecnología o demanda.</w:t>
      </w:r>
    </w:p>
    <w:p>
      <w:pPr>
        <w:pStyle w:val="Heading1"/>
      </w:pPr>
      <w:r>
        <w:t>Una industria con intereses divergentes</w:t>
      </w:r>
    </w:p>
    <w:p>
      <w:r>
        <w:t>La política comercial europea afronta un problema de representación. El fabricante mediano de componentes que compite con importaciones chinas puede pedir aranceles. Una multinacional alemana con ventas, plantas o socios en China puede temer represalias y oponerse a la misma medida. Ambos pertenecen a la industria del automóvil, pero soportan riesgos distintos.</w:t>
      </w:r>
    </w:p>
    <w:p>
      <w:r>
        <w:t>Vidal utiliza esta divergencia para cuestionar las referencias políticas a la industria europea como un bloque. Las medidas defensivas redistribuyen costes y beneficios dentro del propio sector. Proteger el mercado europeo puede ayudar a un proveedor y perjudicar a un grupo que depende de ingresos obtenidos en China.</w:t>
      </w:r>
    </w:p>
    <w:p>
      <w:pPr>
        <w:pStyle w:val="Heading1"/>
      </w:pPr>
      <w:r>
        <w:t>Irlanda: producir lo que China todavía necesita</w:t>
      </w:r>
    </w:p>
    <w:p>
      <w:r>
        <w:t>Irlanda aparece desde el comienzo como la excepción que organiza la narración. Según Vidal, fue el único Estado miembro con superávit comercial frente a China entre enero y abril de 2026, mientras Malta y Finlandia se mantuvieron cerca del equilibrio. Irlanda comparte el euro, el mercado único y el arancel exterior. Por ello se enfrenta al mismo yuan que Alemania.</w:t>
      </w:r>
    </w:p>
    <w:p>
      <w:r>
        <w:t>La función del caso consiste en separar condiciones comunes y capacidades específicas. Si Irlanda obtiene un resultado diferente bajo la misma moneda, la divisa no puede explicar por sí sola todos los saldos. Vidal atribuye la diferencia a exportaciones farmacéuticas y químicas complejas que China todavía no puede sustituir con facilidad.</w:t>
      </w:r>
    </w:p>
    <w:p>
      <w:r>
        <w:t>El propio vídeo reconoce la objeción principal. Parte de esas exportaciones corresponde a multinacionales estadounidenses atraídas por el régimen fiscal, y los precios de transferencia distorsionan las estadísticas irlandesas. Vidal responde que las plantas están físicamente en la isla y que los productos salen de ellas. La respuesta protege la dimensión productiva del caso, pero no elimina el efecto de fiscalidad, propiedad y valoración intragrupo.</w:t>
      </w:r>
    </w:p>
    <w:p>
      <w:r>
        <w:t>La conclusión que Vidal extrae es más general: un país pequeño puede sostener su posición si produce bienes difíciles de sustituir. El caso ilustra la tesis, pero no la prueba por sí solo.</w:t>
      </w:r>
    </w:p>
    <w:p>
      <w:pPr>
        <w:pStyle w:val="Heading1"/>
      </w:pPr>
      <w:r>
        <w:t>Las propuestas de política industrial</w:t>
      </w:r>
    </w:p>
    <w:p>
      <w:r>
        <w:t>Vidal propone tres líneas de respuesta. La primera es reducir el coste energético para la industria. La segunda es construir escala europea y superar la coexistencia de 27 políticas nacionales. La tercera es utilizar la compra pública para favorecer la producción dentro de Europa de bienes que el continente consume.</w:t>
      </w:r>
    </w:p>
    <w:p>
      <w:r>
        <w:t>Las propuestas responden directamente al diagnóstico. Si el problema principal fuera una moneda artificialmente barata, bastaría con corregir precios relativos o elevar barreras. Si el problema incluye capacidades perdidas, la respuesta exige inversión, coordinación y demanda. La política comercial puede formar parte de esa estrategia, pero no reemplazarla.</w:t>
      </w:r>
    </w:p>
    <w:p>
      <w:r>
        <w:t>El criterio que unifica las propuestas es la dificultad de sustitución. Vidal lo aplica a países, empresas y profesionales: conservar valor significa producir algo que otro actor no pueda copiar rápidamente con menor coste o mejor calidad. La formulación final traslada una tesis macroeconómica a una recomendación individual. Esa extensión es retórica y no está demostrada por los datos comerciales utilizados antes.</w:t>
      </w:r>
    </w:p>
    <w:p>
      <w:pPr>
        <w:pStyle w:val="Heading2"/>
      </w:pPr>
      <w:r>
        <w:t>Mapa causal del argumento</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243B53"/>
          </w:tcPr>
          <w:p>
            <w:r/>
            <w:r>
              <w:rPr>
                <w:rFonts w:ascii="Aptos" w:hAnsi="Aptos"/>
                <w:b/>
                <w:color w:val="FFFFFF"/>
                <w:sz w:val="18"/>
              </w:rPr>
              <w:t>Nivel</w:t>
            </w:r>
          </w:p>
        </w:tc>
        <w:tc>
          <w:tcPr>
            <w:tcW w:type="dxa" w:w="3192"/>
            <w:vAlign w:val="center"/>
            <w:shd w:fill="243B53"/>
          </w:tcPr>
          <w:p>
            <w:r/>
            <w:r>
              <w:rPr>
                <w:rFonts w:ascii="Aptos" w:hAnsi="Aptos"/>
                <w:b/>
                <w:color w:val="FFFFFF"/>
                <w:sz w:val="18"/>
              </w:rPr>
              <w:t>Contenido en la fuente</w:t>
            </w:r>
          </w:p>
        </w:tc>
        <w:tc>
          <w:tcPr>
            <w:tcW w:type="dxa" w:w="3192"/>
            <w:vAlign w:val="center"/>
            <w:shd w:fill="243B53"/>
          </w:tcPr>
          <w:p>
            <w:r/>
            <w:r>
              <w:rPr>
                <w:rFonts w:ascii="Aptos" w:hAnsi="Aptos"/>
                <w:b/>
                <w:color w:val="FFFFFF"/>
                <w:sz w:val="18"/>
              </w:rPr>
              <w:t>Función</w:t>
            </w:r>
          </w:p>
        </w:tc>
      </w:tr>
      <w:tr>
        <w:tc>
          <w:tcPr>
            <w:tcW w:type="dxa" w:w="3192"/>
            <w:vAlign w:val="center"/>
          </w:tcPr>
          <w:p>
            <w:r/>
            <w:r>
              <w:rPr>
                <w:rFonts w:ascii="Aptos" w:hAnsi="Aptos"/>
                <w:b w:val="0"/>
                <w:sz w:val="18"/>
              </w:rPr>
              <w:t>Problema</w:t>
            </w:r>
          </w:p>
        </w:tc>
        <w:tc>
          <w:tcPr>
            <w:tcW w:type="dxa" w:w="3192"/>
            <w:vAlign w:val="center"/>
          </w:tcPr>
          <w:p>
            <w:r/>
            <w:r>
              <w:rPr>
                <w:rFonts w:ascii="Aptos" w:hAnsi="Aptos"/>
                <w:b w:val="0"/>
                <w:sz w:val="18"/>
              </w:rPr>
              <w:t>Déficit comercial europeo próximo a máximos</w:t>
            </w:r>
          </w:p>
        </w:tc>
        <w:tc>
          <w:tcPr>
            <w:tcW w:type="dxa" w:w="3192"/>
            <w:vAlign w:val="center"/>
          </w:tcPr>
          <w:p>
            <w:r/>
            <w:r>
              <w:rPr>
                <w:rFonts w:ascii="Aptos" w:hAnsi="Aptos"/>
                <w:b w:val="0"/>
                <w:sz w:val="18"/>
              </w:rPr>
              <w:t>Abrir la pregunta causal</w:t>
            </w:r>
          </w:p>
        </w:tc>
      </w:tr>
      <w:tr>
        <w:tc>
          <w:tcPr>
            <w:tcW w:type="dxa" w:w="3192"/>
            <w:vAlign w:val="center"/>
            <w:shd w:fill="EAF0F5"/>
          </w:tcPr>
          <w:p>
            <w:r/>
            <w:r>
              <w:rPr>
                <w:rFonts w:ascii="Aptos" w:hAnsi="Aptos"/>
                <w:b w:val="0"/>
                <w:sz w:val="18"/>
              </w:rPr>
              <w:t>Diagnóstico discutido</w:t>
            </w:r>
          </w:p>
        </w:tc>
        <w:tc>
          <w:tcPr>
            <w:tcW w:type="dxa" w:w="3192"/>
            <w:vAlign w:val="center"/>
            <w:shd w:fill="EAF0F5"/>
          </w:tcPr>
          <w:p>
            <w:r/>
            <w:r>
              <w:rPr>
                <w:rFonts w:ascii="Aptos" w:hAnsi="Aptos"/>
                <w:b w:val="0"/>
                <w:sz w:val="18"/>
              </w:rPr>
              <w:t>Yuan, subsidios y sobrecapacidad china</w:t>
            </w:r>
          </w:p>
        </w:tc>
        <w:tc>
          <w:tcPr>
            <w:tcW w:type="dxa" w:w="3192"/>
            <w:vAlign w:val="center"/>
            <w:shd w:fill="EAF0F5"/>
          </w:tcPr>
          <w:p>
            <w:r/>
            <w:r>
              <w:rPr>
                <w:rFonts w:ascii="Aptos" w:hAnsi="Aptos"/>
                <w:b w:val="0"/>
                <w:sz w:val="18"/>
              </w:rPr>
              <w:t>Representar la explicación exterior</w:t>
            </w:r>
          </w:p>
        </w:tc>
      </w:tr>
      <w:tr>
        <w:tc>
          <w:tcPr>
            <w:tcW w:type="dxa" w:w="3192"/>
            <w:vAlign w:val="center"/>
          </w:tcPr>
          <w:p>
            <w:r/>
            <w:r>
              <w:rPr>
                <w:rFonts w:ascii="Aptos" w:hAnsi="Aptos"/>
                <w:b w:val="0"/>
                <w:sz w:val="18"/>
              </w:rPr>
              <w:t>Indicio decisivo</w:t>
            </w:r>
          </w:p>
        </w:tc>
        <w:tc>
          <w:tcPr>
            <w:tcW w:type="dxa" w:w="3192"/>
            <w:vAlign w:val="center"/>
          </w:tcPr>
          <w:p>
            <w:r/>
            <w:r>
              <w:rPr>
                <w:rFonts w:ascii="Aptos" w:hAnsi="Aptos"/>
                <w:b w:val="0"/>
                <w:sz w:val="18"/>
              </w:rPr>
              <w:t>Caída de exportaciones europeas hacia China</w:t>
            </w:r>
          </w:p>
        </w:tc>
        <w:tc>
          <w:tcPr>
            <w:tcW w:type="dxa" w:w="3192"/>
            <w:vAlign w:val="center"/>
          </w:tcPr>
          <w:p>
            <w:r/>
            <w:r>
              <w:rPr>
                <w:rFonts w:ascii="Aptos" w:hAnsi="Aptos"/>
                <w:b w:val="0"/>
                <w:sz w:val="18"/>
              </w:rPr>
              <w:t>Mostrar sustitución industrial</w:t>
            </w:r>
          </w:p>
        </w:tc>
      </w:tr>
      <w:tr>
        <w:tc>
          <w:tcPr>
            <w:tcW w:type="dxa" w:w="3192"/>
            <w:vAlign w:val="center"/>
            <w:shd w:fill="EAF0F5"/>
          </w:tcPr>
          <w:p>
            <w:r/>
            <w:r>
              <w:rPr>
                <w:rFonts w:ascii="Aptos" w:hAnsi="Aptos"/>
                <w:b w:val="0"/>
                <w:sz w:val="18"/>
              </w:rPr>
              <w:t>Caso principal</w:t>
            </w:r>
          </w:p>
        </w:tc>
        <w:tc>
          <w:tcPr>
            <w:tcW w:type="dxa" w:w="3192"/>
            <w:vAlign w:val="center"/>
            <w:shd w:fill="EAF0F5"/>
          </w:tcPr>
          <w:p>
            <w:r/>
            <w:r>
              <w:rPr>
                <w:rFonts w:ascii="Aptos" w:hAnsi="Aptos"/>
                <w:b w:val="0"/>
                <w:sz w:val="18"/>
              </w:rPr>
              <w:t>Automoción alemana</w:t>
            </w:r>
          </w:p>
        </w:tc>
        <w:tc>
          <w:tcPr>
            <w:tcW w:type="dxa" w:w="3192"/>
            <w:vAlign w:val="center"/>
            <w:shd w:fill="EAF0F5"/>
          </w:tcPr>
          <w:p>
            <w:r/>
            <w:r>
              <w:rPr>
                <w:rFonts w:ascii="Aptos" w:hAnsi="Aptos"/>
                <w:b w:val="0"/>
                <w:sz w:val="18"/>
              </w:rPr>
              <w:t>Localizar la pérdida de ventaja</w:t>
            </w:r>
          </w:p>
        </w:tc>
      </w:tr>
      <w:tr>
        <w:tc>
          <w:tcPr>
            <w:tcW w:type="dxa" w:w="3192"/>
            <w:vAlign w:val="center"/>
          </w:tcPr>
          <w:p>
            <w:r/>
            <w:r>
              <w:rPr>
                <w:rFonts w:ascii="Aptos" w:hAnsi="Aptos"/>
                <w:b w:val="0"/>
                <w:sz w:val="18"/>
              </w:rPr>
              <w:t>Analogía histórica</w:t>
            </w:r>
          </w:p>
        </w:tc>
        <w:tc>
          <w:tcPr>
            <w:tcW w:type="dxa" w:w="3192"/>
            <w:vAlign w:val="center"/>
          </w:tcPr>
          <w:p>
            <w:r/>
            <w:r>
              <w:rPr>
                <w:rFonts w:ascii="Aptos" w:hAnsi="Aptos"/>
                <w:b w:val="0"/>
                <w:sz w:val="18"/>
              </w:rPr>
              <w:t>Acuerdo del Plaza y Japón</w:t>
            </w:r>
          </w:p>
        </w:tc>
        <w:tc>
          <w:tcPr>
            <w:tcW w:type="dxa" w:w="3192"/>
            <w:vAlign w:val="center"/>
          </w:tcPr>
          <w:p>
            <w:r/>
            <w:r>
              <w:rPr>
                <w:rFonts w:ascii="Aptos" w:hAnsi="Aptos"/>
                <w:b w:val="0"/>
                <w:sz w:val="18"/>
              </w:rPr>
              <w:t>Advertir contra una solución cambiaria</w:t>
            </w:r>
          </w:p>
        </w:tc>
      </w:tr>
      <w:tr>
        <w:tc>
          <w:tcPr>
            <w:tcW w:type="dxa" w:w="3192"/>
            <w:vAlign w:val="center"/>
            <w:shd w:fill="EAF0F5"/>
          </w:tcPr>
          <w:p>
            <w:r/>
            <w:r>
              <w:rPr>
                <w:rFonts w:ascii="Aptos" w:hAnsi="Aptos"/>
                <w:b w:val="0"/>
                <w:sz w:val="18"/>
              </w:rPr>
              <w:t>Caso de control</w:t>
            </w:r>
          </w:p>
        </w:tc>
        <w:tc>
          <w:tcPr>
            <w:tcW w:type="dxa" w:w="3192"/>
            <w:vAlign w:val="center"/>
            <w:shd w:fill="EAF0F5"/>
          </w:tcPr>
          <w:p>
            <w:r/>
            <w:r>
              <w:rPr>
                <w:rFonts w:ascii="Aptos" w:hAnsi="Aptos"/>
                <w:b w:val="0"/>
                <w:sz w:val="18"/>
              </w:rPr>
              <w:t>Irlanda</w:t>
            </w:r>
          </w:p>
        </w:tc>
        <w:tc>
          <w:tcPr>
            <w:tcW w:type="dxa" w:w="3192"/>
            <w:vAlign w:val="center"/>
            <w:shd w:fill="EAF0F5"/>
          </w:tcPr>
          <w:p>
            <w:r/>
            <w:r>
              <w:rPr>
                <w:rFonts w:ascii="Aptos" w:hAnsi="Aptos"/>
                <w:b w:val="0"/>
                <w:sz w:val="18"/>
              </w:rPr>
              <w:t>Cuestionar la suficiencia de la moneda</w:t>
            </w:r>
          </w:p>
        </w:tc>
      </w:tr>
      <w:tr>
        <w:tc>
          <w:tcPr>
            <w:tcW w:type="dxa" w:w="3192"/>
            <w:vAlign w:val="center"/>
          </w:tcPr>
          <w:p>
            <w:r/>
            <w:r>
              <w:rPr>
                <w:rFonts w:ascii="Aptos" w:hAnsi="Aptos"/>
                <w:b w:val="0"/>
                <w:sz w:val="18"/>
              </w:rPr>
              <w:t>Respuesta</w:t>
            </w:r>
          </w:p>
        </w:tc>
        <w:tc>
          <w:tcPr>
            <w:tcW w:type="dxa" w:w="3192"/>
            <w:vAlign w:val="center"/>
          </w:tcPr>
          <w:p>
            <w:r/>
            <w:r>
              <w:rPr>
                <w:rFonts w:ascii="Aptos" w:hAnsi="Aptos"/>
                <w:b w:val="0"/>
                <w:sz w:val="18"/>
              </w:rPr>
              <w:t>Energía, escala y compra pública</w:t>
            </w:r>
          </w:p>
        </w:tc>
        <w:tc>
          <w:tcPr>
            <w:tcW w:type="dxa" w:w="3192"/>
            <w:vAlign w:val="center"/>
          </w:tcPr>
          <w:p>
            <w:r/>
            <w:r>
              <w:rPr>
                <w:rFonts w:ascii="Aptos" w:hAnsi="Aptos"/>
                <w:b w:val="0"/>
                <w:sz w:val="18"/>
              </w:rPr>
              <w:t>Recuperar capacidades difíciles de sustituir</w:t>
            </w:r>
          </w:p>
        </w:tc>
      </w:tr>
    </w:tbl>
    <w:p/>
    <w:p>
      <w:pPr>
        <w:pStyle w:val="Heading1"/>
      </w:pPr>
      <w:r>
        <w:t>Conclusión</w:t>
      </w:r>
    </w:p>
    <w:p>
      <w:r>
        <w:t>La fuerza del vídeo reside en cambiar la pregunta. El problema europeo no se agota en cuánto compra a China, sino en por qué China compra cada vez menos a Europa. Esa inversión del punto de vista transforma un saldo comercial en un diagnóstico industrial: el continente pierde posiciones cuando sus productos dejan de ser imprescindibles, cuando sus empresas llegan tarde a las nuevas tecnologías y cuando sus decisiones públicas elevan costes sin crear capacidades equivalentes.</w:t>
      </w:r>
    </w:p>
    <w:p>
      <w:r>
        <w:t>La automoción alemana concreta el riesgo. Una ventaja construida durante décadas alrededor del motor de combustión puede convertirse en rigidez si el mercado se desplaza hacia vehículos eléctricos, baterías, software y cadenas integradas. China no se limita a vender más barato; en el argumento de Vidal, ha aprendido, escalado y sustituido importaciones. Europa conserva conocimiento, marcas y tejido empresarial, pero esas fortalezas no se perpetúan sin inversión, velocidad y un entorno energético e institucional que permita producir.</w:t>
      </w:r>
    </w:p>
    <w:p>
      <w:r>
        <w:t>El Acuerdo del Plaza refuerza la idea de que el tipo de cambio no reemplaza a la capacidad productiva. Vidal subraya que la apreciación del yen no corrigió el desequilibrio comercial. F-003 añade que la burbuja japonesa también dependió del destino y el control del crédito. Ambas lecturas convergen en lo esencial para este estudio: manipular monedas o abaratar el dinero no garantiza que una economía construya los bienes, tecnologías y organizaciones que sostienen su competitividad.</w:t>
      </w:r>
    </w:p>
    <w:p>
      <w:r>
        <w:t>Irlanda introduce una excepción útil. Su superávit, aun atravesado por multinacionales, fiscalidad y precios de transferencia, apunta a una regla estratégica: mantener productos que el comprador no puede sustituir con facilidad. Esa es la cuestión decisiva para Europa. No basta con contener importaciones; debe volver a generar ofertas cuya calidad, tecnología o función hagan costoso prescindir de ellas.</w:t>
      </w:r>
    </w:p>
    <w:p>
      <w:r>
        <w:t>El deterioro no es inevitable, pero tampoco se corrige con un relato que atribuya toda la responsabilidad al yuan, los subsidios o la sobreproducción china. Mientras Europa posterga decisiones sobre energía, escala, inversión y tecnología, cada año amplía la distancia que luego pretende compensar en la frontera. La política comercial puede defender; solo una política productiva coherente puede reconstruir.</w:t>
      </w:r>
    </w:p>
    <w:p>
      <w:r>
        <w:t>La conclusión de Marc Vidal es exigente y operativa: Europa debe fabricar de nuevo aquello que otros necesitan. Eso obliga a medir cada política por su efecto sobre la capacidad real de producir, aprender, innovar y exportar. El déficit diario es la manifestación visible. La cuestión de fondo es si el continente conserva voluntad y medios para seguir siendo industrialmente necesario.</w:t>
      </w:r>
    </w:p>
    <w:p>
      <w:pPr>
        <w:pStyle w:val="Heading1"/>
      </w:pPr>
      <w:r>
        <w:t>Apéndice: guía temporal del vídeo</w:t>
      </w:r>
    </w:p>
    <w:p>
      <w:r>
        <w:t>Las marcas son generales y sirven para localizar los grandes bloques del vídeo; no sustituyen una transcripción temporizada línea por línea.</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243B53"/>
          </w:tcPr>
          <w:p>
            <w:r/>
            <w:r>
              <w:rPr>
                <w:rFonts w:ascii="Aptos" w:hAnsi="Aptos"/>
                <w:b/>
                <w:color w:val="FFFFFF"/>
                <w:sz w:val="18"/>
              </w:rPr>
              <w:t>Tiempo</w:t>
            </w:r>
          </w:p>
        </w:tc>
        <w:tc>
          <w:tcPr>
            <w:tcW w:type="dxa" w:w="4788"/>
            <w:vAlign w:val="center"/>
            <w:shd w:fill="243B53"/>
          </w:tcPr>
          <w:p>
            <w:r/>
            <w:r>
              <w:rPr>
                <w:rFonts w:ascii="Aptos" w:hAnsi="Aptos"/>
                <w:b/>
                <w:color w:val="FFFFFF"/>
                <w:sz w:val="18"/>
              </w:rPr>
              <w:t>Bloque</w:t>
            </w:r>
          </w:p>
        </w:tc>
      </w:tr>
      <w:tr>
        <w:tc>
          <w:tcPr>
            <w:tcW w:type="dxa" w:w="4788"/>
            <w:vAlign w:val="center"/>
          </w:tcPr>
          <w:p>
            <w:r/>
            <w:r>
              <w:rPr>
                <w:rFonts w:ascii="Aptos" w:hAnsi="Aptos"/>
                <w:b w:val="0"/>
                <w:sz w:val="18"/>
              </w:rPr>
              <w:t>0:00</w:t>
            </w:r>
          </w:p>
        </w:tc>
        <w:tc>
          <w:tcPr>
            <w:tcW w:type="dxa" w:w="4788"/>
            <w:vAlign w:val="center"/>
          </w:tcPr>
          <w:p>
            <w:r/>
            <w:r>
              <w:rPr>
                <w:rFonts w:ascii="Aptos" w:hAnsi="Aptos"/>
                <w:b w:val="0"/>
                <w:sz w:val="18"/>
              </w:rPr>
              <w:t>La transferencia de riqueza silenciosa</w:t>
            </w:r>
          </w:p>
        </w:tc>
      </w:tr>
      <w:tr>
        <w:tc>
          <w:tcPr>
            <w:tcW w:type="dxa" w:w="4788"/>
            <w:vAlign w:val="center"/>
            <w:shd w:fill="EAF0F5"/>
          </w:tcPr>
          <w:p>
            <w:r/>
            <w:r>
              <w:rPr>
                <w:rFonts w:ascii="Aptos" w:hAnsi="Aptos"/>
                <w:b w:val="0"/>
                <w:sz w:val="18"/>
              </w:rPr>
              <w:t>0:31</w:t>
            </w:r>
          </w:p>
        </w:tc>
        <w:tc>
          <w:tcPr>
            <w:tcW w:type="dxa" w:w="4788"/>
            <w:vAlign w:val="center"/>
            <w:shd w:fill="EAF0F5"/>
          </w:tcPr>
          <w:p>
            <w:r/>
            <w:r>
              <w:rPr>
                <w:rFonts w:ascii="Aptos" w:hAnsi="Aptos"/>
                <w:b w:val="0"/>
                <w:sz w:val="18"/>
              </w:rPr>
              <w:t>El territorio que desafía la tendencia</w:t>
            </w:r>
          </w:p>
        </w:tc>
      </w:tr>
      <w:tr>
        <w:tc>
          <w:tcPr>
            <w:tcW w:type="dxa" w:w="4788"/>
            <w:vAlign w:val="center"/>
          </w:tcPr>
          <w:p>
            <w:r/>
            <w:r>
              <w:rPr>
                <w:rFonts w:ascii="Aptos" w:hAnsi="Aptos"/>
                <w:b w:val="0"/>
                <w:sz w:val="18"/>
              </w:rPr>
              <w:t>2:10</w:t>
            </w:r>
          </w:p>
        </w:tc>
        <w:tc>
          <w:tcPr>
            <w:tcW w:type="dxa" w:w="4788"/>
            <w:vAlign w:val="center"/>
          </w:tcPr>
          <w:p>
            <w:r/>
            <w:r>
              <w:rPr>
                <w:rFonts w:ascii="Aptos" w:hAnsi="Aptos"/>
                <w:b w:val="0"/>
                <w:sz w:val="18"/>
              </w:rPr>
              <w:t>Desgranando el déficit comercial</w:t>
            </w:r>
          </w:p>
        </w:tc>
      </w:tr>
      <w:tr>
        <w:tc>
          <w:tcPr>
            <w:tcW w:type="dxa" w:w="4788"/>
            <w:vAlign w:val="center"/>
            <w:shd w:fill="EAF0F5"/>
          </w:tcPr>
          <w:p>
            <w:r/>
            <w:r>
              <w:rPr>
                <w:rFonts w:ascii="Aptos" w:hAnsi="Aptos"/>
                <w:b w:val="0"/>
                <w:sz w:val="18"/>
              </w:rPr>
              <w:t>3:52</w:t>
            </w:r>
          </w:p>
        </w:tc>
        <w:tc>
          <w:tcPr>
            <w:tcW w:type="dxa" w:w="4788"/>
            <w:vAlign w:val="center"/>
            <w:shd w:fill="EAF0F5"/>
          </w:tcPr>
          <w:p>
            <w:r/>
            <w:r>
              <w:rPr>
                <w:rFonts w:ascii="Aptos" w:hAnsi="Aptos"/>
                <w:b w:val="0"/>
                <w:sz w:val="18"/>
              </w:rPr>
              <w:t>La llave que abre la caja</w:t>
            </w:r>
          </w:p>
        </w:tc>
      </w:tr>
      <w:tr>
        <w:tc>
          <w:tcPr>
            <w:tcW w:type="dxa" w:w="4788"/>
            <w:vAlign w:val="center"/>
          </w:tcPr>
          <w:p>
            <w:r/>
            <w:r>
              <w:rPr>
                <w:rFonts w:ascii="Aptos" w:hAnsi="Aptos"/>
                <w:b w:val="0"/>
                <w:sz w:val="18"/>
              </w:rPr>
              <w:t>4:22</w:t>
            </w:r>
          </w:p>
        </w:tc>
        <w:tc>
          <w:tcPr>
            <w:tcW w:type="dxa" w:w="4788"/>
            <w:vAlign w:val="center"/>
          </w:tcPr>
          <w:p>
            <w:r/>
            <w:r>
              <w:rPr>
                <w:rFonts w:ascii="Aptos" w:hAnsi="Aptos"/>
                <w:b w:val="0"/>
                <w:sz w:val="18"/>
              </w:rPr>
              <w:t>El diagnóstico de las capitales</w:t>
            </w:r>
          </w:p>
        </w:tc>
      </w:tr>
      <w:tr>
        <w:tc>
          <w:tcPr>
            <w:tcW w:type="dxa" w:w="4788"/>
            <w:vAlign w:val="center"/>
            <w:shd w:fill="EAF0F5"/>
          </w:tcPr>
          <w:p>
            <w:r/>
            <w:r>
              <w:rPr>
                <w:rFonts w:ascii="Aptos" w:hAnsi="Aptos"/>
                <w:b w:val="0"/>
                <w:sz w:val="18"/>
              </w:rPr>
              <w:t>6:57</w:t>
            </w:r>
          </w:p>
        </w:tc>
        <w:tc>
          <w:tcPr>
            <w:tcW w:type="dxa" w:w="4788"/>
            <w:vAlign w:val="center"/>
            <w:shd w:fill="EAF0F5"/>
          </w:tcPr>
          <w:p>
            <w:r/>
            <w:r>
              <w:rPr>
                <w:rFonts w:ascii="Aptos" w:hAnsi="Aptos"/>
                <w:b w:val="0"/>
                <w:sz w:val="18"/>
              </w:rPr>
              <w:t>La trampa del relato externo</w:t>
            </w:r>
          </w:p>
        </w:tc>
      </w:tr>
      <w:tr>
        <w:tc>
          <w:tcPr>
            <w:tcW w:type="dxa" w:w="4788"/>
            <w:vAlign w:val="center"/>
          </w:tcPr>
          <w:p>
            <w:r/>
            <w:r>
              <w:rPr>
                <w:rFonts w:ascii="Aptos" w:hAnsi="Aptos"/>
                <w:b w:val="0"/>
                <w:sz w:val="18"/>
              </w:rPr>
              <w:t>9:03</w:t>
            </w:r>
          </w:p>
        </w:tc>
        <w:tc>
          <w:tcPr>
            <w:tcW w:type="dxa" w:w="4788"/>
            <w:vAlign w:val="center"/>
          </w:tcPr>
          <w:p>
            <w:r/>
            <w:r>
              <w:rPr>
                <w:rFonts w:ascii="Aptos" w:hAnsi="Aptos"/>
                <w:b w:val="0"/>
                <w:sz w:val="18"/>
              </w:rPr>
              <w:t>El desplome de la industria alemana</w:t>
            </w:r>
          </w:p>
        </w:tc>
      </w:tr>
      <w:tr>
        <w:tc>
          <w:tcPr>
            <w:tcW w:type="dxa" w:w="4788"/>
            <w:vAlign w:val="center"/>
            <w:shd w:fill="EAF0F5"/>
          </w:tcPr>
          <w:p>
            <w:r/>
            <w:r>
              <w:rPr>
                <w:rFonts w:ascii="Aptos" w:hAnsi="Aptos"/>
                <w:b w:val="0"/>
                <w:sz w:val="18"/>
              </w:rPr>
              <w:t>11:39</w:t>
            </w:r>
          </w:p>
        </w:tc>
        <w:tc>
          <w:tcPr>
            <w:tcW w:type="dxa" w:w="4788"/>
            <w:vAlign w:val="center"/>
            <w:shd w:fill="EAF0F5"/>
          </w:tcPr>
          <w:p>
            <w:r/>
            <w:r>
              <w:rPr>
                <w:rFonts w:ascii="Aptos" w:hAnsi="Aptos"/>
                <w:b w:val="0"/>
                <w:sz w:val="18"/>
              </w:rPr>
              <w:t>Lecciones del Hotel Plaza</w:t>
            </w:r>
          </w:p>
        </w:tc>
      </w:tr>
      <w:tr>
        <w:tc>
          <w:tcPr>
            <w:tcW w:type="dxa" w:w="4788"/>
            <w:vAlign w:val="center"/>
          </w:tcPr>
          <w:p>
            <w:r/>
            <w:r>
              <w:rPr>
                <w:rFonts w:ascii="Aptos" w:hAnsi="Aptos"/>
                <w:b w:val="0"/>
                <w:sz w:val="18"/>
              </w:rPr>
              <w:t>14:24</w:t>
            </w:r>
          </w:p>
        </w:tc>
        <w:tc>
          <w:tcPr>
            <w:tcW w:type="dxa" w:w="4788"/>
            <w:vAlign w:val="center"/>
          </w:tcPr>
          <w:p>
            <w:r/>
            <w:r>
              <w:rPr>
                <w:rFonts w:ascii="Aptos" w:hAnsi="Aptos"/>
                <w:b w:val="0"/>
                <w:sz w:val="18"/>
              </w:rPr>
              <w:t>La sobreproducción fabricada en casa</w:t>
            </w:r>
          </w:p>
        </w:tc>
      </w:tr>
      <w:tr>
        <w:tc>
          <w:tcPr>
            <w:tcW w:type="dxa" w:w="4788"/>
            <w:vAlign w:val="center"/>
            <w:shd w:fill="EAF0F5"/>
          </w:tcPr>
          <w:p>
            <w:r/>
            <w:r>
              <w:rPr>
                <w:rFonts w:ascii="Aptos" w:hAnsi="Aptos"/>
                <w:b w:val="0"/>
                <w:sz w:val="18"/>
              </w:rPr>
              <w:t>20:58</w:t>
            </w:r>
          </w:p>
        </w:tc>
        <w:tc>
          <w:tcPr>
            <w:tcW w:type="dxa" w:w="4788"/>
            <w:vAlign w:val="center"/>
            <w:shd w:fill="EAF0F5"/>
          </w:tcPr>
          <w:p>
            <w:r/>
            <w:r>
              <w:rPr>
                <w:rFonts w:ascii="Aptos" w:hAnsi="Aptos"/>
                <w:b w:val="0"/>
                <w:sz w:val="18"/>
              </w:rPr>
              <w:t>El espejo de la macroeconomía</w:t>
            </w:r>
          </w:p>
        </w:tc>
      </w:tr>
    </w:tbl>
    <w:p/>
    <w:sectPr w:rsidR="00FC693F" w:rsidRPr="0006063C" w:rsidSect="00034616">
      <w:headerReference w:type="default" r:id="rId9"/>
      <w:footerReference w:type="default" r:id="rId10"/>
      <w:pgSz w:w="12240" w:h="15840"/>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F-008 · Documento editorial revisado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3"/>
        <w:sz w:val="16"/>
      </w:rPr>
      <w:t>SEGUNDO CEREBRO · F-008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outlineLvl w:val="0"/>
    </w:pPr>
    <w:rPr>
      <w:rFonts w:asciiTheme="majorHAnsi" w:eastAsiaTheme="majorEastAsia" w:hAnsiTheme="majorHAnsi" w:cstheme="majorBidi" w:ascii="Aptos Display" w:hAnsi="Aptos Display"/>
      <w:b/>
      <w:bCs/>
      <w:color w:val="1A2C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F2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2C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F2D3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necesita menos a Europa</dc:title>
  <dc:subject>Estudio editorial revisado de F-008</dc:subject>
  <dc:creator>Segundo Cerebro - Piloto</dc:creator>
  <cp:keywords>China, Europa, competitividad, industria, comercio, Marc Vidal, F-008</cp:keywords>
  <dc:description>generated by python-docx</dc:description>
  <cp:lastModifiedBy/>
  <cp:revision>1</cp:revision>
  <dcterms:created xsi:type="dcterms:W3CDTF">2013-12-23T23:15:00Z</dcterms:created>
  <dcterms:modified xsi:type="dcterms:W3CDTF">2013-12-23T23:15:00Z</dcterms:modified>
  <cp:category/>
</cp:coreProperties>
</file>