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Lorenzo Ramírez y las estructuras de poder</w:t>
      </w:r>
    </w:p>
    <w:p>
      <w:pPr>
        <w:pStyle w:val="Subtitle"/>
      </w:pPr>
      <w:r>
        <w:t>Lectura editorial de la entrevista Aladetres 183</w:t>
      </w:r>
    </w:p>
    <w:p>
      <w:r>
        <w:t>8 de octubre de 2026</w:t>
      </w:r>
    </w:p>
    <w:p>
      <w:r>
        <w:t>Lorenzo Ramírez interpreta las estructuras de poder contemporáneas desde una preocupación moral: la pérdida de humanidad y de libertad de pensamiento. Su explicación relaciona incentivos financieros, conflictos geopolíticos, discursos de emergencia y capacidades tecnológicas. La entrevista culmina en una propuesta de responsabilidad personal, reconstrucción de vínculos y cambio social gradual. Este cuaderno organiza ese recorrido, atribuye sus opiniones y ofrece referencias para examinar el alcance de sus argumentos.</w:t>
      </w:r>
    </w:p>
    <w:p>
      <w:hyperlink r:id="rId9">
        <w:r>
          <w:rPr>
            <w:color w:val="174D69"/>
            <w:u w:val="single"/>
          </w:rPr>
          <w:t>Ver entrevista completa en YouTube</w:t>
        </w:r>
      </w:hyperlink>
    </w:p>
    <w:p>
      <w:pPr>
        <w:pStyle w:val="Heading1"/>
      </w:pPr>
      <w:r>
        <w:t>Alcance y modo de lectura</w:t>
      </w:r>
    </w:p>
    <w:p>
      <w:r>
        <w:t>Fuente principal: transcripción aportada de UN MUNDO ENTREGADO AL DIABLO — Lorenzo Ramírez | Aladetres 183, con marcas de 00:00 a 1:42:10. El título pertenece al vídeo. Las marcas enlazan a la posición documentada en el texto; no se ha realizado cotejo audiovisual. La fecha de publicación no se ha confirmado: expresiones como ahora o en las últimas horas pertenecen al contexto de la entrevista. La consulta de fuentes complementarias se efectuó el 8 de octubre de 2026 y es selectiva, no una verificación exhaustiva de la conversación.</w:t>
      </w:r>
    </w:p>
    <w:p>
      <w:r>
        <w:t>El avance de 00:00 a 01:10 y el tramo promocional de aproximadamente 06:27 a 07:56 no se convierten en argumentos nuevos. La exposición temática reordena la conversación, pero conserva el acceso a sus posiciones originales. Las citas breves proceden del texto recibido y no se presentan como transcripción audiovisual corregida.</w:t>
      </w:r>
    </w:p>
    <w:p>
      <w:r>
        <w:t>Opinión significa valoración atribuida al entrevistado. Alegación significa atribución factual que requiere prueba. Escenario indica una posibilidad o previsión. Contraste editorial identifica una fuente complementaria y su alcance. Estas categorías permiten leer el argumento sin equiparar una sospecha con un hecho judicial.</w:t>
      </w:r>
    </w:p>
    <w:p>
      <w:pPr>
        <w:pStyle w:val="Heading1"/>
      </w:pPr>
      <w:r>
        <w:t>Mapa de la entrevista</w:t>
      </w:r>
    </w:p>
    <w:p>
      <w:r>
        <w:t xml:space="preserve">01  El mal como marco de interpretación  </w:t>
      </w:r>
      <w:hyperlink r:id="rId10">
        <w:r>
          <w:rPr>
            <w:color w:val="174D69"/>
            <w:u w:val="single"/>
          </w:rPr>
          <w:t>01:39 a 06:27</w:t>
        </w:r>
      </w:hyperlink>
    </w:p>
    <w:p>
      <w:r>
        <w:t xml:space="preserve">02  Emergencias y debilitamiento de los vínculos  </w:t>
      </w:r>
      <w:hyperlink r:id="rId11">
        <w:r>
          <w:rPr>
            <w:color w:val="174D69"/>
            <w:u w:val="single"/>
          </w:rPr>
          <w:t>07:56 a 17:06</w:t>
        </w:r>
      </w:hyperlink>
    </w:p>
    <w:p>
      <w:r>
        <w:t xml:space="preserve">03  El enemigo y la guerra permanente  </w:t>
      </w:r>
      <w:hyperlink r:id="rId12">
        <w:r>
          <w:rPr>
            <w:color w:val="174D69"/>
            <w:u w:val="single"/>
          </w:rPr>
          <w:t>17:06 a 25:39</w:t>
        </w:r>
      </w:hyperlink>
    </w:p>
    <w:p>
      <w:r>
        <w:t xml:space="preserve">04  China Rusia y el reparto de influencia  </w:t>
      </w:r>
      <w:hyperlink r:id="rId13">
        <w:r>
          <w:rPr>
            <w:color w:val="174D69"/>
            <w:u w:val="single"/>
          </w:rPr>
          <w:t>25:39 a 36:31</w:t>
        </w:r>
      </w:hyperlink>
    </w:p>
    <w:p>
      <w:r>
        <w:t xml:space="preserve">05  Redes de influencia y límites del control  </w:t>
      </w:r>
      <w:hyperlink r:id="rId14">
        <w:r>
          <w:rPr>
            <w:color w:val="174D69"/>
            <w:u w:val="single"/>
          </w:rPr>
          <w:t>36:31 a 48:16</w:t>
        </w:r>
      </w:hyperlink>
    </w:p>
    <w:p>
      <w:r>
        <w:t xml:space="preserve">06  Israel grupos de presión y pluralidad interna  </w:t>
      </w:r>
      <w:hyperlink r:id="rId15">
        <w:r>
          <w:rPr>
            <w:color w:val="174D69"/>
            <w:u w:val="single"/>
          </w:rPr>
          <w:t>48:16 a 58:51</w:t>
        </w:r>
      </w:hyperlink>
    </w:p>
    <w:p>
      <w:r>
        <w:t xml:space="preserve">07  Profecías y alianzas políticas  </w:t>
      </w:r>
      <w:hyperlink r:id="rId16">
        <w:r>
          <w:rPr>
            <w:color w:val="174D69"/>
            <w:u w:val="single"/>
          </w:rPr>
          <w:t>58:51 a 1:03:33</w:t>
        </w:r>
      </w:hyperlink>
    </w:p>
    <w:p>
      <w:r>
        <w:t xml:space="preserve">08  Selección de dirigentes y mecanismos de presión  </w:t>
      </w:r>
      <w:hyperlink r:id="rId17">
        <w:r>
          <w:rPr>
            <w:color w:val="174D69"/>
            <w:u w:val="single"/>
          </w:rPr>
          <w:t>1:03:33 a 1:08:31</w:t>
        </w:r>
      </w:hyperlink>
    </w:p>
    <w:p>
      <w:r>
        <w:t xml:space="preserve">09  Epstein y la separación entre delitos y sospechas  </w:t>
      </w:r>
      <w:hyperlink r:id="rId18">
        <w:r>
          <w:rPr>
            <w:color w:val="174D69"/>
            <w:u w:val="single"/>
          </w:rPr>
          <w:t>1:08:31 a 1:20:33</w:t>
        </w:r>
      </w:hyperlink>
    </w:p>
    <w:p>
      <w:r>
        <w:t xml:space="preserve">10  Transhumanismo y autonomía personal  </w:t>
      </w:r>
      <w:hyperlink r:id="rId19">
        <w:r>
          <w:rPr>
            <w:color w:val="174D69"/>
            <w:u w:val="single"/>
          </w:rPr>
          <w:t>1:20:33 a 1:24:23</w:t>
        </w:r>
      </w:hyperlink>
    </w:p>
    <w:p>
      <w:r>
        <w:t xml:space="preserve">11  Identidad digital dinero y dependencia  </w:t>
      </w:r>
      <w:hyperlink r:id="rId20">
        <w:r>
          <w:rPr>
            <w:color w:val="174D69"/>
            <w:u w:val="single"/>
          </w:rPr>
          <w:t>1:24:23 a 1:28:50</w:t>
        </w:r>
      </w:hyperlink>
    </w:p>
    <w:p>
      <w:r>
        <w:t xml:space="preserve">12  Pensamiento crítico comunidad y cambio gradual  </w:t>
      </w:r>
      <w:hyperlink r:id="rId21">
        <w:r>
          <w:rPr>
            <w:color w:val="174D69"/>
            <w:u w:val="single"/>
          </w:rPr>
          <w:t>1:28:50 a 1:34:48</w:t>
        </w:r>
      </w:hyperlink>
    </w:p>
    <w:p>
      <w:r>
        <w:t xml:space="preserve">13  Humanidad libre albedrío y esperanza  </w:t>
      </w:r>
      <w:hyperlink r:id="rId22">
        <w:r>
          <w:rPr>
            <w:color w:val="174D69"/>
            <w:u w:val="single"/>
          </w:rPr>
          <w:t>1:34:48 a 1:42:10</w:t>
        </w:r>
      </w:hyperlink>
    </w:p>
    <w:p>
      <w:pPr>
        <w:pStyle w:val="Heading1"/>
      </w:pPr>
      <w:r>
        <w:t>Tres relaciones para comprender el argumento</w:t>
      </w:r>
    </w:p>
    <w:p>
      <w:r>
        <w:t>Modelo de emergencia según Ramírez: problema o amenaza → miedo social → solución centralizada → aceptación de restricciones → mayor dependencia. Las flechas representan su interpretación causal y requieren pruebas específicas para cada caso.</w:t>
      </w:r>
    </w:p>
    <w:p>
      <w:r>
        <w:t>Red de influencia según Ramírez: finanzas ↔ gobiernos ↔ tecnología ↔ grupos de presión. Hay objetivos compartidos, rivalidades, límites y errores; no un centro omnipotente acreditado.</w:t>
      </w:r>
    </w:p>
    <w:p>
      <w:r>
        <w:t>Respuesta que propone: pensamiento crítico → vínculos próximos → apoyo social → reformas. El entrevistado rechaza la violencia y defiende un proceso gradual.</w:t>
      </w:r>
    </w:p>
    <w:p>
      <w:pPr>
        <w:pStyle w:val="Heading1"/>
      </w:pPr>
      <w:r>
        <w:t>Desarrollo temático</w:t>
      </w:r>
    </w:p>
    <w:p>
      <w:pPr>
        <w:pStyle w:val="Heading2"/>
      </w:pPr>
      <w:r>
        <w:t>1 El mal como marco de interpretación</w:t>
      </w:r>
    </w:p>
    <w:p>
      <w:pPr>
        <w:keepNext/>
      </w:pPr>
      <w:r>
        <w:rPr>
          <w:b/>
        </w:rPr>
        <w:t>El entrevistado sitúa la deshumanización en el centro de su crítica al poder.</w:t>
      </w:r>
    </w:p>
    <w:p>
      <w:r>
        <w:t>Ramírez explica el título de su libro mediante referencias bíblicas: la epístola a los Efesios y la tentación de Jesús, en la que se le ofrecen los reinos del mundo. Desde su fe, entiende que el mal puede actuar dentro de instituciones políticas y económicas. Esta es la premisa religiosa de su interpretación; no equivale a una demostración empírica sobre quién dirige esas instituciones.</w:t>
      </w:r>
    </w:p>
    <w:p>
      <w:r>
        <w:t>A continuación traslada esa preocupación al trato dado a las víctimas de las guerras. Considera que negar la humanidad del adversario facilita su eliminación y que el lenguaje de la seguridad puede encubrir decisiones moralmente inaceptables. Cita a Madeleine Albright y utiliza 1984 como referencia sobre la conservación de la humanidad. Las palabras atribuidas a Albright no incluyen aquí un localizador primario comprobado.</w:t>
      </w:r>
    </w:p>
    <w:p>
      <w:r>
        <w:t>Su argumento distingue dos amenazas: tratar a otros seres humanos como prescindibles y aspirar a fabricar una humanidad sometida a herramientas de control. La conexión entre ambas sirve de hilo para la entrevista. Para entenderlo conviene separar la valoración moral, los acontecimientos citados y las relaciones causales que propone. El lenguaje teológico expresa su posición como creyente.</w:t>
      </w:r>
    </w:p>
    <w:p>
      <w:pPr>
        <w:keepNext/>
      </w:pPr>
      <w:r>
        <w:t xml:space="preserve">Pasajes para consultar </w:t>
      </w:r>
      <w:hyperlink r:id="rId10">
        <w:r>
          <w:rPr>
            <w:color w:val="174D69"/>
            <w:u w:val="single"/>
          </w:rPr>
          <w:t>Referencias bíblicas y título del libro 01:39</w:t>
        </w:r>
      </w:hyperlink>
      <w:r>
        <w:t xml:space="preserve"> · </w:t>
      </w:r>
      <w:hyperlink r:id="rId23">
        <w:r>
          <w:rPr>
            <w:color w:val="174D69"/>
            <w:u w:val="single"/>
          </w:rPr>
          <w:t>Albright y valoración moral 04:33</w:t>
        </w:r>
      </w:hyperlink>
      <w:r>
        <w:t xml:space="preserve"> · </w:t>
      </w:r>
      <w:hyperlink r:id="rId24">
        <w:r>
          <w:rPr>
            <w:color w:val="174D69"/>
            <w:u w:val="single"/>
          </w:rPr>
          <w:t>Deshumanización del adversario 05:31</w:t>
        </w:r>
      </w:hyperlink>
    </w:p>
    <w:p>
      <w:r>
        <w:t>Pregunta de lectura: ¿Qué parte del argumento pertenece a una convicción religiosa y qué parte necesita evidencia documental?</w:t>
      </w:r>
    </w:p>
    <w:p>
      <w:pPr>
        <w:pStyle w:val="Heading2"/>
      </w:pPr>
      <w:r>
        <w:t>2 Emergencias y debilitamiento de los vínculos</w:t>
      </w:r>
    </w:p>
    <w:p>
      <w:pPr>
        <w:keepNext/>
      </w:pPr>
      <w:r>
        <w:rPr>
          <w:b/>
        </w:rPr>
        <w:t>Ramírez sostiene que el aislamiento social facilita la expansión del control.</w:t>
      </w:r>
    </w:p>
    <w:p>
      <w:r>
        <w:t>El entrevistador introduce un discurso de Juan Pablo II ante Naciones Unidas en 1995 sobre el miedo a la diferencia y la negación de la humanidad del otro. Ramírez lo conecta con su crítica a la manipulación de las sociedades. Afirma que la familia, los amigos y los vínculos próximos ofrecen protección frente a estructuras de poder; entiende que determinadas políticas de diversidad, migración o emergencia pueden debilitar esas raíces. La atribución de una intención coordinada de destrucción es su tesis, no un hecho acreditado por el discurso pontificio.</w:t>
      </w:r>
    </w:p>
    <w:p>
      <w:r>
        <w:t>Su modelo describe una secuencia: aparición o agravamiento de un problema, temor social, aceptación de una solución centralizada y reducción de ámbitos de libertad. Contrapone esa dinámica al orden espontáneo asociado a Hayek, es decir, a instituciones que se desarrollan mediante interacciones sociales sin una dirección única. La entrevista no identifica una prueba común que permita aplicar esa secuencia a todas las crisis mencionadas.</w:t>
      </w:r>
    </w:p>
    <w:p>
      <w:r>
        <w:t>En el plano institucional habla de plutocracia, un poder condicionado por la riqueza, y cuestiona la separación efectiva entre gobiernos y grandes empresas. Cita el nombramiento de ejecutivos tecnológicos como oficiales de la Reserva estadounidense. Ese nombramiento tiene respaldo documental, pero la noticia por sí sola no demuestra la desaparición de la democracia. También critica la independencia judicial, los procedimientos europeos y la prensa, y reclama revisar los déficits propios antes de juzgar otros países.</w:t>
      </w:r>
    </w:p>
    <w:p>
      <w:pPr>
        <w:keepNext/>
      </w:pPr>
      <w:r>
        <w:t xml:space="preserve">Pasajes para consultar </w:t>
      </w:r>
      <w:hyperlink r:id="rId11">
        <w:r>
          <w:rPr>
            <w:color w:val="174D69"/>
            <w:u w:val="single"/>
          </w:rPr>
          <w:t>Pregunta sobre Juan Pablo II y la diversidad 07:56</w:t>
        </w:r>
      </w:hyperlink>
      <w:r>
        <w:t xml:space="preserve"> · </w:t>
      </w:r>
      <w:hyperlink r:id="rId25">
        <w:r>
          <w:rPr>
            <w:color w:val="174D69"/>
            <w:u w:val="single"/>
          </w:rPr>
          <w:t>Familia y estructuras de control 11:41</w:t>
        </w:r>
      </w:hyperlink>
      <w:r>
        <w:t xml:space="preserve"> · </w:t>
      </w:r>
      <w:hyperlink r:id="rId26">
        <w:r>
          <w:rPr>
            <w:color w:val="174D69"/>
            <w:u w:val="single"/>
          </w:rPr>
          <w:t>Hayek y orden espontáneo 13:47</w:t>
        </w:r>
      </w:hyperlink>
      <w:r>
        <w:t xml:space="preserve"> · </w:t>
      </w:r>
      <w:hyperlink r:id="rId27">
        <w:r>
          <w:rPr>
            <w:color w:val="174D69"/>
            <w:u w:val="single"/>
          </w:rPr>
          <w:t>Ejecutivos tecnológicos y democracia 14:45</w:t>
        </w:r>
      </w:hyperlink>
    </w:p>
    <w:p>
      <w:r>
        <w:t>Pregunta de lectura: ¿Cómo distinguir una medida discutible de una prueba de intención deliberada de control?</w:t>
      </w:r>
    </w:p>
    <w:p>
      <w:pPr>
        <w:pStyle w:val="Heading2"/>
      </w:pPr>
      <w:r>
        <w:t>3 El enemigo y la guerra permanente</w:t>
      </w:r>
    </w:p>
    <w:p>
      <w:pPr>
        <w:keepNext/>
      </w:pPr>
      <w:r>
        <w:rPr>
          <w:b/>
        </w:rPr>
        <w:t>La emergencia bélica aparece en su relato como un mecanismo político y económico.</w:t>
      </w:r>
    </w:p>
    <w:p>
      <w:r>
        <w:t>Ramírez sostiene que las estructuras de poder necesitan adversarios que cohesionen a la población y desplacen la atención de problemas internos. Menciona a Kissinger, Brzezinski y el cambio de enemigos en 1984. Utiliza los casos de Saddam Hussein, Gadafi y el yihadismo para argumentar que las alianzas pueden transformarse cuando cambian los intereses. La variación de alianzas es el fenómeno que señala; la creación deliberada de cada enemigo constituye una afirmación adicional que exige documentación específica.</w:t>
      </w:r>
    </w:p>
    <w:p>
      <w:r>
        <w:t>Vincula la continuidad de las guerras con contratos militares, ayudas públicas, liquidez y capacidad de eludir límites económicos. En su explicación, las crisis permiten que empresas y gobiernos obtengan facultades que resultarían más difíciles de aceptar en un entorno de paz. Cuando afirma que la paz nunca es un objetivo, formula una generalización polémica sobre determinados actores; no ofrece en este pasaje una comparación sistemática de todos los gobiernos y conflictos.</w:t>
      </w:r>
    </w:p>
    <w:p>
      <w:r>
        <w:t>Para Oriente Medio cita la mediación china entre Irán y Arabia Saudí, informaciones de prensa israelí y la financiación de Hamás a través de Qatar. También alude a Siria y a operaciones encubiertas. No aporta en la transcripción las fechas, artículos o documentos suficientes para reconstruir cada acusación. La edición conserva sus conexiones argumentales, sin convertir coincidencias temporales ni referencias genéricas a la prensa en pruebas de una dirección común.</w:t>
      </w:r>
    </w:p>
    <w:p>
      <w:pPr>
        <w:keepNext/>
      </w:pPr>
      <w:r>
        <w:t xml:space="preserve">Pasajes para consultar </w:t>
      </w:r>
      <w:hyperlink r:id="rId28">
        <w:r>
          <w:rPr>
            <w:color w:val="174D69"/>
            <w:u w:val="single"/>
          </w:rPr>
          <w:t>Brzezinski y cambio de enemigos 17:56</w:t>
        </w:r>
      </w:hyperlink>
      <w:r>
        <w:t xml:space="preserve"> · </w:t>
      </w:r>
      <w:hyperlink r:id="rId29">
        <w:r>
          <w:rPr>
            <w:color w:val="174D69"/>
            <w:u w:val="single"/>
          </w:rPr>
          <w:t>Alianzas y estado de emergencia 19:22</w:t>
        </w:r>
      </w:hyperlink>
      <w:r>
        <w:t xml:space="preserve"> · </w:t>
      </w:r>
      <w:hyperlink r:id="rId30">
        <w:r>
          <w:rPr>
            <w:color w:val="174D69"/>
            <w:u w:val="single"/>
          </w:rPr>
          <w:t>Mediación china en Oriente Medio 21:00</w:t>
        </w:r>
      </w:hyperlink>
      <w:r>
        <w:t xml:space="preserve"> · </w:t>
      </w:r>
      <w:hyperlink r:id="rId31">
        <w:r>
          <w:rPr>
            <w:color w:val="174D69"/>
            <w:u w:val="single"/>
          </w:rPr>
          <w:t>Guerra y ventajas económicas 22:57</w:t>
        </w:r>
      </w:hyperlink>
    </w:p>
    <w:p>
      <w:r>
        <w:t>Pregunta de lectura: ¿Qué evidencia permitiría pasar de identificar beneficiarios de una guerra a demostrar que la promovieron?</w:t>
      </w:r>
    </w:p>
    <w:p>
      <w:pPr>
        <w:pStyle w:val="Heading2"/>
      </w:pPr>
      <w:r>
        <w:t>4 China Rusia y el reparto de influencia</w:t>
      </w:r>
    </w:p>
    <w:p>
      <w:pPr>
        <w:keepNext/>
      </w:pPr>
      <w:r>
        <w:rPr>
          <w:b/>
        </w:rPr>
        <w:t>Ramírez interpreta la tensión internacional como una transición de hegemonía.</w:t>
      </w:r>
    </w:p>
    <w:p>
      <w:r>
        <w:t>El entrevistado describe a Estados Unidos como una potencia que teme perder posiciones frente a China y acelera decisiones para preservar su influencia. Atribuye a China una estrategia paciente y orientada al comercio. Considera que errores occidentales pueden favorecerla y utiliza energía, renovables, financiación y BRICS como ejemplos. Son lecturas estratégicas y previsiones del hablante; no permiten dar por probada una intención uniforme de todas las instituciones de cada país.</w:t>
      </w:r>
    </w:p>
    <w:p>
      <w:r>
        <w:t>Su análisis de Rusia combina recursos, capacidad militar y dependencia de China. Recuerda el acercamiento de Nixon y Kissinger a Pekín y describe la asociación ruso-china como una relación con tensiones. Afirma que los dos países pueden complementarse y descarta el enfrentamiento entre ellos como escenario central. También anticipa posibles acuerdos energéticos entre empresas estadounidenses y Rusia. Esas posibilidades se presentan como escenarios de la entrevista, sin actualizarse automáticamente a hechos actuales.</w:t>
      </w:r>
    </w:p>
    <w:p>
      <w:r>
        <w:t>La interdependencia económica ocupa un lugar importante: Ramírez sostiene que Estados Unidos necesita suministros chinos y que China utiliza los dólares que obtiene de sus exportaciones. Por eso rechaza una desdolarización entendida como desaparición del dólar. En el terreno militar destaca inteligencia artificial, espacio y ciberataques, y menciona un reportaje de TIME sobre Palantir sin título ni fecha. Su comparación entre ejércitos utiliza criterios distintos y no incluye una base cuantitativa común.</w:t>
      </w:r>
    </w:p>
    <w:p>
      <w:pPr>
        <w:keepNext/>
      </w:pPr>
      <w:r>
        <w:t xml:space="preserve">Pasajes para consultar </w:t>
      </w:r>
      <w:hyperlink r:id="rId32">
        <w:r>
          <w:rPr>
            <w:color w:val="174D69"/>
            <w:u w:val="single"/>
          </w:rPr>
          <w:t>Su interpretación del pensamiento chino 26:05</w:t>
        </w:r>
      </w:hyperlink>
      <w:r>
        <w:t xml:space="preserve"> · </w:t>
      </w:r>
      <w:hyperlink r:id="rId33">
        <w:r>
          <w:rPr>
            <w:color w:val="174D69"/>
            <w:u w:val="single"/>
          </w:rPr>
          <w:t>Autonomía rusa frente a China 29:22</w:t>
        </w:r>
      </w:hyperlink>
      <w:r>
        <w:t xml:space="preserve"> · </w:t>
      </w:r>
      <w:hyperlink r:id="rId34">
        <w:r>
          <w:rPr>
            <w:color w:val="174D69"/>
            <w:u w:val="single"/>
          </w:rPr>
          <w:t>Dólar e interdependencia 31:08</w:t>
        </w:r>
      </w:hyperlink>
      <w:r>
        <w:t xml:space="preserve"> · </w:t>
      </w:r>
      <w:hyperlink r:id="rId35">
        <w:r>
          <w:rPr>
            <w:color w:val="174D69"/>
            <w:u w:val="single"/>
          </w:rPr>
          <w:t>Inteligencia artificial y guerra 34:15</w:t>
        </w:r>
      </w:hyperlink>
    </w:p>
    <w:p>
      <w:r>
        <w:t>Pregunta de lectura: ¿Qué cambia al separar capacidad militar convencional, tecnológica y económica?</w:t>
      </w:r>
    </w:p>
    <w:p>
      <w:pPr>
        <w:pStyle w:val="Heading2"/>
      </w:pPr>
      <w:r>
        <w:t>5 Redes de influencia y límites del control</w:t>
      </w:r>
    </w:p>
    <w:p>
      <w:pPr>
        <w:keepNext/>
      </w:pPr>
      <w:r>
        <w:rPr>
          <w:b/>
        </w:rPr>
        <w:t>La entrevista describe grupos que compiten y pactan, con capacidad de cometer errores.</w:t>
      </w:r>
    </w:p>
    <w:p>
      <w:r>
        <w:t>Al preguntar quién controla el mundo, Ramírez rechaza la imagen de una pequeña reunión que decide por completo el destino de la humanidad. Describe grupos financieros, políticos y tecnológicos con intereses parcialmente comunes y parcialmente rivales. Emplea la metáfora de una tela de araña: un objetivo puede compartirse, mientras cada actor trata de imponer el camino que le beneficia. Añade que la falta de conocimiento total y los obstáculos generan errores y cambios de rumbo.</w:t>
      </w:r>
    </w:p>
    <w:p>
      <w:r>
        <w:t>Dentro de esa interpretación menciona Open Society, Peter Thiel, Elon Musk, grupos de presión, Bilderberg y la Comisión Trilateral. Utiliza también figuras empresariales y políticas como Jared Kushner, Jamie Dimon y Larry Fink para ilustrar su preocupación por decisiones tomadas fuera del control electoral. Las conexiones, presiones y conductas concretas que atribuye a esas personas requieren evidencias individualizadas; un cargo empresarial o una relación profesional no demuestra por sí mismo subordinación ni corrupción.</w:t>
      </w:r>
    </w:p>
    <w:p>
      <w:r>
        <w:t>En el pasaje sobre gestoras afirma que BlackRock y Vanguard son principales accionistas recíprocos. La segunda parte contradice la estructura de propiedad descrita por Vanguard, que pertenece a sus fondos y, a través de ellos, a sus inversores. Conviene distinguir propiedad de una gestora, acciones administradas para clientes y derechos de voto. Finalmente, a las 45:27, reconoce que no dispone de pruebas suficientes para demostrar poderes situados por encima de los que describe: ese límite es esencial para leer su propia exposición.</w:t>
      </w:r>
    </w:p>
    <w:p>
      <w:pPr>
        <w:keepNext/>
      </w:pPr>
      <w:r>
        <w:t xml:space="preserve">Pasajes para consultar </w:t>
      </w:r>
      <w:hyperlink r:id="rId14">
        <w:r>
          <w:rPr>
            <w:color w:val="174D69"/>
            <w:u w:val="single"/>
          </w:rPr>
          <w:t>Rechazo de un control mundial único 36:31</w:t>
        </w:r>
      </w:hyperlink>
      <w:r>
        <w:t xml:space="preserve"> · </w:t>
      </w:r>
      <w:hyperlink r:id="rId36">
        <w:r>
          <w:rPr>
            <w:color w:val="174D69"/>
            <w:u w:val="single"/>
          </w:rPr>
          <w:t>Metáfora de la red y caminos rivales 38:27</w:t>
        </w:r>
      </w:hyperlink>
      <w:r>
        <w:t xml:space="preserve"> · </w:t>
      </w:r>
      <w:hyperlink r:id="rId37">
        <w:r>
          <w:rPr>
            <w:color w:val="174D69"/>
            <w:u w:val="single"/>
          </w:rPr>
          <w:t>Afirmación sobre BlackRock y Vanguard 44:45</w:t>
        </w:r>
      </w:hyperlink>
      <w:r>
        <w:t xml:space="preserve"> · </w:t>
      </w:r>
      <w:hyperlink r:id="rId38">
        <w:r>
          <w:rPr>
            <w:color w:val="174D69"/>
            <w:u w:val="single"/>
          </w:rPr>
          <w:t>Reconocimiento de falta de pruebas 45:27</w:t>
        </w:r>
      </w:hyperlink>
    </w:p>
    <w:p>
      <w:r>
        <w:t>Pregunta de lectura: ¿Una relación de propiedad, una participación administrada y una influencia política acreditan lo mismo?</w:t>
      </w:r>
    </w:p>
    <w:p>
      <w:pPr>
        <w:pStyle w:val="Heading2"/>
      </w:pPr>
      <w:r>
        <w:t>6 Israel grupos de presión y pluralidad interna</w:t>
      </w:r>
    </w:p>
    <w:p>
      <w:pPr>
        <w:keepNext/>
      </w:pPr>
      <w:r>
        <w:rPr>
          <w:b/>
        </w:rPr>
        <w:t>Ramírez diferencia pueblo judío gobierno israelí y movimientos sionistas.</w:t>
      </w:r>
    </w:p>
    <w:p>
      <w:r>
        <w:t>El entrevistado insiste en distinguir religión, población, Estado, gobierno y grupos de presión. Señala que existen judíos e israelíes contrarios a decisiones del gobierno de Netanyahu y recomienda consultar prensa israelí para conocer el debate interno. Esa distinción forma parte explícita de su intervención y debe conservarse: las acusaciones a organizaciones o dirigentes concretos no pueden trasladarse a una población ni a una religión.</w:t>
      </w:r>
    </w:p>
    <w:p>
      <w:r>
        <w:t>Sostiene que AIPAC ejerce una influencia decisiva en la política estadounidense. Remite a la información pública de la propia organización sobre apoyo electoral y cita La industria del Holocausto de Norman Finkelstein. La financiación y promoción de candidatos tienen respaldo en las comunicaciones de AIPAC; no prueban por sí solas que un gobierno extranjero dicte todas las decisiones de Estados Unidos. Las expresiones del entrevistado sobre secuestro de la política son su interpretación de esa influencia.</w:t>
      </w:r>
    </w:p>
    <w:p>
      <w:r>
        <w:t>También propone una lectura histórica del sionismo, la relación entre Estados Unidos e Israel y el giro político israelí. Sus explicaciones sobre los asesinatos de Kennedy y Rabin, las motivaciones de Netanyahu o determinados intereses financieros se conservan como alegaciones o conjeturas. No se establece aquí una responsabilidad penal ni una conexión causal entre esos episodios. Las comparaciones con el nazismo son valoraciones de la conversación, no categorías adoptadas por esta edición.</w:t>
      </w:r>
    </w:p>
    <w:p>
      <w:pPr>
        <w:keepNext/>
      </w:pPr>
      <w:r>
        <w:t xml:space="preserve">Pasajes para consultar </w:t>
      </w:r>
      <w:hyperlink r:id="rId15">
        <w:r>
          <w:rPr>
            <w:color w:val="174D69"/>
            <w:u w:val="single"/>
          </w:rPr>
          <w:t>Distinción entre población gobierno y movimientos 48:16</w:t>
        </w:r>
      </w:hyperlink>
      <w:r>
        <w:t xml:space="preserve"> · </w:t>
      </w:r>
      <w:hyperlink r:id="rId39">
        <w:r>
          <w:rPr>
            <w:color w:val="174D69"/>
            <w:u w:val="single"/>
          </w:rPr>
          <w:t>AIPAC y apoyo electoral 50:17</w:t>
        </w:r>
      </w:hyperlink>
      <w:r>
        <w:t xml:space="preserve"> · </w:t>
      </w:r>
      <w:hyperlink r:id="rId40">
        <w:r>
          <w:rPr>
            <w:color w:val="174D69"/>
            <w:u w:val="single"/>
          </w:rPr>
          <w:t>Finkelstein como referencia 51:16</w:t>
        </w:r>
      </w:hyperlink>
      <w:r>
        <w:t xml:space="preserve"> · </w:t>
      </w:r>
      <w:hyperlink r:id="rId41">
        <w:r>
          <w:rPr>
            <w:color w:val="174D69"/>
            <w:u w:val="single"/>
          </w:rPr>
          <w:t>Recomendación de prensa israelí 58:17</w:t>
        </w:r>
      </w:hyperlink>
    </w:p>
    <w:p>
      <w:r>
        <w:t>Pregunta de lectura: ¿A qué actor concreto se dirige cada afirmación y qué prueba respalda la influencia que se le atribuye?</w:t>
      </w:r>
    </w:p>
    <w:p>
      <w:pPr>
        <w:pStyle w:val="Heading2"/>
      </w:pPr>
      <w:r>
        <w:t>7 Profecías y alianzas políticas</w:t>
      </w:r>
    </w:p>
    <w:p>
      <w:pPr>
        <w:keepNext/>
      </w:pPr>
      <w:r>
        <w:rPr>
          <w:b/>
        </w:rPr>
        <w:t>El entrevistado incorpora motivaciones religiosas a su explicación geopolítica.</w:t>
      </w:r>
    </w:p>
    <w:p>
      <w:r>
        <w:t>Ramírez presenta la construcción del Tercer Templo como una aspiración de determinados movimientos religiosos y la relaciona con el lugar de las mezquitas en Jerusalén. Describe una convergencia entre sectores judíos y sionistas cristianos que pueden apoyar objetivos políticos semejantes mientras esperan desenlaces religiosos distintos. Menciona también expectativas mesiánicas musulmanas. La exposición no representa una creencia compartida por todos los miembros de esas religiones.</w:t>
      </w:r>
    </w:p>
    <w:p>
      <w:r>
        <w:t>Utiliza el término escatología, el estudio religioso de los acontecimientos finales, para explicar cómo ciertas convicciones pueden influir en decisiones humanas. Su advertencia es que evaluar a un dirigente únicamente por beneficios materiales puede resultar insuficiente si ese dirigente atribuye a sus actos una misión trascendente. Las imputaciones sobre motivaciones personales o planes militares concretos necesitarían declaraciones identificables y un contexto contrastado.</w:t>
      </w:r>
    </w:p>
    <w:p>
      <w:r>
        <w:t>Ante la pregunta por el peso del dinero, la ideología y la religión, propone una secuencia: primero atraer a quienes buscan beneficios; después utilizar esa base material para objetivos políticos, espirituales o de control. Se trata de su modelo interpretativo de una alianza entre intereses. No significa que toda inversión o colaboración religiosa implique ese recorrido, ni que los beneficios económicos acrediten una finalidad escatológica.</w:t>
      </w:r>
    </w:p>
    <w:p>
      <w:pPr>
        <w:keepNext/>
      </w:pPr>
      <w:r>
        <w:t xml:space="preserve">Pasajes para consultar </w:t>
      </w:r>
      <w:hyperlink r:id="rId16">
        <w:r>
          <w:rPr>
            <w:color w:val="174D69"/>
            <w:u w:val="single"/>
          </w:rPr>
          <w:t>Explicación del Tercer Templo 58:51</w:t>
        </w:r>
      </w:hyperlink>
      <w:r>
        <w:t xml:space="preserve"> · </w:t>
      </w:r>
      <w:hyperlink r:id="rId42">
        <w:r>
          <w:rPr>
            <w:color w:val="174D69"/>
            <w:u w:val="single"/>
          </w:rPr>
          <w:t>Alianzas con expectativas diferentes 59:54</w:t>
        </w:r>
      </w:hyperlink>
      <w:r>
        <w:t xml:space="preserve"> · </w:t>
      </w:r>
      <w:hyperlink r:id="rId43">
        <w:r>
          <w:rPr>
            <w:color w:val="174D69"/>
            <w:u w:val="single"/>
          </w:rPr>
          <w:t>Dinero ideología y religión 1:02:10</w:t>
        </w:r>
      </w:hyperlink>
    </w:p>
    <w:p>
      <w:r>
        <w:t>Pregunta de lectura: ¿Hay declaraciones que acrediten la motivación religiosa atribuida o se infiere a partir de la alianza política?</w:t>
      </w:r>
    </w:p>
    <w:p>
      <w:pPr>
        <w:pStyle w:val="Heading2"/>
      </w:pPr>
      <w:r>
        <w:t>8 Selección de dirigentes y mecanismos de presión</w:t>
      </w:r>
    </w:p>
    <w:p>
      <w:pPr>
        <w:keepNext/>
      </w:pPr>
      <w:r>
        <w:rPr>
          <w:b/>
        </w:rPr>
        <w:t>Ramírez concede autonomía parcial a los dirigentes y sitúa la presión en decisiones cruciales.</w:t>
      </w:r>
    </w:p>
    <w:p>
      <w:r>
        <w:t>En respuesta a ejemplos electorales, matiza que facilitar el ascenso de un político no implica que ese político obedezca siempre órdenes ajenas. Su hipótesis se centra en el momento en que una decisión relevante enfrenta al dirigente con intereses establecidos. Considera que podrían utilizarse amenazas, exposición de irregularidades o sustitución política para condicionarlo. Esta distinción evita reducir toda victoria electoral a una imposición externa.</w:t>
      </w:r>
    </w:p>
    <w:p>
      <w:r>
        <w:t>Cita Chile, Venezuela y El Salvador. Para este último propone la idea de un experimento tecnocrático en el que la administración electrónica y las empresas tecnológicas podrían desplazar funciones humanas. El propio entrevistado reconoce que desconoce si Bukele sería consciente del papel que le atribuye. Esa reserva debe acompañar la hipótesis: no puede transformarse en prueba de un plan ni de participación voluntaria.</w:t>
      </w:r>
    </w:p>
    <w:p>
      <w:r>
        <w:t>Al hablar de altos cargos y vulnerabilidades personales interpreta ciertos ascensos como posibles instrumentos de presión. La relación que plantea entre antecedentes judiciales y obediencia no queda demostrada con la existencia de un antecedente. La edición conserva el mecanismo que quiere explicar, sin deducir culpabilidad, chantaje probado o ausencia de autonomía en cada persona mencionada.</w:t>
      </w:r>
    </w:p>
    <w:p>
      <w:pPr>
        <w:keepNext/>
      </w:pPr>
      <w:r>
        <w:t xml:space="preserve">Pasajes para consultar </w:t>
      </w:r>
      <w:hyperlink r:id="rId44">
        <w:r>
          <w:rPr>
            <w:color w:val="174D69"/>
            <w:u w:val="single"/>
          </w:rPr>
          <w:t>Ascenso político y autonomía parcial 1:04:00</w:t>
        </w:r>
      </w:hyperlink>
      <w:r>
        <w:t xml:space="preserve"> · </w:t>
      </w:r>
      <w:hyperlink r:id="rId45">
        <w:r>
          <w:rPr>
            <w:color w:val="174D69"/>
            <w:u w:val="single"/>
          </w:rPr>
          <w:t>Hipótesis sobre El Salvador 1:05:46</w:t>
        </w:r>
      </w:hyperlink>
      <w:r>
        <w:t xml:space="preserve"> · </w:t>
      </w:r>
      <w:hyperlink r:id="rId46">
        <w:r>
          <w:rPr>
            <w:color w:val="174D69"/>
            <w:u w:val="single"/>
          </w:rPr>
          <w:t>Vulnerabilidades como instrumento de presión 1:08:17</w:t>
        </w:r>
      </w:hyperlink>
    </w:p>
    <w:p>
      <w:r>
        <w:t>Pregunta de lectura: ¿Qué hecho observable distinguiría una presión concreta de una interpretación general del poder?</w:t>
      </w:r>
    </w:p>
    <w:p>
      <w:pPr>
        <w:pStyle w:val="Heading2"/>
      </w:pPr>
      <w:r>
        <w:t>9 Epstein y la separación entre delitos y sospechas</w:t>
      </w:r>
    </w:p>
    <w:p>
      <w:pPr>
        <w:keepNext/>
      </w:pPr>
      <w:r>
        <w:rPr>
          <w:b/>
        </w:rPr>
        <w:t>Ramírez utiliza el caso Epstein para examinar redes de acceso y posibles chantajes.</w:t>
      </w:r>
    </w:p>
    <w:p>
      <w:r>
        <w:t>Ramírez describe a Epstein como un intermediario financiero y agente de inteligencia y lo vincula con redes de abuso y chantaje. Las relaciones de inteligencia, los móviles ocultos y las acusaciones particulares que menciona no quedan probados por la entrevista. El proceso contra Ghislaine Maxwell sí ofrece un hecho judicial delimitado: fue condenada en 2022 por su participación en delitos asociados a Epstein. Esa condena contradice una lectura literal de la frase de las 1:13:38 según la cual no se ha procesado a nadie en Estados Unidos.</w:t>
      </w:r>
    </w:p>
    <w:p>
      <w:r>
        <w:t>El entrevistado plantea que las filtraciones masivas pueden mezclar datos reales, falsos y plausibles para dispersar la atención. Llama a esa estrategia inundar la zona. A las 1:12:25 reconoce que las insinuaciones sobre sacrificios no aparecen claramente probadas en los documentos que comenta. Las alusiones a rituales, homicidios o abusos de personas adicionales quedan como alegaciones sin acreditación en este cuaderno; no se deducen de una agenda, un correo o una asociación personal.</w:t>
      </w:r>
    </w:p>
    <w:p>
      <w:r>
        <w:t>Una distinción útil de su propia exposición es que aparecer en una lista no equivale a haber participado en los mismos hechos. A las 1:17:20 explica que el llamado libro negro es una agenda con relaciones de naturaleza diferente. Las responsabilidades de cada persona exigirían identificar documento, conducta, conocimiento y prueba. Su demanda de investigación puede exponerse sin presentar las sospechas de la entrevista como condenas.</w:t>
      </w:r>
    </w:p>
    <w:p>
      <w:pPr>
        <w:keepNext/>
      </w:pPr>
      <w:r>
        <w:t xml:space="preserve">Pasajes para consultar </w:t>
      </w:r>
      <w:hyperlink r:id="rId47">
        <w:r>
          <w:rPr>
            <w:color w:val="174D69"/>
            <w:u w:val="single"/>
          </w:rPr>
          <w:t>Alegación sobre vínculos de inteligencia 1:08:57</w:t>
        </w:r>
      </w:hyperlink>
      <w:r>
        <w:t xml:space="preserve"> · </w:t>
      </w:r>
      <w:hyperlink r:id="rId48">
        <w:r>
          <w:rPr>
            <w:color w:val="174D69"/>
            <w:u w:val="single"/>
          </w:rPr>
          <w:t>Límite reconocido sobre sacrificios e inundación informativa 1:12:25</w:t>
        </w:r>
      </w:hyperlink>
      <w:r>
        <w:t xml:space="preserve"> · </w:t>
      </w:r>
      <w:hyperlink r:id="rId49">
        <w:r>
          <w:rPr>
            <w:color w:val="174D69"/>
            <w:u w:val="single"/>
          </w:rPr>
          <w:t>Frase sobre ausencia de procesos 1:13:38</w:t>
        </w:r>
      </w:hyperlink>
      <w:r>
        <w:t xml:space="preserve"> · </w:t>
      </w:r>
      <w:hyperlink r:id="rId50">
        <w:r>
          <w:rPr>
            <w:color w:val="174D69"/>
            <w:u w:val="single"/>
          </w:rPr>
          <w:t>Agenda y diferentes grados de relación 1:17:20</w:t>
        </w:r>
      </w:hyperlink>
    </w:p>
    <w:p>
      <w:r>
        <w:t>Pregunta de lectura: ¿Se está citando un documento una acusación una condena o una mera mención de un nombre?</w:t>
      </w:r>
    </w:p>
    <w:p>
      <w:pPr>
        <w:pStyle w:val="Heading2"/>
      </w:pPr>
      <w:r>
        <w:t>10 Transhumanismo y autonomía personal</w:t>
      </w:r>
    </w:p>
    <w:p>
      <w:pPr>
        <w:keepNext/>
      </w:pPr>
      <w:r>
        <w:rPr>
          <w:b/>
        </w:rPr>
        <w:t>Su crítica tecnológica pregunta quién puede intervenir en la voluntad humana.</w:t>
      </w:r>
    </w:p>
    <w:p>
      <w:r>
        <w:t>El transhumanismo busca ampliar capacidades humanas mediante tecnología. Ramírez lo interpreta desde su preocupación por la suplantación del creador y la concentración de poder. Cita Homo Deus y Sapiens de Yuval Noah Harari, las ideas de singularidad difundidas por Ray Kurzweil y el punto Omega asociado a Teilhard de Chardin. Esas referencias pertenecen a marcos diferentes; su reunión en una misma agenda es una lectura del entrevistado, no una equivalencia demostrada entre autores.</w:t>
      </w:r>
    </w:p>
    <w:p>
      <w:r>
        <w:t>Describe la singularidad como un horizonte en que la inteligencia artificial superaría capacidades humanas y menciona la transferencia de cerebros a la nube. Tales escenarios son especulativos. La existencia de literatura sobre ellos no acredita su realización ni la existencia de una iglesia organizada con las funciones que atribuye. El sitio de Harari presenta Homo Deus como una exploración de posibilidades futuras, lo que permite localizar la obra pero no confirmar todas las conclusiones religiosas que Ramírez extrae de ella.</w:t>
      </w:r>
    </w:p>
    <w:p>
      <w:r>
        <w:t>Sobre Neuralink distingue aplicaciones de asistencia y riesgos de influencia sobre el pensamiento. El estudio PRIME describe un objetivo concreto: evaluar seguridad y funcionalidad inicial de una interfaz para que personas con parálisis controlen dispositivos. Ese objetivo no demuestra la capacidad de imponer felicidad o manipular la voluntad. La pregunta ética por consentimiento, dependencia y autonomía sigue siendo comprensible, pero debe separarse de una función tecnológica acreditada.</w:t>
      </w:r>
    </w:p>
    <w:p>
      <w:pPr>
        <w:keepNext/>
      </w:pPr>
      <w:r>
        <w:t xml:space="preserve">Pasajes para consultar </w:t>
      </w:r>
      <w:hyperlink r:id="rId19">
        <w:r>
          <w:rPr>
            <w:color w:val="174D69"/>
            <w:u w:val="single"/>
          </w:rPr>
          <w:t>Transhumanismo y nueva humanidad 1:20:33</w:t>
        </w:r>
      </w:hyperlink>
      <w:r>
        <w:t xml:space="preserve"> · </w:t>
      </w:r>
      <w:hyperlink r:id="rId51">
        <w:r>
          <w:rPr>
            <w:color w:val="174D69"/>
            <w:u w:val="single"/>
          </w:rPr>
          <w:t>Singularidad y transferencia a la nube 1:21:26</w:t>
        </w:r>
      </w:hyperlink>
      <w:r>
        <w:t xml:space="preserve"> · </w:t>
      </w:r>
      <w:hyperlink r:id="rId52">
        <w:r>
          <w:rPr>
            <w:color w:val="174D69"/>
            <w:u w:val="single"/>
          </w:rPr>
          <w:t>Neuralink y autonomía 1:23:29</w:t>
        </w:r>
      </w:hyperlink>
    </w:p>
    <w:p>
      <w:r>
        <w:t>Pregunta de lectura: ¿Se describe una capacidad disponible un ensayo clínico una aspiración tecnológica o un temor ético?</w:t>
      </w:r>
    </w:p>
    <w:p>
      <w:pPr>
        <w:pStyle w:val="Heading2"/>
      </w:pPr>
      <w:r>
        <w:t>11 Identidad digital dinero y dependencia</w:t>
      </w:r>
    </w:p>
    <w:p>
      <w:pPr>
        <w:keepNext/>
      </w:pPr>
      <w:r>
        <w:rPr>
          <w:b/>
        </w:rPr>
        <w:t>Ramírez teme que la digitalización amplíe el seguimiento y condicione el acceso a recursos.</w:t>
      </w:r>
    </w:p>
    <w:p>
      <w:r>
        <w:t>Su argumento conecta identificación digital, códigos QR y registro de relaciones económicas. Menciona sistemas de acceso a bienes durante emergencias y atribuye a China mecanismos de control sobre compras y calorías. La transcripción no aporta el programa concreto, la norma ni la población afectada que permitan verificar esa descripción. También menciona iniciativas filantrópicas sin un localizador suficiente para comprobar la intención de control que les atribuye.</w:t>
      </w:r>
    </w:p>
    <w:p>
      <w:r>
        <w:t>En el ámbito monetario relaciona las divisas digitales de bancos centrales con el riesgo de pérdida de libertad y defiende conservar el efectivo. La documentación del BCE consultada describe el euro digital como complemento del efectivo y afirma que no sería dinero programable para restringir compras a fines predefinidos. Esta diferencia no elimina el debate sobre privacidad; sí obliga a distinguir un riesgo planteado por Ramírez del diseño que comunica la institución.</w:t>
      </w:r>
    </w:p>
    <w:p>
      <w:r>
        <w:t>Finalmente asocia deuda, pérdida de poder adquisitivo, emergencia constante y renta básica universal. En su interpretación, el deterioro de la clase media puede aumentar la dependencia de una asignación superior. La renta básica aparece como un posible mecanismo de subordinación dentro de su modelo, sin comparación de diseños concretos. Digitalizar un servicio, condicionar una ayuda y vigilar una conducta son funciones distintas que habría que examinar por separado.</w:t>
      </w:r>
    </w:p>
    <w:p>
      <w:pPr>
        <w:keepNext/>
      </w:pPr>
      <w:r>
        <w:t xml:space="preserve">Pasajes para consultar </w:t>
      </w:r>
      <w:hyperlink r:id="rId20">
        <w:r>
          <w:rPr>
            <w:color w:val="174D69"/>
            <w:u w:val="single"/>
          </w:rPr>
          <w:t>Identidad digital y registro de relaciones 1:24:23</w:t>
        </w:r>
      </w:hyperlink>
      <w:r>
        <w:t xml:space="preserve"> · </w:t>
      </w:r>
      <w:hyperlink r:id="rId53">
        <w:r>
          <w:rPr>
            <w:color w:val="174D69"/>
            <w:u w:val="single"/>
          </w:rPr>
          <w:t>Afirmación sobre compras en China 1:25:55</w:t>
        </w:r>
      </w:hyperlink>
      <w:r>
        <w:t xml:space="preserve"> · </w:t>
      </w:r>
      <w:hyperlink r:id="rId54">
        <w:r>
          <w:rPr>
            <w:color w:val="174D69"/>
            <w:u w:val="single"/>
          </w:rPr>
          <w:t>Efectivo y euro digital 1:26:09</w:t>
        </w:r>
      </w:hyperlink>
      <w:r>
        <w:t xml:space="preserve"> · </w:t>
      </w:r>
      <w:hyperlink r:id="rId55">
        <w:r>
          <w:rPr>
            <w:color w:val="174D69"/>
            <w:u w:val="single"/>
          </w:rPr>
          <w:t>Renta básica y dependencia 1:28:13</w:t>
        </w:r>
      </w:hyperlink>
    </w:p>
    <w:p>
      <w:r>
        <w:t>Pregunta de lectura: ¿Qué datos se registran quién puede utilizarlos y qué restricciones permite realmente el sistema?</w:t>
      </w:r>
    </w:p>
    <w:p>
      <w:pPr>
        <w:pStyle w:val="Heading2"/>
      </w:pPr>
      <w:r>
        <w:t>12 Pensamiento crítico comunidad y cambio gradual</w:t>
      </w:r>
    </w:p>
    <w:p>
      <w:pPr>
        <w:keepNext/>
      </w:pPr>
      <w:r>
        <w:rPr>
          <w:b/>
        </w:rPr>
        <w:t>Su propuesta comienza por recuperar criterio propio y actuar en el entorno cercano.</w:t>
      </w:r>
    </w:p>
    <w:p>
      <w:r>
        <w:t>Ramírez considera que la libertad de acción requiere libertad de pensamiento. Propone reconocer las propias dependencias intelectuales, buscar información, leer, aceptar la posibilidad de equivocarse y reducir la autocensura. Recomienda atender también a la intuición; editorialmente conviene distinguirla de una prueba: puede orientar una pregunta, pero no resolver por sí sola una acusación o una relación causal.</w:t>
      </w:r>
    </w:p>
    <w:p>
      <w:r>
        <w:t>Sitúa el cambio en gestos cotidianos y vínculos de proximidad. Afirma que las transformaciones duraderas necesitan tiempo, cimientos y una masa social capaz de sostener reformas. Discute la tentación de retirarse por completo de la sociedad mediante la figura del emboscado y la referencia del entrevistador a La opción benedictina. Su posición es que el retiro puede aportar perspectiva, pero también abandonar responsabilidades colectivas.</w:t>
      </w:r>
    </w:p>
    <w:p>
      <w:r>
        <w:t>Rechaza expresamente la violencia como vía para recuperar poder: considera que ofrecería una justificación para imponer más coerción. Utiliza la ventana de Overton, el conjunto de ideas que una sociedad considera aceptables en un momento, para proponer una transformación previa del debate y de los criterios morales. La secuencia pensamiento, vínculos, apoyo social y reformas es su respuesta a los problemas que ha descrito.</w:t>
      </w:r>
    </w:p>
    <w:p>
      <w:pPr>
        <w:keepNext/>
      </w:pPr>
      <w:r>
        <w:t xml:space="preserve">Pasajes para consultar </w:t>
      </w:r>
      <w:hyperlink r:id="rId56">
        <w:r>
          <w:rPr>
            <w:color w:val="174D69"/>
            <w:u w:val="single"/>
          </w:rPr>
          <w:t>Libertad de pensamiento y criterio propio 1:29:06</w:t>
        </w:r>
      </w:hyperlink>
      <w:r>
        <w:t xml:space="preserve"> · </w:t>
      </w:r>
      <w:hyperlink r:id="rId57">
        <w:r>
          <w:rPr>
            <w:color w:val="174D69"/>
            <w:u w:val="single"/>
          </w:rPr>
          <w:t>Cambios en el entorno cercano 1:30:55</w:t>
        </w:r>
      </w:hyperlink>
      <w:r>
        <w:t xml:space="preserve"> · </w:t>
      </w:r>
      <w:hyperlink r:id="rId58">
        <w:r>
          <w:rPr>
            <w:color w:val="174D69"/>
            <w:u w:val="single"/>
          </w:rPr>
          <w:t>Retiro y responsabilidad 1:32:27</w:t>
        </w:r>
      </w:hyperlink>
      <w:r>
        <w:t xml:space="preserve"> · </w:t>
      </w:r>
      <w:hyperlink r:id="rId59">
        <w:r>
          <w:rPr>
            <w:color w:val="174D69"/>
            <w:u w:val="single"/>
          </w:rPr>
          <w:t>Rechazo de la violencia y cambio cultural 1:34:23</w:t>
        </w:r>
      </w:hyperlink>
    </w:p>
    <w:p>
      <w:r>
        <w:t>Pregunta de lectura: ¿Cómo se puede practicar pensamiento crítico también respecto de las fuentes que confirman nuestras sospechas?</w:t>
      </w:r>
    </w:p>
    <w:p>
      <w:pPr>
        <w:pStyle w:val="Heading2"/>
      </w:pPr>
      <w:r>
        <w:t>13 Humanidad libre albedrío y esperanza</w:t>
      </w:r>
    </w:p>
    <w:p>
      <w:pPr>
        <w:keepNext/>
      </w:pPr>
      <w:r>
        <w:rPr>
          <w:b/>
        </w:rPr>
        <w:t>La tecnología asistiva no elimina por sí sola la humanidad según el entrevistado.</w:t>
      </w:r>
    </w:p>
    <w:p>
      <w:r>
        <w:t>El entrevistador plantea la paradoja del barco de Teseo para preguntar por la identidad humana al reemplazar partes del cuerpo. Ramírez responde que un órgano artificial o un implante que ayude a ver no convierte a una persona en menos humana. El problema, en su interpretación, aparece cuando una herramienta externa somete su voluntad. Como creyente vincula la humanidad al alma y, en el plano de la conducta, al libre albedrío.</w:t>
      </w:r>
    </w:p>
    <w:p>
      <w:r>
        <w:t>Recupera 1984 como metáfora de la pérdida de criterio y de la aceptación forzada de una realidad impuesta. La transcripción le atribuye también una caracterización política de Orwell que necesita corrección: Orwell expresó su compromiso con el socialismo democrático en Why I Write. Esa precisión bibliográfica no impide comprender la función que la novela desempeña en su reflexión sobre el pensamiento independiente.</w:t>
      </w:r>
    </w:p>
    <w:p>
      <w:r>
        <w:t>Su esperanza final se apoya en la posibilidad de publicar su libro, conversar públicamente y encontrar lectores interesados en preguntas antes poco discutidas. Al mismo tiempo teme futuras restricciones y advierte sobre movimientos de despertar que puedan generar nuevas adhesiones acríticas. Su cierre reclama responsabilidad y defensa sostenida de la libertad. La predicción de que quizá no pueda publicar dentro de unos años es una expectativa personal, no un hecho consumado.</w:t>
      </w:r>
    </w:p>
    <w:p>
      <w:pPr>
        <w:keepNext/>
      </w:pPr>
      <w:r>
        <w:t xml:space="preserve">Pasajes para consultar </w:t>
      </w:r>
      <w:hyperlink r:id="rId60">
        <w:r>
          <w:rPr>
            <w:color w:val="174D69"/>
            <w:u w:val="single"/>
          </w:rPr>
          <w:t>Cuerpo y continuidad de la identidad 1:35:35</w:t>
        </w:r>
      </w:hyperlink>
      <w:r>
        <w:t xml:space="preserve"> · </w:t>
      </w:r>
      <w:hyperlink r:id="rId61">
        <w:r>
          <w:rPr>
            <w:color w:val="174D69"/>
            <w:u w:val="single"/>
          </w:rPr>
          <w:t>Implantes y voluntad 1:36:26</w:t>
        </w:r>
      </w:hyperlink>
      <w:r>
        <w:t xml:space="preserve"> · </w:t>
      </w:r>
      <w:hyperlink r:id="rId62">
        <w:r>
          <w:rPr>
            <w:color w:val="174D69"/>
            <w:u w:val="single"/>
          </w:rPr>
          <w:t>Orwell y libertad de pensamiento 1:38:15</w:t>
        </w:r>
      </w:hyperlink>
      <w:r>
        <w:t xml:space="preserve"> · </w:t>
      </w:r>
      <w:hyperlink r:id="rId63">
        <w:r>
          <w:rPr>
            <w:color w:val="174D69"/>
            <w:u w:val="single"/>
          </w:rPr>
          <w:t>Motivos de esperanza 1:39:46</w:t>
        </w:r>
      </w:hyperlink>
      <w:r>
        <w:t xml:space="preserve"> · </w:t>
      </w:r>
      <w:hyperlink r:id="rId64">
        <w:r>
          <w:rPr>
            <w:color w:val="174D69"/>
            <w:u w:val="single"/>
          </w:rPr>
          <w:t>Temor a restricciones futuras 1:41:08</w:t>
        </w:r>
      </w:hyperlink>
    </w:p>
    <w:p>
      <w:r>
        <w:t>Pregunta de lectura: ¿Puede conservarse la preocupación por la autonomía sin convertir una previsión de control en una certeza?</w:t>
      </w:r>
    </w:p>
    <w:p>
      <w:pPr>
        <w:pStyle w:val="Heading1"/>
      </w:pPr>
      <w:r>
        <w:t>Citas breves y contexto</w:t>
      </w:r>
    </w:p>
    <w:p>
      <w:r>
        <w:rPr>
          <w:i/>
        </w:rPr>
        <w:t>«Realmente nadie.»</w:t>
      </w:r>
      <w:r>
        <w:t xml:space="preserve"> Respuesta a la pregunta sobre quién controla el mundo; el resto del pasaje explica estructuras rivales. </w:t>
      </w:r>
      <w:hyperlink r:id="rId14">
        <w:r>
          <w:rPr>
            <w:color w:val="174D69"/>
            <w:u w:val="single"/>
          </w:rPr>
          <w:t>36:31</w:t>
        </w:r>
      </w:hyperlink>
    </w:p>
    <w:p>
      <w:r>
        <w:rPr>
          <w:i/>
        </w:rPr>
        <w:t>«como no tengo suficientes pruebas para poder demostrarlo»</w:t>
      </w:r>
      <w:r>
        <w:t xml:space="preserve"> Reserva del propio entrevistado sobre poderes por encima de los descritos. </w:t>
      </w:r>
      <w:hyperlink r:id="rId38">
        <w:r>
          <w:rPr>
            <w:color w:val="174D69"/>
            <w:u w:val="single"/>
          </w:rPr>
          <w:t>45:27</w:t>
        </w:r>
      </w:hyperlink>
    </w:p>
    <w:p>
      <w:r>
        <w:rPr>
          <w:i/>
        </w:rPr>
        <w:t>«No puede existir libertad de acción sin libertad de pensamiento.»</w:t>
      </w:r>
      <w:r>
        <w:t xml:space="preserve"> Eje de su propuesta de responsabilidad personal. </w:t>
      </w:r>
      <w:hyperlink r:id="rId56">
        <w:r>
          <w:rPr>
            <w:color w:val="174D69"/>
            <w:u w:val="single"/>
          </w:rPr>
          <w:t>1:29:06</w:t>
        </w:r>
      </w:hyperlink>
    </w:p>
    <w:p>
      <w:r>
        <w:rPr>
          <w:i/>
        </w:rPr>
        <w:t>«Ese es el gran error.»</w:t>
      </w:r>
      <w:r>
        <w:t xml:space="preserve"> Rechazo de la vía violenta en el contexto inmediatamente anterior. </w:t>
      </w:r>
      <w:hyperlink r:id="rId59">
        <w:r>
          <w:rPr>
            <w:color w:val="174D69"/>
            <w:u w:val="single"/>
          </w:rPr>
          <w:t>1:34:23</w:t>
        </w:r>
      </w:hyperlink>
    </w:p>
    <w:p>
      <w:pPr>
        <w:pStyle w:val="Heading1"/>
      </w:pPr>
      <w:r>
        <w:t>Contraste selectivo de afirmaciones</w:t>
      </w:r>
    </w:p>
    <w:p>
      <w:pPr>
        <w:pStyle w:val="Heading2"/>
      </w:pPr>
      <w:r>
        <w:t>Cuatro ejecutivos como oficiales</w:t>
      </w:r>
    </w:p>
    <w:p>
      <w:r>
        <w:t>Hecho delimitado. El Ejército estadounidense anunció el Detachment 201 y el ingreso de cuatro ejecutivos como tenientes coroneles de la Reserva en junio de 2025. Confirma el vínculo institucional citado; no acredita por sí solo captura total del gobierno. La expresión últimas horas no debe trasladarse al 8 de octubre de 2026.</w:t>
      </w:r>
    </w:p>
    <w:p>
      <w:hyperlink r:id="rId27">
        <w:r>
          <w:rPr>
            <w:color w:val="174D69"/>
            <w:u w:val="single"/>
          </w:rPr>
          <w:t>Pasaje 14:45</w:t>
        </w:r>
      </w:hyperlink>
      <w:r>
        <w:t xml:space="preserve"> · </w:t>
      </w:r>
      <w:hyperlink r:id="rId65">
        <w:r>
          <w:rPr>
            <w:color w:val="174D69"/>
            <w:u w:val="single"/>
          </w:rPr>
          <w:t>US Army y Detachment 201</w:t>
        </w:r>
      </w:hyperlink>
    </w:p>
    <w:p>
      <w:pPr>
        <w:pStyle w:val="Heading2"/>
      </w:pPr>
      <w:r>
        <w:t>Propiedad de Vanguard</w:t>
      </w:r>
    </w:p>
    <w:p>
      <w:r>
        <w:t>Corrección. Vanguard declara que pertenece a sus fondos y que estos pertenecen a sus inversores. La afirmación de que BlackRock es su principal accionista no describe esa estructura. Participaciones administradas y propiedad corporativa deben distinguirse.</w:t>
      </w:r>
    </w:p>
    <w:p>
      <w:hyperlink r:id="rId37">
        <w:r>
          <w:rPr>
            <w:color w:val="174D69"/>
            <w:u w:val="single"/>
          </w:rPr>
          <w:t>Pasaje 44:45</w:t>
        </w:r>
      </w:hyperlink>
      <w:r>
        <w:t xml:space="preserve"> · </w:t>
      </w:r>
      <w:hyperlink r:id="rId66">
        <w:r>
          <w:rPr>
            <w:color w:val="174D69"/>
            <w:u w:val="single"/>
          </w:rPr>
          <w:t>Vanguard y su estructura de propiedad</w:t>
        </w:r>
      </w:hyperlink>
    </w:p>
    <w:p>
      <w:pPr>
        <w:pStyle w:val="Heading2"/>
      </w:pPr>
      <w:r>
        <w:t>Apoyo electoral de AIPAC</w:t>
      </w:r>
    </w:p>
    <w:p>
      <w:r>
        <w:t>Hecho y alcance. AIPAC publica su apoyo a candidatos de ambos partidos y su actividad de financiación. Esto documenta influencia electoral, no que cada congresista esté a sueldo ni que todas las decisiones respondan a un mandato extranjero.</w:t>
      </w:r>
    </w:p>
    <w:p>
      <w:hyperlink r:id="rId39">
        <w:r>
          <w:rPr>
            <w:color w:val="174D69"/>
            <w:u w:val="single"/>
          </w:rPr>
          <w:t>Pasaje 50:17</w:t>
        </w:r>
      </w:hyperlink>
      <w:r>
        <w:t xml:space="preserve"> · </w:t>
      </w:r>
      <w:hyperlink r:id="rId67">
        <w:r>
          <w:rPr>
            <w:color w:val="174D69"/>
            <w:u w:val="single"/>
          </w:rPr>
          <w:t>AIPAC y su actividad política</w:t>
        </w:r>
      </w:hyperlink>
    </w:p>
    <w:p>
      <w:pPr>
        <w:pStyle w:val="Heading2"/>
      </w:pPr>
      <w:r>
        <w:t>Procesos asociados a Epstein</w:t>
      </w:r>
    </w:p>
    <w:p>
      <w:r>
        <w:t>Corrección. Ghislaine Maxwell fue condenada a veinte años de prisión en junio de 2022 por delitos asociados a Epstein. Por tanto, no es correcta una lectura literal de no se ha procesado a nadie. Esta condena no demuestra las restantes alegaciones de inteligencia o rituales.</w:t>
      </w:r>
    </w:p>
    <w:p>
      <w:hyperlink r:id="rId49">
        <w:r>
          <w:rPr>
            <w:color w:val="174D69"/>
            <w:u w:val="single"/>
          </w:rPr>
          <w:t>Pasaje 1:13:38</w:t>
        </w:r>
      </w:hyperlink>
      <w:r>
        <w:t xml:space="preserve"> · </w:t>
      </w:r>
      <w:hyperlink r:id="rId68">
        <w:r>
          <w:rPr>
            <w:color w:val="174D69"/>
            <w:u w:val="single"/>
          </w:rPr>
          <w:t>Condena de Ghislaine Maxwell</w:t>
        </w:r>
      </w:hyperlink>
    </w:p>
    <w:p>
      <w:pPr>
        <w:pStyle w:val="Heading2"/>
      </w:pPr>
      <w:r>
        <w:t>Alcance de Neuralink</w:t>
      </w:r>
    </w:p>
    <w:p>
      <w:r>
        <w:t>Función delimitada. PRIME investiga seguridad y control de dispositivos mediante una interfaz cerebral en personas con parálisis. La documentación consultada no acredita imposición de felicidad ni control externo de la voluntad.</w:t>
      </w:r>
    </w:p>
    <w:p>
      <w:hyperlink r:id="rId52">
        <w:r>
          <w:rPr>
            <w:color w:val="174D69"/>
            <w:u w:val="single"/>
          </w:rPr>
          <w:t>Pasaje 1:23:29</w:t>
        </w:r>
      </w:hyperlink>
      <w:r>
        <w:t xml:space="preserve"> · </w:t>
      </w:r>
      <w:hyperlink r:id="rId69">
        <w:r>
          <w:rPr>
            <w:color w:val="174D69"/>
            <w:u w:val="single"/>
          </w:rPr>
          <w:t>Neuralink y los objetivos de PRIME</w:t>
        </w:r>
      </w:hyperlink>
    </w:p>
    <w:p>
      <w:pPr>
        <w:pStyle w:val="Heading2"/>
      </w:pPr>
      <w:r>
        <w:t>Euro digital y efectivo</w:t>
      </w:r>
    </w:p>
    <w:p>
      <w:r>
        <w:t>Diseño declarado. El BCE describe un complemento al efectivo y rechaza el dinero programable para restringir usos predefinidos. La preocupación por vigilancia es una hipótesis que requiere examinar garantías y funcionamiento concreto.</w:t>
      </w:r>
    </w:p>
    <w:p>
      <w:hyperlink r:id="rId54">
        <w:r>
          <w:rPr>
            <w:color w:val="174D69"/>
            <w:u w:val="single"/>
          </w:rPr>
          <w:t>Pasaje 1:26:09</w:t>
        </w:r>
      </w:hyperlink>
      <w:r>
        <w:t xml:space="preserve"> · </w:t>
      </w:r>
      <w:hyperlink r:id="rId70">
        <w:r>
          <w:rPr>
            <w:color w:val="174D69"/>
            <w:u w:val="single"/>
          </w:rPr>
          <w:t>BCE y preguntas sobre el euro digital</w:t>
        </w:r>
      </w:hyperlink>
    </w:p>
    <w:p>
      <w:pPr>
        <w:pStyle w:val="Heading2"/>
      </w:pPr>
      <w:r>
        <w:t>Autoría de la película de las gafas</w:t>
      </w:r>
    </w:p>
    <w:p>
      <w:r>
        <w:t>Identificación probable. La escena descrita encaja con They Live de John Carpenter, no con David Cronenberg. Se indica como identificación probable por la descripción, sin cotejo audiovisual de ese pasaje.</w:t>
      </w:r>
    </w:p>
    <w:p>
      <w:hyperlink r:id="rId71">
        <w:r>
          <w:rPr>
            <w:color w:val="174D69"/>
            <w:u w:val="single"/>
          </w:rPr>
          <w:t>Pasaje 1:30:14</w:t>
        </w:r>
      </w:hyperlink>
      <w:r>
        <w:t xml:space="preserve"> · </w:t>
      </w:r>
      <w:hyperlink r:id="rId72">
        <w:r>
          <w:rPr>
            <w:color w:val="174D69"/>
            <w:u w:val="single"/>
          </w:rPr>
          <w:t>BFI y They Live</w:t>
        </w:r>
      </w:hyperlink>
    </w:p>
    <w:p>
      <w:pPr>
        <w:pStyle w:val="Heading2"/>
      </w:pPr>
      <w:r>
        <w:t>Posición política de Orwell</w:t>
      </w:r>
    </w:p>
    <w:p>
      <w:r>
        <w:t>Corrección bibliográfica. En Why I Write Orwell expresa su compromiso con el socialismo democrático. La caracterización que aparece en la transcripción necesita este matiz; su uso literario como crítica del totalitarismo sigue siendo identificable.</w:t>
      </w:r>
    </w:p>
    <w:p>
      <w:hyperlink r:id="rId62">
        <w:r>
          <w:rPr>
            <w:color w:val="174D69"/>
            <w:u w:val="single"/>
          </w:rPr>
          <w:t>Pasaje 1:38:15</w:t>
        </w:r>
      </w:hyperlink>
      <w:r>
        <w:t xml:space="preserve"> · </w:t>
      </w:r>
      <w:hyperlink r:id="rId73">
        <w:r>
          <w:rPr>
            <w:color w:val="174D69"/>
            <w:u w:val="single"/>
          </w:rPr>
          <w:t>George Orwell y Why I Write</w:t>
        </w:r>
      </w:hyperlink>
    </w:p>
    <w:p>
      <w:pPr>
        <w:pStyle w:val="Heading1"/>
      </w:pPr>
      <w:r>
        <w:t>Fuentes localizadas y alcance</w:t>
      </w:r>
    </w:p>
    <w:p>
      <w:r>
        <w:t>Consulta editorial realizada el 8 de octubre de 2026. Las fuentes de instituciones y empresas acreditan sus anuncios o descripciones; no constituyen comprobaciones independientes de todas sus consecuencias.</w:t>
      </w:r>
    </w:p>
    <w:p>
      <w:pPr>
        <w:pStyle w:val="Heading2"/>
      </w:pPr>
      <w:r>
        <w:t>Juan Pablo II ante Naciones Unidas</w:t>
      </w:r>
    </w:p>
    <w:p>
      <w:r>
        <w:t>Fuente citada y localizada. Discurso del 5 de octubre de 1995; apartado 9 sobre miedo a la diferencia y diálogo. Localiza el contexto del pasaje introducido por el entrevistador a las 07:56. No respalda las posteriores acusaciones políticas de Ramírez.</w:t>
      </w:r>
    </w:p>
    <w:p>
      <w:hyperlink r:id="rId74">
        <w:r>
          <w:rPr>
            <w:color w:val="174D69"/>
            <w:u w:val="single"/>
          </w:rPr>
          <w:t>Consultar fuente</w:t>
        </w:r>
      </w:hyperlink>
    </w:p>
    <w:p>
      <w:pPr>
        <w:pStyle w:val="Heading2"/>
      </w:pPr>
      <w:r>
        <w:t>US Army y Detachment 201</w:t>
      </w:r>
    </w:p>
    <w:p>
      <w:r>
        <w:t>Contraste editorial primario. Anuncio de junio de 2025: Shyam Sankar, Andrew Bosworth, Kevin Weil y Bob McGrew. Fuente institucional sobre el nombramiento, no evaluación independiente de sus consecuencias.</w:t>
      </w:r>
    </w:p>
    <w:p>
      <w:hyperlink r:id="rId65">
        <w:r>
          <w:rPr>
            <w:color w:val="174D69"/>
            <w:u w:val="single"/>
          </w:rPr>
          <w:t>Consultar fuente</w:t>
        </w:r>
      </w:hyperlink>
    </w:p>
    <w:p>
      <w:pPr>
        <w:pStyle w:val="Heading2"/>
      </w:pPr>
      <w:r>
        <w:t>Vanguard y su estructura de propiedad</w:t>
      </w:r>
    </w:p>
    <w:p>
      <w:r>
        <w:t>Contraste editorial primario. Descripción corporativa de propiedad por fondos e inversores. Utilizada para distinguir la gestora de los activos administrados.</w:t>
      </w:r>
    </w:p>
    <w:p>
      <w:hyperlink r:id="rId66">
        <w:r>
          <w:rPr>
            <w:color w:val="174D69"/>
            <w:u w:val="single"/>
          </w:rPr>
          <w:t>Consultar fuente</w:t>
        </w:r>
      </w:hyperlink>
    </w:p>
    <w:p>
      <w:pPr>
        <w:pStyle w:val="Heading2"/>
      </w:pPr>
      <w:r>
        <w:t>AIPAC y su actividad política</w:t>
      </w:r>
    </w:p>
    <w:p>
      <w:r>
        <w:t>Fuente mencionada y localizada. Comunicación de la organización sobre apoyo electoral y candidatos de ambos partidos. Es una fuente interesada, válida para documentar lo que la organización declara de su actividad.</w:t>
      </w:r>
    </w:p>
    <w:p>
      <w:hyperlink r:id="rId67">
        <w:r>
          <w:rPr>
            <w:color w:val="174D69"/>
            <w:u w:val="single"/>
          </w:rPr>
          <w:t>Consultar fuente</w:t>
        </w:r>
      </w:hyperlink>
    </w:p>
    <w:p>
      <w:pPr>
        <w:pStyle w:val="Heading2"/>
      </w:pPr>
      <w:r>
        <w:t>Condena de Ghislaine Maxwell</w:t>
      </w:r>
    </w:p>
    <w:p>
      <w:r>
        <w:t>Contraste editorial judicial. Comunicado del Departamento de Justicia del 28 de junio de 2022 sobre condena a veinte años por delitos asociados a Epstein. Acredita ese proceso, sin validar acusaciones adicionales contra terceros.</w:t>
      </w:r>
    </w:p>
    <w:p>
      <w:hyperlink r:id="rId68">
        <w:r>
          <w:rPr>
            <w:color w:val="174D69"/>
            <w:u w:val="single"/>
          </w:rPr>
          <w:t>Consultar fuente</w:t>
        </w:r>
      </w:hyperlink>
    </w:p>
    <w:p>
      <w:pPr>
        <w:pStyle w:val="Heading2"/>
      </w:pPr>
      <w:r>
        <w:t>Homo Deus en la web de Yuval Noah Harari</w:t>
      </w:r>
    </w:p>
    <w:p>
      <w:r>
        <w:t>Obra citada y localizada. Presentación del autor sobre escenarios futuros. Permite identificar la obra; no se ha cotejado íntegramente el libro ni se atribuye al autor todo el marco religioso de Ramírez.</w:t>
      </w:r>
    </w:p>
    <w:p>
      <w:hyperlink r:id="rId75">
        <w:r>
          <w:rPr>
            <w:color w:val="174D69"/>
            <w:u w:val="single"/>
          </w:rPr>
          <w:t>Consultar fuente</w:t>
        </w:r>
      </w:hyperlink>
    </w:p>
    <w:p>
      <w:pPr>
        <w:pStyle w:val="Heading2"/>
      </w:pPr>
      <w:r>
        <w:t>Neuralink y los objetivos de PRIME</w:t>
      </w:r>
    </w:p>
    <w:p>
      <w:r>
        <w:t>Contraste editorial primario. Descripción del ensayo de interfaz cerebro ordenador y sus objetivos iniciales. Fuente del promotor, no prueba independiente de resultados ni de todas las capacidades futuras.</w:t>
      </w:r>
    </w:p>
    <w:p>
      <w:hyperlink r:id="rId69">
        <w:r>
          <w:rPr>
            <w:color w:val="174D69"/>
            <w:u w:val="single"/>
          </w:rPr>
          <w:t>Consultar fuente</w:t>
        </w:r>
      </w:hyperlink>
    </w:p>
    <w:p>
      <w:pPr>
        <w:pStyle w:val="Heading2"/>
      </w:pPr>
      <w:r>
        <w:t>BCE y preguntas sobre el euro digital</w:t>
      </w:r>
    </w:p>
    <w:p>
      <w:r>
        <w:t>Contraste editorial institucional. Preguntas frecuentes actualizadas el 17 de agosto de 2026. Diseño comunicado sobre efectivo, privacidad y ausencia de dinero programable; distingue planes institucionales de temores sobre otros sistemas.</w:t>
      </w:r>
    </w:p>
    <w:p>
      <w:hyperlink r:id="rId70">
        <w:r>
          <w:rPr>
            <w:color w:val="174D69"/>
            <w:u w:val="single"/>
          </w:rPr>
          <w:t>Consultar fuente</w:t>
        </w:r>
      </w:hyperlink>
    </w:p>
    <w:p>
      <w:pPr>
        <w:pStyle w:val="Heading2"/>
      </w:pPr>
      <w:r>
        <w:t>BFI y They Live</w:t>
      </w:r>
    </w:p>
    <w:p>
      <w:r>
        <w:t>Contraste editorial bibliográfico. Ficha de la película de 1988 dirigida por John Carpenter. Apoya la corrección probable de la referencia a la película de las gafas.</w:t>
      </w:r>
    </w:p>
    <w:p>
      <w:hyperlink r:id="rId72">
        <w:r>
          <w:rPr>
            <w:color w:val="174D69"/>
            <w:u w:val="single"/>
          </w:rPr>
          <w:t>Consultar fuente</w:t>
        </w:r>
      </w:hyperlink>
    </w:p>
    <w:p>
      <w:pPr>
        <w:pStyle w:val="Heading2"/>
      </w:pPr>
      <w:r>
        <w:t>George Orwell y Why I Write</w:t>
      </w:r>
    </w:p>
    <w:p>
      <w:r>
        <w:t>Texto del autor para contraste. Ensayo de 1946 en el que Orwell explica su orientación contra el totalitarismo y a favor del socialismo democrático. No se ha utilizado para reconstruir todas las citas de 1984.</w:t>
      </w:r>
    </w:p>
    <w:p>
      <w:hyperlink r:id="rId73">
        <w:r>
          <w:rPr>
            <w:color w:val="174D69"/>
            <w:u w:val="single"/>
          </w:rPr>
          <w:t>Consultar fuente</w:t>
        </w:r>
      </w:hyperlink>
    </w:p>
    <w:p>
      <w:pPr>
        <w:pStyle w:val="Heading1"/>
      </w:pPr>
      <w:r>
        <w:t>Referencias mencionadas en la conversación</w:t>
      </w:r>
    </w:p>
    <w:p>
      <w:r>
        <w:rPr>
          <w:b/>
        </w:rPr>
        <w:t xml:space="preserve">Biblia · Efesios y tentación de Jesús. </w:t>
      </w:r>
      <w:r>
        <w:t xml:space="preserve">Marco teológico del libro. No se fija traducción bíblica ni cita literal completa. </w:t>
      </w:r>
      <w:hyperlink r:id="rId10">
        <w:r>
          <w:rPr>
            <w:color w:val="174D69"/>
            <w:u w:val="single"/>
          </w:rPr>
          <w:t>01:39</w:t>
        </w:r>
      </w:hyperlink>
    </w:p>
    <w:p>
      <w:r>
        <w:rPr>
          <w:b/>
        </w:rPr>
        <w:t xml:space="preserve">David Rockefeller · Memorias. </w:t>
      </w:r>
      <w:r>
        <w:t xml:space="preserve">Ramírez alude a una declaración de culpabilidad ante acusaciones de poder global. Edición página y contexto completo pendientes; no se presenta como confesión de todos los hechos que él interpreta. </w:t>
      </w:r>
      <w:hyperlink r:id="rId76">
        <w:r>
          <w:rPr>
            <w:color w:val="174D69"/>
            <w:u w:val="single"/>
          </w:rPr>
          <w:t>10:00</w:t>
        </w:r>
      </w:hyperlink>
    </w:p>
    <w:p>
      <w:r>
        <w:rPr>
          <w:b/>
        </w:rPr>
        <w:t xml:space="preserve">Friedrich Hayek · Orden espontáneo y límites del conocimiento. </w:t>
      </w:r>
      <w:r>
        <w:t xml:space="preserve">Referencia conceptual sin obra ni página determinada en este pasaje. </w:t>
      </w:r>
      <w:hyperlink r:id="rId26">
        <w:r>
          <w:rPr>
            <w:color w:val="174D69"/>
            <w:u w:val="single"/>
          </w:rPr>
          <w:t>13:47</w:t>
        </w:r>
      </w:hyperlink>
    </w:p>
    <w:p>
      <w:r>
        <w:rPr>
          <w:b/>
        </w:rPr>
        <w:t xml:space="preserve">Emmanuel Todd · Decadencia de Occidente. </w:t>
      </w:r>
      <w:r>
        <w:t xml:space="preserve">Autor mencionado; título edición y pasaje exactos pendientes. </w:t>
      </w:r>
      <w:hyperlink r:id="rId77">
        <w:r>
          <w:rPr>
            <w:color w:val="174D69"/>
            <w:u w:val="single"/>
          </w:rPr>
          <w:t>15:56</w:t>
        </w:r>
      </w:hyperlink>
    </w:p>
    <w:p>
      <w:r>
        <w:rPr>
          <w:b/>
        </w:rPr>
        <w:t xml:space="preserve">Henry Kissinger · Pensamiento estratégico y China. </w:t>
      </w:r>
      <w:r>
        <w:t xml:space="preserve">Referencia a libros y declaraciones sin localizador concreto para cada afirmación. </w:t>
      </w:r>
      <w:hyperlink r:id="rId78">
        <w:r>
          <w:rPr>
            <w:color w:val="174D69"/>
            <w:u w:val="single"/>
          </w:rPr>
          <w:t>17:30</w:t>
        </w:r>
      </w:hyperlink>
    </w:p>
    <w:p>
      <w:r>
        <w:rPr>
          <w:b/>
        </w:rPr>
        <w:t xml:space="preserve">Zbigniew Brzezinski · El gran tablero mundial. </w:t>
      </w:r>
      <w:r>
        <w:t xml:space="preserve">Identificación orientativa de la obra aludida como tablero de ajedrez mundial; edición y página pendientes. </w:t>
      </w:r>
      <w:hyperlink r:id="rId28">
        <w:r>
          <w:rPr>
            <w:color w:val="174D69"/>
            <w:u w:val="single"/>
          </w:rPr>
          <w:t>17:56</w:t>
        </w:r>
      </w:hyperlink>
    </w:p>
    <w:p>
      <w:r>
        <w:rPr>
          <w:b/>
        </w:rPr>
        <w:t xml:space="preserve">George Orwell · 1984. </w:t>
      </w:r>
      <w:r>
        <w:t xml:space="preserve">Analogía sobre cambio de enemigos y pérdida de criterio. Citas concretas sin cotejo de edición. </w:t>
      </w:r>
      <w:hyperlink r:id="rId79">
        <w:r>
          <w:rPr>
            <w:color w:val="174D69"/>
            <w:u w:val="single"/>
          </w:rPr>
          <w:t>18:59</w:t>
        </w:r>
      </w:hyperlink>
    </w:p>
    <w:p>
      <w:r>
        <w:rPr>
          <w:b/>
        </w:rPr>
        <w:t xml:space="preserve">TIME y prensa israelí · Reportajes sobre guerra y tecnología. </w:t>
      </w:r>
      <w:r>
        <w:t xml:space="preserve">Ramírez menciona TIME y posteriormente prensa israelí; artículos fechas y autores sin identificar. No se inventan enlaces a piezas concretas. </w:t>
      </w:r>
      <w:hyperlink r:id="rId35">
        <w:r>
          <w:rPr>
            <w:color w:val="174D69"/>
            <w:u w:val="single"/>
          </w:rPr>
          <w:t>34:15</w:t>
        </w:r>
      </w:hyperlink>
    </w:p>
    <w:p>
      <w:r>
        <w:rPr>
          <w:b/>
        </w:rPr>
        <w:t xml:space="preserve">Norman Finkelstein · La industria del Holocausto. </w:t>
      </w:r>
      <w:r>
        <w:t xml:space="preserve">Obra citada por Ramírez como lectura sobre Israel y Estados Unidos; no se ha cotejado íntegramente ni se le atribuyen automáticamente sus conclusiones. </w:t>
      </w:r>
      <w:hyperlink r:id="rId40">
        <w:r>
          <w:rPr>
            <w:color w:val="174D69"/>
            <w:u w:val="single"/>
          </w:rPr>
          <w:t>51:16</w:t>
        </w:r>
      </w:hyperlink>
    </w:p>
    <w:p>
      <w:r>
        <w:rPr>
          <w:b/>
        </w:rPr>
        <w:t xml:space="preserve">Ilan Pappé y un tercer autor de nombre dudoso · Historia del conflicto árabe israelí. </w:t>
      </w:r>
      <w:r>
        <w:t xml:space="preserve">Se conserva la identificación de Pappé. La transcripción escribe Tom Seger; identidad pendiente de cotejo audiovisual. </w:t>
      </w:r>
      <w:hyperlink r:id="rId80">
        <w:r>
          <w:rPr>
            <w:color w:val="174D69"/>
            <w:u w:val="single"/>
          </w:rPr>
          <w:t>55:45</w:t>
        </w:r>
      </w:hyperlink>
    </w:p>
    <w:p>
      <w:r>
        <w:rPr>
          <w:b/>
        </w:rPr>
        <w:t xml:space="preserve">Yuval Noah Harari · Homo Deus y Sapiens. </w:t>
      </w:r>
      <w:r>
        <w:t xml:space="preserve">Obras identificadas; relación con una agenda de control interpretada por Ramírez, no demostrada por el título. </w:t>
      </w:r>
      <w:hyperlink r:id="rId19">
        <w:r>
          <w:rPr>
            <w:color w:val="174D69"/>
            <w:u w:val="single"/>
          </w:rPr>
          <w:t>1:20:33</w:t>
        </w:r>
      </w:hyperlink>
    </w:p>
    <w:p>
      <w:r>
        <w:rPr>
          <w:b/>
        </w:rPr>
        <w:t xml:space="preserve">Ray Kurzweil y Teilhard de Chardin · Singularidad y punto Omega. </w:t>
      </w:r>
      <w:r>
        <w:t xml:space="preserve">Conceptos reunidos por el entrevistado. No se equiparan como doctrina única ni se afirma transferencia cerebral realizada. </w:t>
      </w:r>
      <w:hyperlink r:id="rId51">
        <w:r>
          <w:rPr>
            <w:color w:val="174D69"/>
            <w:u w:val="single"/>
          </w:rPr>
          <w:t>1:21:26</w:t>
        </w:r>
      </w:hyperlink>
    </w:p>
    <w:p>
      <w:r>
        <w:rPr>
          <w:b/>
        </w:rPr>
        <w:t xml:space="preserve">Jeremy Bentham y Aldous Huxley · Panóptico y Un mundo feliz. </w:t>
      </w:r>
      <w:r>
        <w:t xml:space="preserve">Referencias normalizadas por contexto; utilizadas como analogías de vigilancia y felicidad dirigida. </w:t>
      </w:r>
      <w:hyperlink r:id="rId81">
        <w:r>
          <w:rPr>
            <w:color w:val="174D69"/>
            <w:u w:val="single"/>
          </w:rPr>
          <w:t>1:23:11</w:t>
        </w:r>
      </w:hyperlink>
    </w:p>
    <w:p>
      <w:r>
        <w:rPr>
          <w:b/>
        </w:rPr>
        <w:t xml:space="preserve">Juan Manuel de Prada · Esclavos entre algodones. </w:t>
      </w:r>
      <w:r>
        <w:t xml:space="preserve">Expresión atribuida en la entrevista; obra página y literalidad pendientes. </w:t>
      </w:r>
      <w:hyperlink r:id="rId82">
        <w:r>
          <w:rPr>
            <w:color w:val="174D69"/>
            <w:u w:val="single"/>
          </w:rPr>
          <w:t>1:27:14</w:t>
        </w:r>
      </w:hyperlink>
    </w:p>
    <w:p>
      <w:r>
        <w:rPr>
          <w:b/>
        </w:rPr>
        <w:t xml:space="preserve">Ernst Jünger · El emboscado. </w:t>
      </w:r>
      <w:r>
        <w:t xml:space="preserve">Figura utilizada para discutir retiro y responsabilidad; edición y pasaje exactos pendientes. </w:t>
      </w:r>
      <w:hyperlink r:id="rId58">
        <w:r>
          <w:rPr>
            <w:color w:val="174D69"/>
            <w:u w:val="single"/>
          </w:rPr>
          <w:t>1:32:27</w:t>
        </w:r>
      </w:hyperlink>
    </w:p>
    <w:p>
      <w:r>
        <w:rPr>
          <w:b/>
        </w:rPr>
        <w:t xml:space="preserve">Rod Dreher · La opción benedictina. </w:t>
      </w:r>
      <w:r>
        <w:t xml:space="preserve">Título propuesto por el entrevistador con duda. Identificación bibliográfica orientativa, sin lectura íntegra ni atribución a Ramírez de la propuesta. </w:t>
      </w:r>
      <w:hyperlink r:id="rId83">
        <w:r>
          <w:rPr>
            <w:color w:val="174D69"/>
            <w:u w:val="single"/>
          </w:rPr>
          <w:t>1:32:58</w:t>
        </w:r>
      </w:hyperlink>
    </w:p>
    <w:p>
      <w:r>
        <w:rPr>
          <w:b/>
        </w:rPr>
        <w:t xml:space="preserve">Antonio Gramsci · Interregno y aparición de monstruos. </w:t>
      </w:r>
      <w:r>
        <w:t xml:space="preserve">Paráfrasis normalizada del nombre mal transcrito; formulación y edición exactas pendientes. </w:t>
      </w:r>
      <w:hyperlink r:id="rId84">
        <w:r>
          <w:rPr>
            <w:color w:val="174D69"/>
            <w:u w:val="single"/>
          </w:rPr>
          <w:t>1:33:14</w:t>
        </w:r>
      </w:hyperlink>
    </w:p>
    <w:p>
      <w:r>
        <w:rPr>
          <w:b/>
        </w:rPr>
        <w:t xml:space="preserve">Edmund Burke · Aforismo sobre hombres buenos y mal. </w:t>
      </w:r>
      <w:r>
        <w:t xml:space="preserve">Atribución realizada en la conversación; autoría y formulación no verificadas, sin usarla como cita auténtica. </w:t>
      </w:r>
      <w:hyperlink r:id="rId83">
        <w:r>
          <w:rPr>
            <w:color w:val="174D69"/>
            <w:u w:val="single"/>
          </w:rPr>
          <w:t>1:32:58</w:t>
        </w:r>
      </w:hyperlink>
    </w:p>
    <w:p>
      <w:r>
        <w:rPr>
          <w:b/>
        </w:rPr>
        <w:t xml:space="preserve">Lorenzo Ramírez · El diablo está entre nosotros. </w:t>
      </w:r>
      <w:r>
        <w:t xml:space="preserve">Libro comentado en la entrevista. No se dispone de ejemplar completo ni de sus notas; no se afirma haberlas consultado. </w:t>
      </w:r>
      <w:hyperlink r:id="rId10">
        <w:r>
          <w:rPr>
            <w:color w:val="174D69"/>
            <w:u w:val="single"/>
          </w:rPr>
          <w:t>01:39</w:t>
        </w:r>
      </w:hyperlink>
    </w:p>
    <w:p>
      <w:pPr>
        <w:pStyle w:val="Heading1"/>
      </w:pPr>
      <w:r>
        <w:t>Cuestiones que permanecen abiertas</w:t>
      </w:r>
    </w:p>
    <w:p>
      <w:r>
        <w:t>No se han localizado las notas completas del libro ni todos los artículos, memorias o declaraciones mencionados. Permanecen pendientes el origen de varias citas, el porcentaje de apoyo político del 17 %, las descripciones específicas de controles de consumo en China, las conexiones de inteligencia atribuidas a Epstein y las motivaciones individuales imputadas a dirigentes. La entrevista permite conocer la interpretación del autor, pero no resolver por sí sola esas cuestiones.</w:t>
      </w:r>
    </w:p>
    <w:p>
      <w:r>
        <w:t>La imagen que acompaña el HTML es una ilustración simbólica generada con IA. No representa un acontecimiento real ni acredita las acusaciones expuestas. La versión para redes incorpora tipografía editorial a una copia; el original visual se conserva.</w:t>
      </w:r>
    </w:p>
    <w:sectPr w:rsidR="00FC693F" w:rsidRPr="0006063C" w:rsidSect="00034616">
      <w:pgSz w:w="11906" w:h="16838"/>
      <w:pgMar w:top="1191" w:right="1361" w:bottom="1191"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8"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6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Arial" w:hAnsi="Arial"/>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7bNUr030nCo" TargetMode="External"/><Relationship Id="rId10" Type="http://schemas.openxmlformats.org/officeDocument/2006/relationships/hyperlink" Target="https://www.youtube.com/watch?v=7bNUr030nCo&amp;t=99s" TargetMode="External"/><Relationship Id="rId11" Type="http://schemas.openxmlformats.org/officeDocument/2006/relationships/hyperlink" Target="https://www.youtube.com/watch?v=7bNUr030nCo&amp;t=476s" TargetMode="External"/><Relationship Id="rId12" Type="http://schemas.openxmlformats.org/officeDocument/2006/relationships/hyperlink" Target="https://www.youtube.com/watch?v=7bNUr030nCo&amp;t=1026s" TargetMode="External"/><Relationship Id="rId13" Type="http://schemas.openxmlformats.org/officeDocument/2006/relationships/hyperlink" Target="https://www.youtube.com/watch?v=7bNUr030nCo&amp;t=1539s" TargetMode="External"/><Relationship Id="rId14" Type="http://schemas.openxmlformats.org/officeDocument/2006/relationships/hyperlink" Target="https://www.youtube.com/watch?v=7bNUr030nCo&amp;t=2191s" TargetMode="External"/><Relationship Id="rId15" Type="http://schemas.openxmlformats.org/officeDocument/2006/relationships/hyperlink" Target="https://www.youtube.com/watch?v=7bNUr030nCo&amp;t=2896s" TargetMode="External"/><Relationship Id="rId16" Type="http://schemas.openxmlformats.org/officeDocument/2006/relationships/hyperlink" Target="https://www.youtube.com/watch?v=7bNUr030nCo&amp;t=3531s" TargetMode="External"/><Relationship Id="rId17" Type="http://schemas.openxmlformats.org/officeDocument/2006/relationships/hyperlink" Target="https://www.youtube.com/watch?v=7bNUr030nCo&amp;t=3813s" TargetMode="External"/><Relationship Id="rId18" Type="http://schemas.openxmlformats.org/officeDocument/2006/relationships/hyperlink" Target="https://www.youtube.com/watch?v=7bNUr030nCo&amp;t=4111s" TargetMode="External"/><Relationship Id="rId19" Type="http://schemas.openxmlformats.org/officeDocument/2006/relationships/hyperlink" Target="https://www.youtube.com/watch?v=7bNUr030nCo&amp;t=4833s" TargetMode="External"/><Relationship Id="rId20" Type="http://schemas.openxmlformats.org/officeDocument/2006/relationships/hyperlink" Target="https://www.youtube.com/watch?v=7bNUr030nCo&amp;t=5063s" TargetMode="External"/><Relationship Id="rId21" Type="http://schemas.openxmlformats.org/officeDocument/2006/relationships/hyperlink" Target="https://www.youtube.com/watch?v=7bNUr030nCo&amp;t=5330s" TargetMode="External"/><Relationship Id="rId22" Type="http://schemas.openxmlformats.org/officeDocument/2006/relationships/hyperlink" Target="https://www.youtube.com/watch?v=7bNUr030nCo&amp;t=5688s" TargetMode="External"/><Relationship Id="rId23" Type="http://schemas.openxmlformats.org/officeDocument/2006/relationships/hyperlink" Target="https://www.youtube.com/watch?v=7bNUr030nCo&amp;t=273s" TargetMode="External"/><Relationship Id="rId24" Type="http://schemas.openxmlformats.org/officeDocument/2006/relationships/hyperlink" Target="https://www.youtube.com/watch?v=7bNUr030nCo&amp;t=331s" TargetMode="External"/><Relationship Id="rId25" Type="http://schemas.openxmlformats.org/officeDocument/2006/relationships/hyperlink" Target="https://www.youtube.com/watch?v=7bNUr030nCo&amp;t=701s" TargetMode="External"/><Relationship Id="rId26" Type="http://schemas.openxmlformats.org/officeDocument/2006/relationships/hyperlink" Target="https://www.youtube.com/watch?v=7bNUr030nCo&amp;t=827s" TargetMode="External"/><Relationship Id="rId27" Type="http://schemas.openxmlformats.org/officeDocument/2006/relationships/hyperlink" Target="https://www.youtube.com/watch?v=7bNUr030nCo&amp;t=885s" TargetMode="External"/><Relationship Id="rId28" Type="http://schemas.openxmlformats.org/officeDocument/2006/relationships/hyperlink" Target="https://www.youtube.com/watch?v=7bNUr030nCo&amp;t=1076s" TargetMode="External"/><Relationship Id="rId29" Type="http://schemas.openxmlformats.org/officeDocument/2006/relationships/hyperlink" Target="https://www.youtube.com/watch?v=7bNUr030nCo&amp;t=1162s" TargetMode="External"/><Relationship Id="rId30" Type="http://schemas.openxmlformats.org/officeDocument/2006/relationships/hyperlink" Target="https://www.youtube.com/watch?v=7bNUr030nCo&amp;t=1260s" TargetMode="External"/><Relationship Id="rId31" Type="http://schemas.openxmlformats.org/officeDocument/2006/relationships/hyperlink" Target="https://www.youtube.com/watch?v=7bNUr030nCo&amp;t=1377s" TargetMode="External"/><Relationship Id="rId32" Type="http://schemas.openxmlformats.org/officeDocument/2006/relationships/hyperlink" Target="https://www.youtube.com/watch?v=7bNUr030nCo&amp;t=1565s" TargetMode="External"/><Relationship Id="rId33" Type="http://schemas.openxmlformats.org/officeDocument/2006/relationships/hyperlink" Target="https://www.youtube.com/watch?v=7bNUr030nCo&amp;t=1762s" TargetMode="External"/><Relationship Id="rId34" Type="http://schemas.openxmlformats.org/officeDocument/2006/relationships/hyperlink" Target="https://www.youtube.com/watch?v=7bNUr030nCo&amp;t=1868s" TargetMode="External"/><Relationship Id="rId35" Type="http://schemas.openxmlformats.org/officeDocument/2006/relationships/hyperlink" Target="https://www.youtube.com/watch?v=7bNUr030nCo&amp;t=2055s" TargetMode="External"/><Relationship Id="rId36" Type="http://schemas.openxmlformats.org/officeDocument/2006/relationships/hyperlink" Target="https://www.youtube.com/watch?v=7bNUr030nCo&amp;t=2307s" TargetMode="External"/><Relationship Id="rId37" Type="http://schemas.openxmlformats.org/officeDocument/2006/relationships/hyperlink" Target="https://www.youtube.com/watch?v=7bNUr030nCo&amp;t=2685s" TargetMode="External"/><Relationship Id="rId38" Type="http://schemas.openxmlformats.org/officeDocument/2006/relationships/hyperlink" Target="https://www.youtube.com/watch?v=7bNUr030nCo&amp;t=2727s" TargetMode="External"/><Relationship Id="rId39" Type="http://schemas.openxmlformats.org/officeDocument/2006/relationships/hyperlink" Target="https://www.youtube.com/watch?v=7bNUr030nCo&amp;t=3017s" TargetMode="External"/><Relationship Id="rId40" Type="http://schemas.openxmlformats.org/officeDocument/2006/relationships/hyperlink" Target="https://www.youtube.com/watch?v=7bNUr030nCo&amp;t=3076s" TargetMode="External"/><Relationship Id="rId41" Type="http://schemas.openxmlformats.org/officeDocument/2006/relationships/hyperlink" Target="https://www.youtube.com/watch?v=7bNUr030nCo&amp;t=3497s" TargetMode="External"/><Relationship Id="rId42" Type="http://schemas.openxmlformats.org/officeDocument/2006/relationships/hyperlink" Target="https://www.youtube.com/watch?v=7bNUr030nCo&amp;t=3594s" TargetMode="External"/><Relationship Id="rId43" Type="http://schemas.openxmlformats.org/officeDocument/2006/relationships/hyperlink" Target="https://www.youtube.com/watch?v=7bNUr030nCo&amp;t=3730s" TargetMode="External"/><Relationship Id="rId44" Type="http://schemas.openxmlformats.org/officeDocument/2006/relationships/hyperlink" Target="https://www.youtube.com/watch?v=7bNUr030nCo&amp;t=3840s" TargetMode="External"/><Relationship Id="rId45" Type="http://schemas.openxmlformats.org/officeDocument/2006/relationships/hyperlink" Target="https://www.youtube.com/watch?v=7bNUr030nCo&amp;t=3946s" TargetMode="External"/><Relationship Id="rId46" Type="http://schemas.openxmlformats.org/officeDocument/2006/relationships/hyperlink" Target="https://www.youtube.com/watch?v=7bNUr030nCo&amp;t=4097s" TargetMode="External"/><Relationship Id="rId47" Type="http://schemas.openxmlformats.org/officeDocument/2006/relationships/hyperlink" Target="https://www.youtube.com/watch?v=7bNUr030nCo&amp;t=4137s" TargetMode="External"/><Relationship Id="rId48" Type="http://schemas.openxmlformats.org/officeDocument/2006/relationships/hyperlink" Target="https://www.youtube.com/watch?v=7bNUr030nCo&amp;t=4345s" TargetMode="External"/><Relationship Id="rId49" Type="http://schemas.openxmlformats.org/officeDocument/2006/relationships/hyperlink" Target="https://www.youtube.com/watch?v=7bNUr030nCo&amp;t=4418s" TargetMode="External"/><Relationship Id="rId50" Type="http://schemas.openxmlformats.org/officeDocument/2006/relationships/hyperlink" Target="https://www.youtube.com/watch?v=7bNUr030nCo&amp;t=4640s" TargetMode="External"/><Relationship Id="rId51" Type="http://schemas.openxmlformats.org/officeDocument/2006/relationships/hyperlink" Target="https://www.youtube.com/watch?v=7bNUr030nCo&amp;t=4886s" TargetMode="External"/><Relationship Id="rId52" Type="http://schemas.openxmlformats.org/officeDocument/2006/relationships/hyperlink" Target="https://www.youtube.com/watch?v=7bNUr030nCo&amp;t=5009s" TargetMode="External"/><Relationship Id="rId53" Type="http://schemas.openxmlformats.org/officeDocument/2006/relationships/hyperlink" Target="https://www.youtube.com/watch?v=7bNUr030nCo&amp;t=5155s" TargetMode="External"/><Relationship Id="rId54" Type="http://schemas.openxmlformats.org/officeDocument/2006/relationships/hyperlink" Target="https://www.youtube.com/watch?v=7bNUr030nCo&amp;t=5169s" TargetMode="External"/><Relationship Id="rId55" Type="http://schemas.openxmlformats.org/officeDocument/2006/relationships/hyperlink" Target="https://www.youtube.com/watch?v=7bNUr030nCo&amp;t=5293s" TargetMode="External"/><Relationship Id="rId56" Type="http://schemas.openxmlformats.org/officeDocument/2006/relationships/hyperlink" Target="https://www.youtube.com/watch?v=7bNUr030nCo&amp;t=5346s" TargetMode="External"/><Relationship Id="rId57" Type="http://schemas.openxmlformats.org/officeDocument/2006/relationships/hyperlink" Target="https://www.youtube.com/watch?v=7bNUr030nCo&amp;t=5455s" TargetMode="External"/><Relationship Id="rId58" Type="http://schemas.openxmlformats.org/officeDocument/2006/relationships/hyperlink" Target="https://www.youtube.com/watch?v=7bNUr030nCo&amp;t=5547s" TargetMode="External"/><Relationship Id="rId59" Type="http://schemas.openxmlformats.org/officeDocument/2006/relationships/hyperlink" Target="https://www.youtube.com/watch?v=7bNUr030nCo&amp;t=5663s" TargetMode="External"/><Relationship Id="rId60" Type="http://schemas.openxmlformats.org/officeDocument/2006/relationships/hyperlink" Target="https://www.youtube.com/watch?v=7bNUr030nCo&amp;t=5735s" TargetMode="External"/><Relationship Id="rId61" Type="http://schemas.openxmlformats.org/officeDocument/2006/relationships/hyperlink" Target="https://www.youtube.com/watch?v=7bNUr030nCo&amp;t=5786s" TargetMode="External"/><Relationship Id="rId62" Type="http://schemas.openxmlformats.org/officeDocument/2006/relationships/hyperlink" Target="https://www.youtube.com/watch?v=7bNUr030nCo&amp;t=5895s" TargetMode="External"/><Relationship Id="rId63" Type="http://schemas.openxmlformats.org/officeDocument/2006/relationships/hyperlink" Target="https://www.youtube.com/watch?v=7bNUr030nCo&amp;t=5986s" TargetMode="External"/><Relationship Id="rId64" Type="http://schemas.openxmlformats.org/officeDocument/2006/relationships/hyperlink" Target="https://www.youtube.com/watch?v=7bNUr030nCo&amp;t=6068s" TargetMode="External"/><Relationship Id="rId65" Type="http://schemas.openxmlformats.org/officeDocument/2006/relationships/hyperlink" Target="https://www.army.mil/article/286317/army_launches_detachment_201_executive_innovation_corps_to_drive_tech_transformation" TargetMode="External"/><Relationship Id="rId66" Type="http://schemas.openxmlformats.org/officeDocument/2006/relationships/hyperlink" Target="https://corporate.vanguard.com/content/corporatesite/us/en/corp/why-vanguard/sets-us-apart/ownership.html" TargetMode="External"/><Relationship Id="rId67" Type="http://schemas.openxmlformats.org/officeDocument/2006/relationships/hyperlink" Target="https://www.aipac.org/memos/policy-politics-congress-israel" TargetMode="External"/><Relationship Id="rId68" Type="http://schemas.openxmlformats.org/officeDocument/2006/relationships/hyperlink" Target="https://www.justice.gov/usao-sdny/pr/ghislaine-maxwell-sentenced-20-years-prison-conspiring-jeffrey-epstein-sexually-abuse" TargetMode="External"/><Relationship Id="rId69" Type="http://schemas.openxmlformats.org/officeDocument/2006/relationships/hyperlink" Target="https://neuralink.com/updates/first-clinical-trial-open-for-recruitment/" TargetMode="External"/><Relationship Id="rId70" Type="http://schemas.openxmlformats.org/officeDocument/2006/relationships/hyperlink" Target="https://www.ecb.europa.eu/euro/digital_euro/faqs/html/ecb.faq_digital_euro.en.html" TargetMode="External"/><Relationship Id="rId71" Type="http://schemas.openxmlformats.org/officeDocument/2006/relationships/hyperlink" Target="https://www.youtube.com/watch?v=7bNUr030nCo&amp;t=5414s" TargetMode="External"/><Relationship Id="rId72" Type="http://schemas.openxmlformats.org/officeDocument/2006/relationships/hyperlink" Target="https://www.bfi.org.uk/film/1b00f459-b82d-5e42-8795-06d2ff18e220/they-live" TargetMode="External"/><Relationship Id="rId73" Type="http://schemas.openxmlformats.org/officeDocument/2006/relationships/hyperlink" Target="https://www.orwellfoundation.com/the-orwell-foundation/orwell/essays-and-other-works/why-i-write/" TargetMode="External"/><Relationship Id="rId74" Type="http://schemas.openxmlformats.org/officeDocument/2006/relationships/hyperlink" Target="https://www.vatican.va/content/john-paul-ii/en/speeches/1995/october/documents/hf_jp-ii_spe_05101995_address-to-uno.html" TargetMode="External"/><Relationship Id="rId75" Type="http://schemas.openxmlformats.org/officeDocument/2006/relationships/hyperlink" Target="https://www.ynharari.com/es/book/homo-deus/" TargetMode="External"/><Relationship Id="rId76" Type="http://schemas.openxmlformats.org/officeDocument/2006/relationships/hyperlink" Target="https://www.youtube.com/watch?v=7bNUr030nCo&amp;t=600s" TargetMode="External"/><Relationship Id="rId77" Type="http://schemas.openxmlformats.org/officeDocument/2006/relationships/hyperlink" Target="https://www.youtube.com/watch?v=7bNUr030nCo&amp;t=956s" TargetMode="External"/><Relationship Id="rId78" Type="http://schemas.openxmlformats.org/officeDocument/2006/relationships/hyperlink" Target="https://www.youtube.com/watch?v=7bNUr030nCo&amp;t=1050s" TargetMode="External"/><Relationship Id="rId79" Type="http://schemas.openxmlformats.org/officeDocument/2006/relationships/hyperlink" Target="https://www.youtube.com/watch?v=7bNUr030nCo&amp;t=1139s" TargetMode="External"/><Relationship Id="rId80" Type="http://schemas.openxmlformats.org/officeDocument/2006/relationships/hyperlink" Target="https://www.youtube.com/watch?v=7bNUr030nCo&amp;t=3345s" TargetMode="External"/><Relationship Id="rId81" Type="http://schemas.openxmlformats.org/officeDocument/2006/relationships/hyperlink" Target="https://www.youtube.com/watch?v=7bNUr030nCo&amp;t=4991s" TargetMode="External"/><Relationship Id="rId82" Type="http://schemas.openxmlformats.org/officeDocument/2006/relationships/hyperlink" Target="https://www.youtube.com/watch?v=7bNUr030nCo&amp;t=5234s" TargetMode="External"/><Relationship Id="rId83" Type="http://schemas.openxmlformats.org/officeDocument/2006/relationships/hyperlink" Target="https://www.youtube.com/watch?v=7bNUr030nCo&amp;t=5578s" TargetMode="External"/><Relationship Id="rId84" Type="http://schemas.openxmlformats.org/officeDocument/2006/relationships/hyperlink" Target="https://www.youtube.com/watch?v=7bNUr030nCo&amp;t=5594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Lorenzo Ramírez y las estructuras de poder</dc:title>
  <dc:subject>Lectura editorial de la entrevista Aladetres 183</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