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AF7"/>
  <w:body>
    <w:p>
      <w:pPr>
        <w:pStyle w:val="Subtitle"/>
      </w:pPr>
      <w:r>
        <w:t>INFORME ANALÍTICO</w:t>
      </w:r>
    </w:p>
    <w:p>
      <w:pPr>
        <w:pStyle w:val="Title"/>
      </w:pPr>
      <w:r>
        <w:t>Alemania y Europa ante el deterioro industrial</w:t>
      </w:r>
    </w:p>
    <w:p>
      <w:pPr>
        <w:spacing w:after="340"/>
      </w:pPr>
      <w:r>
        <w:t>Vídeo analizado · Transcripción y resumen facilitados por el usuario</w:t>
      </w:r>
    </w:p>
    <w:tbl>
      <w:tblPr>
        <w:tblW w:type="auto" w:w="0"/>
        <w:jc w:val="center"/>
        <w:tblLayout w:type="fixed"/>
        <w:tblLook w:firstColumn="1" w:firstRow="1" w:lastColumn="0" w:lastRow="0" w:noHBand="0" w:noVBand="1" w:val="04A0"/>
      </w:tblPr>
      <w:tblGrid>
        <w:gridCol w:w="9241"/>
      </w:tblGrid>
      <w:tr>
        <w:trPr>
          <w:cantSplit/>
        </w:trPr>
        <w:tc>
          <w:tcPr>
            <w:tcW w:type="dxa" w:w="9242"/>
            <w:shd w:fill="E9EFF2"/>
            <w:tcMar>
              <w:top w:w="170" w:type="dxa"/>
              <w:left w:w="170" w:type="dxa"/>
              <w:bottom w:w="170" w:type="dxa"/>
              <w:right w:w="170" w:type="dxa"/>
            </w:tcMar>
          </w:tcPr>
          <w:p>
            <w:pPr>
              <w:keepNext/>
              <w:spacing w:after="100"/>
            </w:pPr>
            <w:r>
              <w:rPr>
                <w:rFonts w:ascii="Montserrat" w:hAnsi="Montserrat"/>
                <w:b/>
                <w:color w:val="A3483F"/>
                <w:sz w:val="18"/>
              </w:rPr>
              <w:t>EJE DE LA EXPOSICIÓN</w:t>
            </w:r>
          </w:p>
          <w:p>
            <w:pPr>
              <w:keepNext w:val="0"/>
              <w:spacing w:after="0" w:line="264" w:lineRule="auto"/>
            </w:pPr>
            <w:r>
              <w:rPr>
                <w:sz w:val="21"/>
              </w:rPr>
              <w:t>La exposición sostiene que el deterioro industrial alemán, las limitaciones del crecimiento español y la pérdida de capacidad estratégica europea forman parte de un mismo problema de productividad, energía, industria y poder económico.</w:t>
            </w:r>
          </w:p>
        </w:tc>
      </w:tr>
    </w:tbl>
    <w:p>
      <w:r>
        <w:t>El vídeo examina la evolución de Alemania como principal economía industrial europea, cuestiona que España pueda sustituir ese papel y sitúa el debate en un marco más amplio de capacidad tecnológica, regulación y autonomía estratégica de la Unión Europea.</w:t>
      </w:r>
    </w:p>
    <w:p>
      <w:r>
        <w:t>El informe reconstruye de forma ordenada los datos, argumentos, ejemplos y propuestas expuestos por el autor. Los tramos temporales indican el momento de la intervención al que corresponde cada bloque.</w:t>
      </w:r>
    </w:p>
    <w:p>
      <w:pPr>
        <w:pStyle w:val="Heading2"/>
      </w:pPr>
      <w:r>
        <w:t>Recorrido del informe</w:t>
      </w:r>
    </w:p>
    <w:tbl>
      <w:tblPr>
        <w:tblW w:type="auto" w:w="0"/>
        <w:jc w:val="center"/>
        <w:tblLayout w:type="fixed"/>
        <w:tblLook w:firstColumn="1" w:firstRow="1" w:lastColumn="0" w:lastRow="0" w:noHBand="0" w:noVBand="1" w:val="04A0"/>
      </w:tblPr>
      <w:tblGrid>
        <w:gridCol w:w="2268"/>
        <w:gridCol w:w="6973"/>
      </w:tblGrid>
      <w:tr>
        <w:trPr>
          <w:tblHeader/>
          <w:cantSplit/>
        </w:trPr>
        <w:tc>
          <w:tcPr>
            <w:tcW w:type="dxa" w:w="2268"/>
            <w:tcMar>
              <w:top w:w="100" w:type="dxa"/>
              <w:left w:w="100" w:type="dxa"/>
              <w:bottom w:w="100" w:type="dxa"/>
              <w:right w:w="100" w:type="dxa"/>
            </w:tcMar>
            <w:vAlign w:val="center"/>
            <w:shd w:fill="142B3A"/>
          </w:tcPr>
          <w:p>
            <w:pPr>
              <w:spacing w:after="40" w:line="254" w:lineRule="auto"/>
            </w:pPr>
            <w:r>
              <w:rPr>
                <w:b/>
                <w:color w:val="FFFFFF"/>
                <w:sz w:val="18"/>
              </w:rPr>
              <w:t>BLOQUE</w:t>
            </w:r>
          </w:p>
        </w:tc>
        <w:tc>
          <w:tcPr>
            <w:tcW w:type="dxa" w:w="6973"/>
            <w:tcMar>
              <w:top w:w="100" w:type="dxa"/>
              <w:left w:w="100" w:type="dxa"/>
              <w:bottom w:w="100" w:type="dxa"/>
              <w:right w:w="100" w:type="dxa"/>
            </w:tcMar>
            <w:vAlign w:val="center"/>
            <w:shd w:fill="142B3A"/>
          </w:tcPr>
          <w:p>
            <w:pPr>
              <w:spacing w:after="40" w:line="254" w:lineRule="auto"/>
            </w:pPr>
            <w:r>
              <w:rPr>
                <w:b/>
                <w:color w:val="FFFFFF"/>
                <w:sz w:val="18"/>
              </w:rPr>
              <w:t>CONTENIDO</w:t>
            </w:r>
          </w:p>
        </w:tc>
      </w:tr>
      <w:tr>
        <w:trPr>
          <w:cantSplit/>
        </w:trPr>
        <w:tc>
          <w:tcPr>
            <w:tcW w:type="dxa" w:w="2268"/>
            <w:tcMar>
              <w:top w:w="100" w:type="dxa"/>
              <w:left w:w="100" w:type="dxa"/>
              <w:bottom w:w="100" w:type="dxa"/>
              <w:right w:w="100" w:type="dxa"/>
            </w:tcMar>
            <w:vAlign w:val="center"/>
            <w:shd w:fill="F3F6F7"/>
          </w:tcPr>
          <w:p>
            <w:pPr>
              <w:spacing w:after="40" w:line="254" w:lineRule="auto"/>
            </w:pPr>
            <w:r>
              <w:rPr>
                <w:b w:val="0"/>
                <w:sz w:val="18"/>
              </w:rPr>
              <w:t>Diagnóstico alemán</w:t>
            </w:r>
          </w:p>
        </w:tc>
        <w:tc>
          <w:tcPr>
            <w:tcW w:type="dxa" w:w="6973"/>
            <w:tcMar>
              <w:top w:w="100" w:type="dxa"/>
              <w:left w:w="100" w:type="dxa"/>
              <w:bottom w:w="100" w:type="dxa"/>
              <w:right w:w="100" w:type="dxa"/>
            </w:tcMar>
            <w:vAlign w:val="center"/>
            <w:shd w:fill="F3F6F7"/>
          </w:tcPr>
          <w:p>
            <w:pPr>
              <w:spacing w:after="40" w:line="254" w:lineRule="auto"/>
            </w:pPr>
            <w:r>
              <w:rPr>
                <w:b w:val="0"/>
                <w:sz w:val="18"/>
              </w:rPr>
              <w:t>Contracción, cierres empresariales, energía, regulación, demografía y gasto público.</w:t>
            </w:r>
          </w:p>
        </w:tc>
      </w:tr>
      <w:tr>
        <w:trPr>
          <w:cantSplit/>
        </w:trPr>
        <w:tc>
          <w:tcPr>
            <w:tcW w:type="dxa" w:w="2268"/>
            <w:tcMar>
              <w:top w:w="100" w:type="dxa"/>
              <w:left w:w="100" w:type="dxa"/>
              <w:bottom w:w="100" w:type="dxa"/>
              <w:right w:w="100" w:type="dxa"/>
            </w:tcMar>
            <w:vAlign w:val="center"/>
            <w:shd w:fill="FFFFFF"/>
          </w:tcPr>
          <w:p>
            <w:pPr>
              <w:spacing w:after="40" w:line="254" w:lineRule="auto"/>
            </w:pPr>
            <w:r>
              <w:rPr>
                <w:b w:val="0"/>
                <w:sz w:val="18"/>
              </w:rPr>
              <w:t>Modelo español</w:t>
            </w:r>
          </w:p>
        </w:tc>
        <w:tc>
          <w:tcPr>
            <w:tcW w:type="dxa" w:w="6973"/>
            <w:tcMar>
              <w:top w:w="100" w:type="dxa"/>
              <w:left w:w="100" w:type="dxa"/>
              <w:bottom w:w="100" w:type="dxa"/>
              <w:right w:w="100" w:type="dxa"/>
            </w:tcMar>
            <w:vAlign w:val="center"/>
            <w:shd w:fill="FFFFFF"/>
          </w:tcPr>
          <w:p>
            <w:pPr>
              <w:spacing w:after="40" w:line="254" w:lineRule="auto"/>
            </w:pPr>
            <w:r>
              <w:rPr>
                <w:b w:val="0"/>
                <w:sz w:val="18"/>
              </w:rPr>
              <w:t>Crecimiento extensivo, productividad, inmigración, turismo y escala empresarial.</w:t>
            </w:r>
          </w:p>
        </w:tc>
      </w:tr>
      <w:tr>
        <w:trPr>
          <w:cantSplit/>
        </w:trPr>
        <w:tc>
          <w:tcPr>
            <w:tcW w:type="dxa" w:w="2268"/>
            <w:tcMar>
              <w:top w:w="100" w:type="dxa"/>
              <w:left w:w="100" w:type="dxa"/>
              <w:bottom w:w="100" w:type="dxa"/>
              <w:right w:w="100" w:type="dxa"/>
            </w:tcMar>
            <w:vAlign w:val="center"/>
            <w:shd w:fill="F3F6F7"/>
          </w:tcPr>
          <w:p>
            <w:pPr>
              <w:spacing w:after="40" w:line="254" w:lineRule="auto"/>
            </w:pPr>
            <w:r>
              <w:rPr>
                <w:b w:val="0"/>
                <w:sz w:val="18"/>
              </w:rPr>
              <w:t>Capacidad europea</w:t>
            </w:r>
          </w:p>
        </w:tc>
        <w:tc>
          <w:tcPr>
            <w:tcW w:type="dxa" w:w="6973"/>
            <w:tcMar>
              <w:top w:w="100" w:type="dxa"/>
              <w:left w:w="100" w:type="dxa"/>
              <w:bottom w:w="100" w:type="dxa"/>
              <w:right w:w="100" w:type="dxa"/>
            </w:tcMar>
            <w:vAlign w:val="center"/>
            <w:shd w:fill="F3F6F7"/>
          </w:tcPr>
          <w:p>
            <w:pPr>
              <w:spacing w:after="40" w:line="254" w:lineRule="auto"/>
            </w:pPr>
            <w:r>
              <w:rPr>
                <w:b w:val="0"/>
                <w:sz w:val="18"/>
              </w:rPr>
              <w:t>ASML, dependencias estratégicas, regulación, innovación y soberanía industrial.</w:t>
            </w:r>
          </w:p>
        </w:tc>
      </w:tr>
      <w:tr>
        <w:trPr>
          <w:cantSplit/>
        </w:trPr>
        <w:tc>
          <w:tcPr>
            <w:tcW w:type="dxa" w:w="2268"/>
            <w:tcMar>
              <w:top w:w="100" w:type="dxa"/>
              <w:left w:w="100" w:type="dxa"/>
              <w:bottom w:w="100" w:type="dxa"/>
              <w:right w:w="100" w:type="dxa"/>
            </w:tcMar>
            <w:vAlign w:val="center"/>
            <w:shd w:fill="FFFFFF"/>
          </w:tcPr>
          <w:p>
            <w:pPr>
              <w:spacing w:after="40" w:line="254" w:lineRule="auto"/>
            </w:pPr>
            <w:r>
              <w:rPr>
                <w:b w:val="0"/>
                <w:sz w:val="18"/>
              </w:rPr>
              <w:t>Cierre</w:t>
            </w:r>
          </w:p>
        </w:tc>
        <w:tc>
          <w:tcPr>
            <w:tcW w:type="dxa" w:w="6973"/>
            <w:tcMar>
              <w:top w:w="100" w:type="dxa"/>
              <w:left w:w="100" w:type="dxa"/>
              <w:bottom w:w="100" w:type="dxa"/>
              <w:right w:w="100" w:type="dxa"/>
            </w:tcMar>
            <w:vAlign w:val="center"/>
            <w:shd w:fill="FFFFFF"/>
          </w:tcPr>
          <w:p>
            <w:pPr>
              <w:spacing w:after="40" w:line="254" w:lineRule="auto"/>
            </w:pPr>
            <w:r>
              <w:rPr>
                <w:b w:val="0"/>
                <w:sz w:val="18"/>
              </w:rPr>
              <w:t>Tesis sobre estrategia, industria, tecnología y capacidad de decisión europea.</w:t>
            </w:r>
          </w:p>
        </w:tc>
      </w:tr>
    </w:tbl>
    <w:p>
      <w:r>
        <w:t>Fuente principal · Transcripción y resumen del vídeo facilitados por el usuario · 23 min 28 s</w:t>
      </w:r>
    </w:p>
    <w:p>
      <w:pPr>
        <w:spacing w:after="100"/>
        <w:pageBreakBefore/>
      </w:pPr>
      <w:r>
        <w:rPr>
          <w:rFonts w:ascii="Montserrat" w:hAnsi="Montserrat"/>
          <w:b/>
          <w:color w:val="A3483F"/>
          <w:sz w:val="18"/>
        </w:rPr>
        <w:t>01  /  PLANTEAMIENTO</w:t>
      </w:r>
    </w:p>
    <w:p>
      <w:pPr>
        <w:pStyle w:val="Heading1"/>
      </w:pPr>
      <w:r>
        <w:t>Un deterioro que el vídeo presenta como estructural</w:t>
      </w:r>
    </w:p>
    <w:p>
      <w:pPr>
        <w:spacing w:after="160" w:line="40" w:lineRule="exact"/>
        <w:pBdr>
          <w:bottom w:val="single" w:sz="14" w:color="C49A52"/>
        </w:pBdr>
      </w:pPr>
    </w:p>
    <w:p>
      <w:pPr>
        <w:spacing w:after="220"/>
      </w:pPr>
      <w:r>
        <w:rPr>
          <w:color w:val="142B3A"/>
          <w:sz w:val="16"/>
        </w:rPr>
        <w:t>VÍDEO  00:00–03:38</w:t>
      </w:r>
    </w:p>
    <w:p>
      <w:r>
        <w:t>El autor abre la exposición con el cierre de 200.000 empresas alemanas en un año, cifra que identifica como la más alta desde 2011 y un 16 % superior a la del ejercicio anterior. Vincula esos cierres a la incapacidad de afrontar la factura eléctrica y los presenta como una señal de que el problema rebasa una perturbación coyuntural.</w:t>
      </w:r>
    </w:p>
    <w:p>
      <w:r>
        <w:t>Su tesis es que el motor económico que sostuvo a Europa durante siete décadas se estaría deteniendo sin que exista un reemplazo equivalente. Frente a la idea de que España pueda ocupar ese lugar, anuncia un contraste entre las cifras de crecimiento españolas y la estructura productiva que, a su juicio, las sustenta.</w:t>
      </w:r>
    </w:p>
    <w:p>
      <w:pPr>
        <w:pStyle w:val="Heading2"/>
      </w:pPr>
      <w:r>
        <w:t>Consumo público e inversión privada</w:t>
      </w:r>
    </w:p>
    <w:p>
      <w:r>
        <w:t>El vídeo sitúa el diagnóstico en cinco trimestres consecutivos de contracción del PIB y en descensos del 0,3 % en 2023 y del 0,2 % en 2024. El autor destaca que la economía alemana habría registrado por primera vez desde la reunificación dos años seguidos de crecimiento negativo.</w:t>
      </w:r>
    </w:p>
    <w:p>
      <w:r>
        <w:t>Para explicar la naturaleza del deterioro contrapone tres trayectorias desde 2015: aumento del consumo público, inversión privada plana y un PIB total sostenido por el gasto estatal. Según esa lectura, las compañías manufactureras, automovilísticas y de maquinaria de precisión no habrían incrementado su inversión real durante una década.</w:t>
      </w:r>
    </w:p>
    <w:tbl>
      <w:tblPr>
        <w:tblW w:type="auto" w:w="0"/>
        <w:jc w:val="center"/>
        <w:tblLayout w:type="fixed"/>
        <w:tblLook w:firstColumn="1" w:firstRow="1" w:lastColumn="0" w:lastRow="0" w:noHBand="0" w:noVBand="1" w:val="04A0"/>
      </w:tblPr>
      <w:tblGrid>
        <w:gridCol w:w="9241"/>
      </w:tblGrid>
      <w:tr>
        <w:trPr>
          <w:cantSplit/>
        </w:trPr>
        <w:tc>
          <w:tcPr>
            <w:tcW w:type="dxa" w:w="9242"/>
            <w:shd w:fill="E9EFF2"/>
            <w:tcMar>
              <w:top w:w="170" w:type="dxa"/>
              <w:left w:w="170" w:type="dxa"/>
              <w:bottom w:w="170" w:type="dxa"/>
              <w:right w:w="170" w:type="dxa"/>
            </w:tcMar>
          </w:tcPr>
          <w:p>
            <w:pPr>
              <w:keepNext/>
              <w:spacing w:after="100"/>
            </w:pPr>
            <w:r>
              <w:rPr>
                <w:rFonts w:ascii="Montserrat" w:hAnsi="Montserrat"/>
                <w:b/>
                <w:color w:val="A3483F"/>
                <w:sz w:val="18"/>
              </w:rPr>
              <w:t>TESIS DE LA EXPOSICIÓN</w:t>
            </w:r>
          </w:p>
          <w:p>
            <w:pPr>
              <w:keepNext w:val="0"/>
              <w:spacing w:after="0" w:line="264" w:lineRule="auto"/>
            </w:pPr>
            <w:r>
              <w:rPr>
                <w:sz w:val="21"/>
              </w:rPr>
              <w:t>El incremento del gasto público no compensa, en el argumento del vídeo, el estancamiento de la inversión empresarial. El síntoma decisivo es la pérdida de actividad de la industria privada que había dado a Alemania su función de motor europeo.</w:t>
            </w:r>
          </w:p>
        </w:tc>
      </w:tr>
    </w:tbl>
    <w:p>
      <w:r>
        <w:t>El autor añade que las industrias intensivas en energía habrían sufrido 1.050 cierres de plantas, un 26 % más que el año anterior. Interpreta estas cifras como un daño localizado en el núcleo industrial, y no solo en pequeños negocios o actividades de servicios.</w:t>
      </w:r>
    </w:p>
    <w:p>
      <w:pPr>
        <w:spacing w:after="100"/>
        <w:pageBreakBefore/>
      </w:pPr>
      <w:r>
        <w:rPr>
          <w:rFonts w:ascii="Montserrat" w:hAnsi="Montserrat"/>
          <w:b/>
          <w:color w:val="A3483F"/>
          <w:sz w:val="18"/>
        </w:rPr>
        <w:t>02  /  CAUSAS SEÑALADAS</w:t>
      </w:r>
    </w:p>
    <w:p>
      <w:pPr>
        <w:pStyle w:val="Heading1"/>
      </w:pPr>
      <w:r>
        <w:t>Energía regulación demografía y respuesta fiscal</w:t>
      </w:r>
    </w:p>
    <w:p>
      <w:pPr>
        <w:spacing w:after="160" w:line="40" w:lineRule="exact"/>
        <w:pBdr>
          <w:bottom w:val="single" w:sz="14" w:color="C49A52"/>
        </w:pBdr>
      </w:pPr>
    </w:p>
    <w:p>
      <w:pPr>
        <w:spacing w:after="220"/>
      </w:pPr>
      <w:r>
        <w:rPr>
          <w:color w:val="142B3A"/>
          <w:sz w:val="16"/>
        </w:rPr>
        <w:t>VÍDEO  04:07–06:33</w:t>
      </w:r>
    </w:p>
    <w:p>
      <w:r>
        <w:t>El vídeo organiza el diagnóstico alemán en cuatro causas. La primera es la energía: atribuye la pérdida de competitividad al cierre de centrales nucleares combinado con la dependencia previa del gas ruso. Tras la guerra de Ucrania, el autor sostiene que Alemania perdió a la vez una fuente de energía barata y una alternativa nuclear disponible.</w:t>
      </w:r>
    </w:p>
    <w:p>
      <w:r>
        <w:t>Menciona precios industriales de la electricidad que considera los más altos del mundo desarrollado y cita el cierre de una planta de fertilizantes de BASF en Ludwigshafen y el traslado de inversiones de Volkswagen. Estos casos aparecen como ejemplos de una industria que busca otras localizaciones.</w:t>
      </w:r>
    </w:p>
    <w:p>
      <w:pPr>
        <w:pStyle w:val="Heading2"/>
      </w:pPr>
      <w:r>
        <w:t>Normas y mano de obra cualificada</w:t>
      </w:r>
    </w:p>
    <w:p>
      <w:r>
        <w:t>La segunda causa es la regulación europea. El autor describe un cuerpo normativo creciente que, según su tesis, las empresas no pueden absorber sin perder competitividad. Distingue entre regular y gobernar y presenta la acumulación normativa como un coste para la actividad industrial.</w:t>
      </w:r>
    </w:p>
    <w:p>
      <w:r>
        <w:t>La tercera causa es demográfica. Alemania, según la exposición, envejece con rapidez y la inmigración recibida no cubriría los puestos técnicos necesarios en sectores productivos clave. El resultado sería la existencia de pedidos que las empresas no consiguen ejecutar por falta de trabajadores cualificados.</w:t>
      </w:r>
    </w:p>
    <w:p>
      <w:pPr>
        <w:pStyle w:val="Heading2"/>
      </w:pPr>
      <w:r>
        <w:t>El Estado como motor de crecimiento</w:t>
      </w:r>
    </w:p>
    <w:p>
      <w:r>
        <w:t>La cuarta causa se refiere a la respuesta política. El autor alude al giro fiscal aprobado por el nuevo canciller, a un fondo especial de 500.000 millones de euros para infraestructura, a la exención del freno de deuda para gasto militar superior al 1 % del PIB y a un déficit proyectado del 4 %.</w:t>
      </w:r>
    </w:p>
    <w:p>
      <w:r>
        <w:t>La crítica del vídeo es que se responde a la debilidad del sector privado con un Estado de mayor tamaño. Cita la previsión de que el gasto público sea el principal motor de crecimiento y sostiene que esa fórmula no sustituye a una economía empresarial dinámica.</w:t>
      </w:r>
    </w:p>
    <w:p>
      <w:pPr>
        <w:spacing w:after="100"/>
        <w:pageBreakBefore/>
      </w:pPr>
      <w:r>
        <w:rPr>
          <w:rFonts w:ascii="Montserrat" w:hAnsi="Montserrat"/>
          <w:b/>
          <w:color w:val="A3483F"/>
          <w:sz w:val="18"/>
        </w:rPr>
        <w:t>03  /  CONTRASTE ESPAÑOL</w:t>
      </w:r>
    </w:p>
    <w:p>
      <w:pPr>
        <w:pStyle w:val="Heading1"/>
      </w:pPr>
      <w:r>
        <w:t>Crecimiento extensivo y productividad estancada</w:t>
      </w:r>
    </w:p>
    <w:p>
      <w:pPr>
        <w:spacing w:after="160" w:line="40" w:lineRule="exact"/>
        <w:pBdr>
          <w:bottom w:val="single" w:sz="14" w:color="C49A52"/>
        </w:pBdr>
      </w:pPr>
    </w:p>
    <w:p>
      <w:pPr>
        <w:spacing w:after="220"/>
      </w:pPr>
      <w:r>
        <w:rPr>
          <w:color w:val="142B3A"/>
          <w:sz w:val="16"/>
        </w:rPr>
        <w:t>VÍDEO  06:55–09:13</w:t>
      </w:r>
    </w:p>
    <w:p>
      <w:r>
        <w:t>Frente a la contracción alemana, el vídeo reconoce el crecimiento español del 3,5 % en 2024 y del 2,8 % en 2025. Sin embargo, sostiene que esas tasas requieren una lectura distinta de la que permitiría presentar a España como nuevo motor continental.</w:t>
      </w:r>
    </w:p>
    <w:p>
      <w:r>
        <w:t>El autor adopta la distinción atribuida a BBVA Research entre crecimiento extensivo e intensivo. España estaría creando más empleo y sumando población, mientras la producción por trabajador no aumenta en la misma medida. Recoge que la productividad por persona empleada estaría estancada y que la productividad por hora trabajada habría caído en el último trimestre de 2025.</w:t>
      </w:r>
    </w:p>
    <w:p>
      <w:pPr>
        <w:pStyle w:val="Heading2"/>
      </w:pPr>
      <w:r>
        <w:t>El desfase entre renta y empleo</w:t>
      </w:r>
    </w:p>
    <w:p>
      <w:r>
        <w:t>La exposición compara el cuarto trimestre de 2019 con el mismo periodo de 2025. Señala que el PIB per cápita español estaría un 5,6 % por encima del nivel previo a la pandemia, mientras que el PIB por persona empleada quedaría tres décimas por debajo. Para el autor, esta diferencia resume un modelo que añade trabajadores sin elevar de manera equivalente el valor generado por cada uno.</w:t>
      </w:r>
    </w:p>
    <w:p>
      <w:r>
        <w:t>También destaca el aumento de ocho millones de habitantes desde el año 2000. Lo relaciona con la inmigración y con una natalidad inferior a la mortalidad, y afirma que esa ampliación demográfica no habría reducido la distancia de renta con las principales economías europeas.</w:t>
      </w:r>
    </w:p>
    <w:tbl>
      <w:tblPr>
        <w:tblW w:type="auto" w:w="0"/>
        <w:jc w:val="center"/>
        <w:tblLayout w:type="fixed"/>
        <w:tblLook w:firstColumn="1" w:firstRow="1" w:lastColumn="0" w:lastRow="0" w:noHBand="0" w:noVBand="1" w:val="04A0"/>
      </w:tblPr>
      <w:tblGrid>
        <w:gridCol w:w="2268"/>
        <w:gridCol w:w="6973"/>
      </w:tblGrid>
      <w:tr>
        <w:trPr>
          <w:tblHeader/>
          <w:cantSplit/>
        </w:trPr>
        <w:tc>
          <w:tcPr>
            <w:tcW w:type="dxa" w:w="2268"/>
            <w:tcMar>
              <w:top w:w="100" w:type="dxa"/>
              <w:left w:w="100" w:type="dxa"/>
              <w:bottom w:w="100" w:type="dxa"/>
              <w:right w:w="100" w:type="dxa"/>
            </w:tcMar>
            <w:vAlign w:val="center"/>
            <w:shd w:fill="142B3A"/>
          </w:tcPr>
          <w:p>
            <w:pPr>
              <w:spacing w:after="40" w:line="254" w:lineRule="auto"/>
            </w:pPr>
            <w:r>
              <w:rPr>
                <w:b/>
                <w:color w:val="FFFFFF"/>
                <w:sz w:val="18"/>
              </w:rPr>
              <w:t>COMPARACIÓN CITADA 2000 A 2022</w:t>
            </w:r>
          </w:p>
        </w:tc>
        <w:tc>
          <w:tcPr>
            <w:tcW w:type="dxa" w:w="6973"/>
            <w:tcMar>
              <w:top w:w="100" w:type="dxa"/>
              <w:left w:w="100" w:type="dxa"/>
              <w:bottom w:w="100" w:type="dxa"/>
              <w:right w:w="100" w:type="dxa"/>
            </w:tcMar>
            <w:vAlign w:val="center"/>
            <w:shd w:fill="142B3A"/>
          </w:tcPr>
          <w:p>
            <w:pPr>
              <w:spacing w:after="40" w:line="254" w:lineRule="auto"/>
            </w:pPr>
            <w:r>
              <w:rPr>
                <w:b/>
                <w:color w:val="FFFFFF"/>
                <w:sz w:val="18"/>
              </w:rPr>
              <w:t>AUMENTO DEL PIB PER CÁPITA</w:t>
            </w:r>
          </w:p>
        </w:tc>
      </w:tr>
      <w:tr>
        <w:trPr>
          <w:cantSplit/>
        </w:trPr>
        <w:tc>
          <w:tcPr>
            <w:tcW w:type="dxa" w:w="2268"/>
            <w:tcMar>
              <w:top w:w="100" w:type="dxa"/>
              <w:left w:w="100" w:type="dxa"/>
              <w:bottom w:w="100" w:type="dxa"/>
              <w:right w:w="100" w:type="dxa"/>
            </w:tcMar>
            <w:vAlign w:val="center"/>
            <w:shd w:fill="F3F6F7"/>
          </w:tcPr>
          <w:p>
            <w:pPr>
              <w:spacing w:after="40" w:line="254" w:lineRule="auto"/>
            </w:pPr>
            <w:r>
              <w:rPr>
                <w:b w:val="0"/>
                <w:sz w:val="18"/>
              </w:rPr>
              <w:t>España</w:t>
            </w:r>
          </w:p>
        </w:tc>
        <w:tc>
          <w:tcPr>
            <w:tcW w:type="dxa" w:w="6973"/>
            <w:tcMar>
              <w:top w:w="100" w:type="dxa"/>
              <w:left w:w="100" w:type="dxa"/>
              <w:bottom w:w="100" w:type="dxa"/>
              <w:right w:w="100" w:type="dxa"/>
            </w:tcMar>
            <w:vAlign w:val="center"/>
            <w:shd w:fill="F3F6F7"/>
          </w:tcPr>
          <w:p>
            <w:pPr>
              <w:spacing w:after="40" w:line="254" w:lineRule="auto"/>
            </w:pPr>
            <w:r>
              <w:rPr>
                <w:b w:val="0"/>
                <w:sz w:val="18"/>
              </w:rPr>
              <w:t>12.300 euros</w:t>
            </w:r>
          </w:p>
        </w:tc>
      </w:tr>
      <w:tr>
        <w:trPr>
          <w:cantSplit/>
        </w:trPr>
        <w:tc>
          <w:tcPr>
            <w:tcW w:type="dxa" w:w="2268"/>
            <w:tcMar>
              <w:top w:w="100" w:type="dxa"/>
              <w:left w:w="100" w:type="dxa"/>
              <w:bottom w:w="100" w:type="dxa"/>
              <w:right w:w="100" w:type="dxa"/>
            </w:tcMar>
            <w:vAlign w:val="center"/>
            <w:shd w:fill="FFFFFF"/>
          </w:tcPr>
          <w:p>
            <w:pPr>
              <w:spacing w:after="40" w:line="254" w:lineRule="auto"/>
            </w:pPr>
            <w:r>
              <w:rPr>
                <w:b w:val="0"/>
                <w:sz w:val="18"/>
              </w:rPr>
              <w:t>Francia</w:t>
            </w:r>
          </w:p>
        </w:tc>
        <w:tc>
          <w:tcPr>
            <w:tcW w:type="dxa" w:w="6973"/>
            <w:tcMar>
              <w:top w:w="100" w:type="dxa"/>
              <w:left w:w="100" w:type="dxa"/>
              <w:bottom w:w="100" w:type="dxa"/>
              <w:right w:w="100" w:type="dxa"/>
            </w:tcMar>
            <w:vAlign w:val="center"/>
            <w:shd w:fill="FFFFFF"/>
          </w:tcPr>
          <w:p>
            <w:pPr>
              <w:spacing w:after="40" w:line="254" w:lineRule="auto"/>
            </w:pPr>
            <w:r>
              <w:rPr>
                <w:b w:val="0"/>
                <w:sz w:val="18"/>
              </w:rPr>
              <w:t>14.300 euros</w:t>
            </w:r>
          </w:p>
        </w:tc>
      </w:tr>
      <w:tr>
        <w:trPr>
          <w:cantSplit/>
        </w:trPr>
        <w:tc>
          <w:tcPr>
            <w:tcW w:type="dxa" w:w="2268"/>
            <w:tcMar>
              <w:top w:w="100" w:type="dxa"/>
              <w:left w:w="100" w:type="dxa"/>
              <w:bottom w:w="100" w:type="dxa"/>
              <w:right w:w="100" w:type="dxa"/>
            </w:tcMar>
            <w:vAlign w:val="center"/>
            <w:shd w:fill="F3F6F7"/>
          </w:tcPr>
          <w:p>
            <w:pPr>
              <w:spacing w:after="40" w:line="254" w:lineRule="auto"/>
            </w:pPr>
            <w:r>
              <w:rPr>
                <w:b w:val="0"/>
                <w:sz w:val="18"/>
              </w:rPr>
              <w:t>Alemania</w:t>
            </w:r>
          </w:p>
        </w:tc>
        <w:tc>
          <w:tcPr>
            <w:tcW w:type="dxa" w:w="6973"/>
            <w:tcMar>
              <w:top w:w="100" w:type="dxa"/>
              <w:left w:w="100" w:type="dxa"/>
              <w:bottom w:w="100" w:type="dxa"/>
              <w:right w:w="100" w:type="dxa"/>
            </w:tcMar>
            <w:vAlign w:val="center"/>
            <w:shd w:fill="F3F6F7"/>
          </w:tcPr>
          <w:p>
            <w:pPr>
              <w:spacing w:after="40" w:line="254" w:lineRule="auto"/>
            </w:pPr>
            <w:r>
              <w:rPr>
                <w:b w:val="0"/>
                <w:sz w:val="18"/>
              </w:rPr>
              <w:t>20.400 euros</w:t>
            </w:r>
          </w:p>
        </w:tc>
      </w:tr>
      <w:tr>
        <w:trPr>
          <w:cantSplit/>
        </w:trPr>
        <w:tc>
          <w:tcPr>
            <w:tcW w:type="dxa" w:w="2268"/>
            <w:tcMar>
              <w:top w:w="100" w:type="dxa"/>
              <w:left w:w="100" w:type="dxa"/>
              <w:bottom w:w="100" w:type="dxa"/>
              <w:right w:w="100" w:type="dxa"/>
            </w:tcMar>
            <w:vAlign w:val="center"/>
            <w:shd w:fill="FFFFFF"/>
          </w:tcPr>
          <w:p>
            <w:pPr>
              <w:spacing w:after="40" w:line="254" w:lineRule="auto"/>
            </w:pPr>
            <w:r>
              <w:rPr>
                <w:b w:val="0"/>
                <w:sz w:val="18"/>
              </w:rPr>
              <w:t>Países Bajos</w:t>
            </w:r>
          </w:p>
        </w:tc>
        <w:tc>
          <w:tcPr>
            <w:tcW w:type="dxa" w:w="6973"/>
            <w:tcMar>
              <w:top w:w="100" w:type="dxa"/>
              <w:left w:w="100" w:type="dxa"/>
              <w:bottom w:w="100" w:type="dxa"/>
              <w:right w:w="100" w:type="dxa"/>
            </w:tcMar>
            <w:vAlign w:val="center"/>
            <w:shd w:fill="FFFFFF"/>
          </w:tcPr>
          <w:p>
            <w:pPr>
              <w:spacing w:after="40" w:line="254" w:lineRule="auto"/>
            </w:pPr>
            <w:r>
              <w:rPr>
                <w:b w:val="0"/>
                <w:sz w:val="18"/>
              </w:rPr>
              <w:t>30.800 euros</w:t>
            </w:r>
          </w:p>
        </w:tc>
      </w:tr>
    </w:tbl>
    <w:tbl>
      <w:tblPr>
        <w:tblW w:type="auto" w:w="0"/>
        <w:jc w:val="center"/>
        <w:tblLayout w:type="fixed"/>
        <w:tblLook w:firstColumn="1" w:firstRow="1" w:lastColumn="0" w:lastRow="0" w:noHBand="0" w:noVBand="1" w:val="04A0"/>
      </w:tblPr>
      <w:tblGrid>
        <w:gridCol w:w="9241"/>
      </w:tblGrid>
      <w:tr>
        <w:trPr>
          <w:cantSplit/>
        </w:trPr>
        <w:tc>
          <w:tcPr>
            <w:tcW w:type="dxa" w:w="9242"/>
            <w:shd w:fill="E9EFF2"/>
            <w:tcMar>
              <w:top w:w="170" w:type="dxa"/>
              <w:left w:w="170" w:type="dxa"/>
              <w:bottom w:w="170" w:type="dxa"/>
              <w:right w:w="170" w:type="dxa"/>
            </w:tcMar>
          </w:tcPr>
          <w:p>
            <w:pPr>
              <w:keepNext/>
              <w:spacing w:after="100"/>
            </w:pPr>
            <w:r>
              <w:rPr>
                <w:rFonts w:ascii="Montserrat" w:hAnsi="Montserrat"/>
                <w:b/>
                <w:color w:val="A3483F"/>
                <w:sz w:val="18"/>
              </w:rPr>
              <w:t>LECTURA DEL AUTOR</w:t>
            </w:r>
          </w:p>
          <w:p>
            <w:pPr>
              <w:keepNext w:val="0"/>
              <w:spacing w:after="0" w:line="264" w:lineRule="auto"/>
            </w:pPr>
            <w:r>
              <w:rPr>
                <w:sz w:val="21"/>
              </w:rPr>
              <w:t>El crecimiento español que describe el vídeo se apoya principalmente en población y empleo. La cuestión decisiva no es la cantidad de ocupados, sino la productividad y el valor añadido que el sistema económico consigue generar por trabajador.</w:t>
            </w:r>
          </w:p>
        </w:tc>
      </w:tr>
    </w:tbl>
    <w:p>
      <w:pPr>
        <w:spacing w:after="100"/>
        <w:pageBreakBefore/>
      </w:pPr>
      <w:r>
        <w:rPr>
          <w:rFonts w:ascii="Montserrat" w:hAnsi="Montserrat"/>
          <w:b/>
          <w:color w:val="A3483F"/>
          <w:sz w:val="18"/>
        </w:rPr>
        <w:t>04  /  ESTRUCTURA PRODUCTIVA</w:t>
      </w:r>
    </w:p>
    <w:p>
      <w:pPr>
        <w:pStyle w:val="Heading1"/>
      </w:pPr>
      <w:r>
        <w:t>Inmigración servicios turismo y escala empresarial</w:t>
      </w:r>
    </w:p>
    <w:p>
      <w:pPr>
        <w:spacing w:after="160" w:line="40" w:lineRule="exact"/>
        <w:pBdr>
          <w:bottom w:val="single" w:sz="14" w:color="C49A52"/>
        </w:pBdr>
      </w:pPr>
    </w:p>
    <w:p>
      <w:pPr>
        <w:spacing w:after="220"/>
      </w:pPr>
      <w:r>
        <w:rPr>
          <w:color w:val="142B3A"/>
          <w:sz w:val="16"/>
        </w:rPr>
        <w:t>VÍDEO  08:21–11:52</w:t>
      </w:r>
    </w:p>
    <w:p>
      <w:r>
        <w:t>El vídeo sitúa buena parte de la incorporación de inmigración en hostelería, agricultura, cuidados y comercio. Sin formular un juicio sobre esos trabajos, el autor los caracteriza como sectores de productividad relativamente baja y sostiene que una oferta abundante de mano de obra menos cualificada reduciría los incentivos para automatizar e invertir en capital tecnológico.</w:t>
      </w:r>
    </w:p>
    <w:p>
      <w:r>
        <w:t>Según esta tesis, el mercado se ajustaría por costes laborales en lugar de hacerlo por productividad. El autor presenta esa elección como una explicación de la pérdida de riqueza relativa y como un límite para convertir el crecimiento del empleo en un modelo de salarios y capacidad industrial más altos.</w:t>
      </w:r>
    </w:p>
    <w:p>
      <w:pPr>
        <w:pStyle w:val="Heading2"/>
      </w:pPr>
      <w:r>
        <w:t>La dependencia turística</w:t>
      </w:r>
    </w:p>
    <w:p>
      <w:r>
        <w:t>El turismo aparece como un segundo pilar. El vídeo cifra su aportación en cerca de 260.000 millones de euros, el 16 % de la economía y 3,2 millones de empleos en 2025. Al mismo tiempo, subraya que el 13 % de los turistas internacionales que llegan a España son alemanes, solo por detrás de los británicos.</w:t>
      </w:r>
    </w:p>
    <w:p>
      <w:r>
        <w:t>De ese dato deriva una relación de vulnerabilidad: si el deterioro industrial alemán reduce empleo, salarios reales o consumo de los hogares, el gasto turístico dirigido a España podría verse afectado. El autor formula este vínculo como una prueba pendiente para el modelo hotelero español.</w:t>
      </w:r>
    </w:p>
    <w:p>
      <w:pPr>
        <w:pStyle w:val="Heading2"/>
      </w:pPr>
      <w:r>
        <w:t>Inditex y el tamaño de las empresas</w:t>
      </w:r>
    </w:p>
    <w:p>
      <w:r>
        <w:t>Inditex figura como prueba de que España puede crear una empresa global con logística, distribución y marca sofisticadas. El vídeo diferencia, no obstante, ese éxito comercial de la soberanía industrial asociada a chips, inteligencia artificial o grandes instalaciones manufactureras.</w:t>
      </w:r>
    </w:p>
    <w:p>
      <w:r>
        <w:t>El autor vincula el déficit de productividad con un tejido formado en un 99 % por pymes, muchas de ellas de dimensión muy reducida. Retoma la idea de que las empresas españolas encuentran dificultades para escalar y para asumir proyectos tecnológicos o industriales de gran tamaño.</w:t>
      </w:r>
    </w:p>
    <w:p>
      <w:pPr>
        <w:spacing w:after="100"/>
        <w:pageBreakBefore/>
      </w:pPr>
      <w:r>
        <w:rPr>
          <w:rFonts w:ascii="Montserrat" w:hAnsi="Montserrat"/>
          <w:b/>
          <w:color w:val="A3483F"/>
          <w:sz w:val="18"/>
        </w:rPr>
        <w:t>05  /  ACTIVOS EUROPEOS</w:t>
      </w:r>
    </w:p>
    <w:p>
      <w:pPr>
        <w:pStyle w:val="Heading1"/>
      </w:pPr>
      <w:r>
        <w:t>Productos estratégicos y el caso de ASML</w:t>
      </w:r>
    </w:p>
    <w:p>
      <w:pPr>
        <w:spacing w:after="160" w:line="40" w:lineRule="exact"/>
        <w:pBdr>
          <w:bottom w:val="single" w:sz="14" w:color="C49A52"/>
        </w:pBdr>
      </w:pPr>
    </w:p>
    <w:p>
      <w:pPr>
        <w:spacing w:after="220"/>
      </w:pPr>
      <w:r>
        <w:rPr>
          <w:color w:val="142B3A"/>
          <w:sz w:val="16"/>
        </w:rPr>
        <w:t>VÍDEO  11:52–14:04</w:t>
      </w:r>
    </w:p>
    <w:p>
      <w:r>
        <w:t>Después del diagnóstico sobre Alemania y España, el vídeo introduce un elemento de posibilidad: Europa conservaría palancas geoeconómicas relevantes frente a China y Estados Unidos. La exposición menciona un informe de la Geoestrategic Europe Task Force, Relearning the Language of Power, publicado en 2026 por expertos de diez Estados miembros.</w:t>
      </w:r>
    </w:p>
    <w:p>
      <w:r>
        <w:t>Según las cifras que recoge, China dependería de importaciones europeas que superarían el 80 % de su oferta mundial en 41 productos estratégicos; en el caso estadounidense, el número ascendería a 67. Los bienes citados incluyen materiales farmacéuticos activos, insulina, tecnologías médicas sin sustituto inmediato y maquinaria industrial especializada.</w:t>
      </w:r>
    </w:p>
    <w:p>
      <w:pPr>
        <w:pStyle w:val="Heading2"/>
      </w:pPr>
      <w:r>
        <w:t>Un cuello de botella tecnológico</w:t>
      </w:r>
    </w:p>
    <w:p>
      <w:r>
        <w:t>ASML, empresa neerlandesa fabricante de equipos de litografía ultravioleta extrema, ocupa el lugar central de este argumento. El autor explica que estas máquinas resultan necesarias para producir los chips más avanzados y que su complejidad impide una sustitución rápida por Pekín o Washington.</w:t>
      </w:r>
    </w:p>
    <w:p>
      <w:r>
        <w:t>Recuerda que el Gobierno de los Países Bajos restringió exportaciones de los equipos más avanzados a China en 2019 y 2023. Para la exposición, ese resultado demuestra que la palanca existe y tiene efectos sobre la capacidad china para producir semiconductores de última generación.</w:t>
      </w:r>
    </w:p>
    <w:tbl>
      <w:tblPr>
        <w:tblW w:type="auto" w:w="0"/>
        <w:jc w:val="center"/>
        <w:tblLayout w:type="fixed"/>
        <w:tblLook w:firstColumn="1" w:firstRow="1" w:lastColumn="0" w:lastRow="0" w:noHBand="0" w:noVBand="1" w:val="04A0"/>
      </w:tblPr>
      <w:tblGrid>
        <w:gridCol w:w="9241"/>
      </w:tblGrid>
      <w:tr>
        <w:trPr>
          <w:cantSplit/>
        </w:trPr>
        <w:tc>
          <w:tcPr>
            <w:tcW w:type="dxa" w:w="9242"/>
            <w:shd w:fill="E9EFF2"/>
            <w:tcMar>
              <w:top w:w="170" w:type="dxa"/>
              <w:left w:w="170" w:type="dxa"/>
              <w:bottom w:w="170" w:type="dxa"/>
              <w:right w:w="170" w:type="dxa"/>
            </w:tcMar>
          </w:tcPr>
          <w:p>
            <w:pPr>
              <w:keepNext/>
              <w:spacing w:after="100"/>
            </w:pPr>
            <w:r>
              <w:rPr>
                <w:rFonts w:ascii="Montserrat" w:hAnsi="Montserrat"/>
                <w:b/>
                <w:color w:val="A3483F"/>
                <w:sz w:val="18"/>
              </w:rPr>
              <w:t>DISTINCIÓN CLAVE</w:t>
            </w:r>
          </w:p>
          <w:p>
            <w:pPr>
              <w:keepNext w:val="0"/>
              <w:spacing w:after="0" w:line="264" w:lineRule="auto"/>
            </w:pPr>
            <w:r>
              <w:rPr>
                <w:sz w:val="21"/>
              </w:rPr>
              <w:t>Europa posee, en el relato del vídeo, activos tecnológicos e industriales de difícil sustitución. El problema no sería la ausencia de cartas, sino la capacidad de emplearlas de manera autónoma y coordinada.</w:t>
            </w:r>
          </w:p>
        </w:tc>
      </w:tr>
    </w:tbl>
    <w:p>
      <w:r>
        <w:t>El autor observa que la limitación neerlandesa se adoptó bajo presión directa de Washington y no como una decisión común de Bruselas. Esta diferencia sirve para introducir la cuestión posterior: poseer un recurso estratégico no equivale por sí mismo a ejercer poder.</w:t>
      </w:r>
    </w:p>
    <w:p>
      <w:pPr>
        <w:spacing w:after="100"/>
        <w:pageBreakBefore/>
      </w:pPr>
      <w:r>
        <w:rPr>
          <w:rFonts w:ascii="Montserrat" w:hAnsi="Montserrat"/>
          <w:b/>
          <w:color w:val="A3483F"/>
          <w:sz w:val="18"/>
        </w:rPr>
        <w:t>06  /  PODER Y DEPENDENCIA</w:t>
      </w:r>
    </w:p>
    <w:p>
      <w:pPr>
        <w:pStyle w:val="Heading1"/>
      </w:pPr>
      <w:r>
        <w:t>De la soberanía declarada a la capacidad de influir</w:t>
      </w:r>
    </w:p>
    <w:p>
      <w:pPr>
        <w:spacing w:after="160" w:line="40" w:lineRule="exact"/>
        <w:pBdr>
          <w:bottom w:val="single" w:sz="14" w:color="C49A52"/>
        </w:pBdr>
      </w:pPr>
    </w:p>
    <w:p>
      <w:pPr>
        <w:spacing w:after="220"/>
      </w:pPr>
      <w:r>
        <w:rPr>
          <w:color w:val="142B3A"/>
          <w:sz w:val="16"/>
        </w:rPr>
        <w:t>VÍDEO  14:04–15:13</w:t>
      </w:r>
    </w:p>
    <w:p>
      <w:r>
        <w:t>El vídeo contrapone dos conceptos. La soberanía reduce vulnerabilidades propias; el poder modifica los cálculos de otros actores. Según el autor, Europa habría invertido durante una década en la primera creyendo que con ello construía automáticamente la segunda.</w:t>
      </w:r>
    </w:p>
    <w:p>
      <w:r>
        <w:t>Para formular esa diferencia cita la idea de weaponized interdependence, atribuida a Henry Farrell y Abraham Newman. En una red global, quien controla nodos centrales puede transformar esas posiciones en instrumentos de coerción o negociación.</w:t>
      </w:r>
    </w:p>
    <w:p>
      <w:r>
        <w:t>El autor atribuye a China la comprensión de esa lógica mediante las tierras raras y a Estados Unidos mediante el dólar y la tecnología de chips. Europa, en cambio, aparecería en fase de aprendizaje mientras se debilita su base industrial.</w:t>
      </w:r>
    </w:p>
    <w:p>
      <w:pPr>
        <w:pStyle w:val="Heading2"/>
      </w:pPr>
      <w:r>
        <w:t>Competencia técnica y superioridad moral</w:t>
      </w:r>
    </w:p>
    <w:p>
      <w:r>
        <w:t>La exposición añade una crítica cultural y política: Europa habría priorizado una pretensión de superioridad moral antes de demostrar competencia técnica. El argumento culmina en que los activos estratégicos europeos quedarían infrautilizados porque no se traducen en una estrategia de poder efectivo.</w:t>
      </w:r>
    </w:p>
    <w:tbl>
      <w:tblPr>
        <w:tblW w:type="auto" w:w="0"/>
        <w:jc w:val="center"/>
        <w:tblLayout w:type="fixed"/>
        <w:tblLook w:firstColumn="1" w:firstRow="1" w:lastColumn="0" w:lastRow="0" w:noHBand="0" w:noVBand="1" w:val="04A0"/>
      </w:tblPr>
      <w:tblGrid>
        <w:gridCol w:w="9241"/>
      </w:tblGrid>
      <w:tr>
        <w:trPr>
          <w:cantSplit/>
        </w:trPr>
        <w:tc>
          <w:tcPr>
            <w:tcW w:type="dxa" w:w="9242"/>
            <w:shd w:fill="E9EFF2"/>
            <w:tcMar>
              <w:top w:w="170" w:type="dxa"/>
              <w:left w:w="170" w:type="dxa"/>
              <w:bottom w:w="170" w:type="dxa"/>
              <w:right w:w="170" w:type="dxa"/>
            </w:tcMar>
          </w:tcPr>
          <w:p>
            <w:pPr>
              <w:keepNext/>
              <w:spacing w:after="100"/>
            </w:pPr>
            <w:r>
              <w:rPr>
                <w:rFonts w:ascii="Montserrat" w:hAnsi="Montserrat"/>
                <w:b/>
                <w:color w:val="A3483F"/>
                <w:sz w:val="18"/>
              </w:rPr>
              <w:t>MECANISMO EXPUESTO</w:t>
            </w:r>
          </w:p>
          <w:p>
            <w:pPr>
              <w:keepNext w:val="0"/>
              <w:spacing w:after="0" w:line="264" w:lineRule="auto"/>
            </w:pPr>
            <w:r>
              <w:rPr>
                <w:sz w:val="21"/>
              </w:rPr>
              <w:t>La posición central de un producto, una red o una tecnología crea una posibilidad de influencia. Esa posibilidad solo se convierte en poder cuando existe una decisión política e industrial capaz de emplearla.</w:t>
            </w:r>
          </w:p>
        </w:tc>
      </w:tr>
    </w:tbl>
    <w:p>
      <w:pPr>
        <w:spacing w:after="100"/>
        <w:pageBreakBefore/>
      </w:pPr>
      <w:r>
        <w:rPr>
          <w:rFonts w:ascii="Montserrat" w:hAnsi="Montserrat"/>
          <w:b/>
          <w:color w:val="A3483F"/>
          <w:sz w:val="18"/>
        </w:rPr>
        <w:t>07  /  REGULACIÓN E INNOVACIÓN</w:t>
      </w:r>
    </w:p>
    <w:p>
      <w:pPr>
        <w:pStyle w:val="Heading1"/>
      </w:pPr>
      <w:r>
        <w:t>El efecto Bruselas sin músculo industrial</w:t>
      </w:r>
    </w:p>
    <w:p>
      <w:pPr>
        <w:spacing w:after="160" w:line="40" w:lineRule="exact"/>
        <w:pBdr>
          <w:bottom w:val="single" w:sz="14" w:color="C49A52"/>
        </w:pBdr>
      </w:pPr>
    </w:p>
    <w:p>
      <w:pPr>
        <w:spacing w:after="220"/>
      </w:pPr>
      <w:r>
        <w:rPr>
          <w:color w:val="142B3A"/>
          <w:sz w:val="16"/>
        </w:rPr>
        <w:t>VÍDEO  15:13–17:52</w:t>
      </w:r>
    </w:p>
    <w:p>
      <w:r>
        <w:t>El autor enumera RGPD, Ley de Inteligencia Artificial, Ley de Mercados Digitales, Ley de Servicios Digitales, Ley de Datos, NIS2 y Ley de Resiliencia Cibernética, entre otros marcos. Los presenta como una arquitectura jurídica destinada a regular sectores tecnológicos que serían mayoritariamente ajenos a Europa.</w:t>
      </w:r>
    </w:p>
    <w:p>
      <w:r>
        <w:t>El vídeo recupera el concepto de efecto Bruselas de Anu Bradford: durante años, las empresas globales que querían vender en el mercado europeo debían cumplir sus normas, que después se proyectaban al resto del mundo. Esa capacidad normativa habría supuesto una forma de influencia internacional.</w:t>
      </w:r>
    </w:p>
    <w:p>
      <w:r>
        <w:t>La tesis es que ese efecto dependía de que el resto de las potencias aceptara reglas comunes. Al caer ese supuesto, la regulación europea habría quedado sin una base tecnológica e industrial suficiente para respaldarla.</w:t>
      </w:r>
    </w:p>
    <w:p>
      <w:pPr>
        <w:pStyle w:val="Heading2"/>
      </w:pPr>
      <w:r>
        <w:t>El informe Draghi</w:t>
      </w:r>
    </w:p>
    <w:p>
      <w:r>
        <w:t>El autor enlaza esta crítica con el informe de Mario Draghi sobre competitividad europea, publicado en septiembre de 2024. Destaca la brecha tecnológica frente a Estados Unidos, la falta de financiación para empresas capaces de escalar y la insuficiente capacidad para convertir innovaciones en compañías de gran dimensión.</w:t>
      </w:r>
    </w:p>
    <w:p>
      <w:r>
        <w:t>Recoge la propuesta de invertir 800.000 millones de euros anuales en innovación, defensa y energía. Sin embargo, señala que, según el seguimiento de la Comisión citado en el vídeo, menos del 11 % de las 383 recomendaciones estaría en marcha. El diagnóstico existiría, pero la ejecución política resultaría insuficiente.</w:t>
      </w:r>
    </w:p>
    <w:p>
      <w:pPr>
        <w:spacing w:after="100"/>
        <w:pageBreakBefore/>
      </w:pPr>
      <w:r>
        <w:rPr>
          <w:rFonts w:ascii="Montserrat" w:hAnsi="Montserrat"/>
          <w:b/>
          <w:color w:val="A3483F"/>
          <w:sz w:val="18"/>
        </w:rPr>
        <w:t>08  /  PRESUPUESTO Y ESTRATEGIA</w:t>
      </w:r>
    </w:p>
    <w:p>
      <w:pPr>
        <w:pStyle w:val="Heading1"/>
      </w:pPr>
      <w:r>
        <w:t>La dificultad de convertir el diagnóstico en acción</w:t>
      </w:r>
    </w:p>
    <w:p>
      <w:pPr>
        <w:spacing w:after="160" w:line="40" w:lineRule="exact"/>
        <w:pBdr>
          <w:bottom w:val="single" w:sz="14" w:color="C49A52"/>
        </w:pBdr>
      </w:pPr>
    </w:p>
    <w:p>
      <w:pPr>
        <w:spacing w:after="220"/>
      </w:pPr>
      <w:r>
        <w:rPr>
          <w:color w:val="142B3A"/>
          <w:sz w:val="16"/>
        </w:rPr>
        <w:t>VÍDEO  17:52–20:28</w:t>
      </w:r>
    </w:p>
    <w:p>
      <w:r>
        <w:t>La parte final sitúa el debate en la negociación del presupuesto europeo para 2028–2034. El autor menciona una cifra de dos billones de euros y contrapone los debates sobre política agrícola, cohesión y aportaciones nacionales con la necesidad de una política industrial coherente.</w:t>
      </w:r>
    </w:p>
    <w:p>
      <w:r>
        <w:t>El fondo de competitividad de 409.000 millones de euros aparece como la iniciativa más cercana a esa política, pero el vídeo describe resistencias porque ampliaría la discrecionalidad de la Comisión y modificaría los equilibrios presupuestarios entre Estados miembros.</w:t>
      </w:r>
    </w:p>
    <w:p>
      <w:pPr>
        <w:pStyle w:val="Heading2"/>
      </w:pPr>
      <w:r>
        <w:t>Palancas que el vídeo reclama activar</w:t>
      </w:r>
    </w:p>
    <w:tbl>
      <w:tblPr>
        <w:tblW w:type="auto" w:w="0"/>
        <w:jc w:val="center"/>
        <w:tblLayout w:type="fixed"/>
        <w:tblLook w:firstColumn="1" w:firstRow="1" w:lastColumn="0" w:lastRow="0" w:noHBand="0" w:noVBand="1" w:val="04A0"/>
      </w:tblPr>
      <w:tblGrid>
        <w:gridCol w:w="2268"/>
        <w:gridCol w:w="6973"/>
      </w:tblGrid>
      <w:tr>
        <w:trPr>
          <w:tblHeader/>
          <w:cantSplit/>
        </w:trPr>
        <w:tc>
          <w:tcPr>
            <w:tcW w:type="dxa" w:w="2268"/>
            <w:tcMar>
              <w:top w:w="100" w:type="dxa"/>
              <w:left w:w="100" w:type="dxa"/>
              <w:bottom w:w="100" w:type="dxa"/>
              <w:right w:w="100" w:type="dxa"/>
            </w:tcMar>
            <w:vAlign w:val="center"/>
            <w:shd w:fill="142B3A"/>
          </w:tcPr>
          <w:p>
            <w:pPr>
              <w:spacing w:after="40" w:line="254" w:lineRule="auto"/>
            </w:pPr>
            <w:r>
              <w:rPr>
                <w:b/>
                <w:color w:val="FFFFFF"/>
                <w:sz w:val="18"/>
              </w:rPr>
              <w:t>ÁMBITO</w:t>
            </w:r>
          </w:p>
        </w:tc>
        <w:tc>
          <w:tcPr>
            <w:tcW w:type="dxa" w:w="6973"/>
            <w:tcMar>
              <w:top w:w="100" w:type="dxa"/>
              <w:left w:w="100" w:type="dxa"/>
              <w:bottom w:w="100" w:type="dxa"/>
              <w:right w:w="100" w:type="dxa"/>
            </w:tcMar>
            <w:vAlign w:val="center"/>
            <w:shd w:fill="142B3A"/>
          </w:tcPr>
          <w:p>
            <w:pPr>
              <w:spacing w:after="40" w:line="254" w:lineRule="auto"/>
            </w:pPr>
            <w:r>
              <w:rPr>
                <w:b/>
                <w:color w:val="FFFFFF"/>
                <w:sz w:val="18"/>
              </w:rPr>
              <w:t>FUNCIÓN QUE LE ATRIBUYE EL AUTOR</w:t>
            </w:r>
          </w:p>
        </w:tc>
      </w:tr>
      <w:tr>
        <w:trPr>
          <w:cantSplit/>
        </w:trPr>
        <w:tc>
          <w:tcPr>
            <w:tcW w:type="dxa" w:w="2268"/>
            <w:tcMar>
              <w:top w:w="100" w:type="dxa"/>
              <w:left w:w="100" w:type="dxa"/>
              <w:bottom w:w="100" w:type="dxa"/>
              <w:right w:w="100" w:type="dxa"/>
            </w:tcMar>
            <w:vAlign w:val="center"/>
            <w:shd w:fill="F3F6F7"/>
          </w:tcPr>
          <w:p>
            <w:pPr>
              <w:spacing w:after="40" w:line="254" w:lineRule="auto"/>
            </w:pPr>
            <w:r>
              <w:rPr>
                <w:b w:val="0"/>
                <w:sz w:val="18"/>
              </w:rPr>
              <w:t>Energía</w:t>
            </w:r>
          </w:p>
        </w:tc>
        <w:tc>
          <w:tcPr>
            <w:tcW w:type="dxa" w:w="6973"/>
            <w:tcMar>
              <w:top w:w="100" w:type="dxa"/>
              <w:left w:w="100" w:type="dxa"/>
              <w:bottom w:w="100" w:type="dxa"/>
              <w:right w:w="100" w:type="dxa"/>
            </w:tcMar>
            <w:vAlign w:val="center"/>
            <w:shd w:fill="F3F6F7"/>
          </w:tcPr>
          <w:p>
            <w:pPr>
              <w:spacing w:after="40" w:line="254" w:lineRule="auto"/>
            </w:pPr>
            <w:r>
              <w:rPr>
                <w:b w:val="0"/>
                <w:sz w:val="18"/>
              </w:rPr>
              <w:t>Recuperar costes competitivos y asegurar disponibilidad industrial.</w:t>
            </w:r>
          </w:p>
        </w:tc>
      </w:tr>
      <w:tr>
        <w:trPr>
          <w:cantSplit/>
        </w:trPr>
        <w:tc>
          <w:tcPr>
            <w:tcW w:type="dxa" w:w="2268"/>
            <w:tcMar>
              <w:top w:w="100" w:type="dxa"/>
              <w:left w:w="100" w:type="dxa"/>
              <w:bottom w:w="100" w:type="dxa"/>
              <w:right w:w="100" w:type="dxa"/>
            </w:tcMar>
            <w:vAlign w:val="center"/>
            <w:shd w:fill="FFFFFF"/>
          </w:tcPr>
          <w:p>
            <w:pPr>
              <w:spacing w:after="40" w:line="254" w:lineRule="auto"/>
            </w:pPr>
            <w:r>
              <w:rPr>
                <w:b w:val="0"/>
                <w:sz w:val="18"/>
              </w:rPr>
              <w:t>Industria</w:t>
            </w:r>
          </w:p>
        </w:tc>
        <w:tc>
          <w:tcPr>
            <w:tcW w:type="dxa" w:w="6973"/>
            <w:tcMar>
              <w:top w:w="100" w:type="dxa"/>
              <w:left w:w="100" w:type="dxa"/>
              <w:bottom w:w="100" w:type="dxa"/>
              <w:right w:w="100" w:type="dxa"/>
            </w:tcMar>
            <w:vAlign w:val="center"/>
            <w:shd w:fill="FFFFFF"/>
          </w:tcPr>
          <w:p>
            <w:pPr>
              <w:spacing w:after="40" w:line="254" w:lineRule="auto"/>
            </w:pPr>
            <w:r>
              <w:rPr>
                <w:b w:val="0"/>
                <w:sz w:val="18"/>
              </w:rPr>
              <w:t>Reforzar fabricación, cadenas productivas y escala empresarial.</w:t>
            </w:r>
          </w:p>
        </w:tc>
      </w:tr>
      <w:tr>
        <w:trPr>
          <w:cantSplit/>
        </w:trPr>
        <w:tc>
          <w:tcPr>
            <w:tcW w:type="dxa" w:w="2268"/>
            <w:tcMar>
              <w:top w:w="100" w:type="dxa"/>
              <w:left w:w="100" w:type="dxa"/>
              <w:bottom w:w="100" w:type="dxa"/>
              <w:right w:w="100" w:type="dxa"/>
            </w:tcMar>
            <w:vAlign w:val="center"/>
            <w:shd w:fill="F3F6F7"/>
          </w:tcPr>
          <w:p>
            <w:pPr>
              <w:spacing w:after="40" w:line="254" w:lineRule="auto"/>
            </w:pPr>
            <w:r>
              <w:rPr>
                <w:b w:val="0"/>
                <w:sz w:val="18"/>
              </w:rPr>
              <w:t>Tecnología</w:t>
            </w:r>
          </w:p>
        </w:tc>
        <w:tc>
          <w:tcPr>
            <w:tcW w:type="dxa" w:w="6973"/>
            <w:tcMar>
              <w:top w:w="100" w:type="dxa"/>
              <w:left w:w="100" w:type="dxa"/>
              <w:bottom w:w="100" w:type="dxa"/>
              <w:right w:w="100" w:type="dxa"/>
            </w:tcMar>
            <w:vAlign w:val="center"/>
            <w:shd w:fill="F3F6F7"/>
          </w:tcPr>
          <w:p>
            <w:pPr>
              <w:spacing w:after="40" w:line="254" w:lineRule="auto"/>
            </w:pPr>
            <w:r>
              <w:rPr>
                <w:b w:val="0"/>
                <w:sz w:val="18"/>
              </w:rPr>
              <w:t>Convertir conocimiento, activos críticos y empresas en capacidad efectiva.</w:t>
            </w:r>
          </w:p>
        </w:tc>
      </w:tr>
      <w:tr>
        <w:trPr>
          <w:cantSplit/>
        </w:trPr>
        <w:tc>
          <w:tcPr>
            <w:tcW w:type="dxa" w:w="2268"/>
            <w:tcMar>
              <w:top w:w="100" w:type="dxa"/>
              <w:left w:w="100" w:type="dxa"/>
              <w:bottom w:w="100" w:type="dxa"/>
              <w:right w:w="100" w:type="dxa"/>
            </w:tcMar>
            <w:vAlign w:val="center"/>
            <w:shd w:fill="FFFFFF"/>
          </w:tcPr>
          <w:p>
            <w:pPr>
              <w:spacing w:after="40" w:line="254" w:lineRule="auto"/>
            </w:pPr>
            <w:r>
              <w:rPr>
                <w:b w:val="0"/>
                <w:sz w:val="18"/>
              </w:rPr>
              <w:t>Política europea</w:t>
            </w:r>
          </w:p>
        </w:tc>
        <w:tc>
          <w:tcPr>
            <w:tcW w:type="dxa" w:w="6973"/>
            <w:tcMar>
              <w:top w:w="100" w:type="dxa"/>
              <w:left w:w="100" w:type="dxa"/>
              <w:bottom w:w="100" w:type="dxa"/>
              <w:right w:w="100" w:type="dxa"/>
            </w:tcMar>
            <w:vAlign w:val="center"/>
            <w:shd w:fill="FFFFFF"/>
          </w:tcPr>
          <w:p>
            <w:pPr>
              <w:spacing w:after="40" w:line="254" w:lineRule="auto"/>
            </w:pPr>
            <w:r>
              <w:rPr>
                <w:b w:val="0"/>
                <w:sz w:val="18"/>
              </w:rPr>
              <w:t>Coordinar recursos y emplear las dependencias estratégicas existentes.</w:t>
            </w:r>
          </w:p>
        </w:tc>
      </w:tr>
    </w:tbl>
    <w:p>
      <w:r>
        <w:t>La exposición no presenta estas palancas como recursos inexistentes, sino como capacidades que Europa poseería sin utilizarlas de manera conjunta. La principal crítica se dirige a la distancia entre informes, reglamentos y presupuestos, por un lado, y ejecución industrial y tecnológica, por otro.</w:t>
      </w:r>
    </w:p>
    <w:p>
      <w:pPr>
        <w:spacing w:after="100"/>
        <w:pageBreakBefore/>
      </w:pPr>
      <w:r>
        <w:rPr>
          <w:rFonts w:ascii="Montserrat" w:hAnsi="Montserrat"/>
          <w:b/>
          <w:color w:val="A3483F"/>
          <w:sz w:val="18"/>
        </w:rPr>
        <w:t>09  /  CONCLUSIÓN</w:t>
      </w:r>
    </w:p>
    <w:p>
      <w:pPr>
        <w:pStyle w:val="Heading1"/>
      </w:pPr>
      <w:r>
        <w:t>Una Europa construida fábrica a fábrica</w:t>
      </w:r>
    </w:p>
    <w:p>
      <w:pPr>
        <w:spacing w:after="160" w:line="40" w:lineRule="exact"/>
        <w:pBdr>
          <w:bottom w:val="single" w:sz="14" w:color="C49A52"/>
        </w:pBdr>
      </w:pPr>
    </w:p>
    <w:p>
      <w:pPr>
        <w:spacing w:after="220"/>
      </w:pPr>
      <w:r>
        <w:rPr>
          <w:color w:val="142B3A"/>
          <w:sz w:val="16"/>
        </w:rPr>
        <w:t>VÍDEO  20:28–23:28</w:t>
      </w:r>
    </w:p>
    <w:p>
      <w:r>
        <w:t>El cierre retoma las tres figuras del vídeo: una Alemania que pierde músculo industrial, una España que crece mediante población, empleo y servicios, y una Europa con activos valiosos que no consigue convertirlos en una estrategia común de productividad, industria y autonomía.</w:t>
      </w:r>
    </w:p>
    <w:p>
      <w:r>
        <w:t>El autor invita a no asumir el relato de los nuevos motores europeos. En el caso español, interpreta el crecimiento como un modelo apoyado en demografía, turismo y, de forma indirecta, en la capacidad de gasto de visitantes de países como Alemania.</w:t>
      </w:r>
    </w:p>
    <w:p>
      <w:r>
        <w:t>La segunda conclusión es que el problema europeo no se resolvería con una ampliación de las mismas políticas. La fórmula final del vídeo establece que la ética sin capacidad técnica queda reducida a decoración y que la regulación sin industria se convierte en burocracia.</w:t>
      </w:r>
    </w:p>
    <w:tbl>
      <w:tblPr>
        <w:tblW w:type="auto" w:w="0"/>
        <w:jc w:val="center"/>
        <w:tblLayout w:type="fixed"/>
        <w:tblLook w:firstColumn="1" w:firstRow="1" w:lastColumn="0" w:lastRow="0" w:noHBand="0" w:noVBand="1" w:val="04A0"/>
      </w:tblPr>
      <w:tblGrid>
        <w:gridCol w:w="9241"/>
      </w:tblGrid>
      <w:tr>
        <w:trPr>
          <w:cantSplit/>
        </w:trPr>
        <w:tc>
          <w:tcPr>
            <w:tcW w:type="dxa" w:w="9242"/>
            <w:shd w:fill="E9EFF2"/>
            <w:tcMar>
              <w:top w:w="170" w:type="dxa"/>
              <w:left w:w="170" w:type="dxa"/>
              <w:bottom w:w="170" w:type="dxa"/>
              <w:right w:w="170" w:type="dxa"/>
            </w:tcMar>
          </w:tcPr>
          <w:p>
            <w:pPr>
              <w:keepNext/>
              <w:spacing w:after="100"/>
            </w:pPr>
            <w:r>
              <w:rPr>
                <w:rFonts w:ascii="Montserrat" w:hAnsi="Montserrat"/>
                <w:b/>
                <w:color w:val="A3483F"/>
                <w:sz w:val="18"/>
              </w:rPr>
              <w:t>SÍNTESIS FINAL DE LA EXPOSICIÓN</w:t>
            </w:r>
          </w:p>
          <w:p>
            <w:pPr>
              <w:keepNext w:val="0"/>
              <w:spacing w:after="0" w:line="264" w:lineRule="auto"/>
            </w:pPr>
            <w:r>
              <w:rPr>
                <w:sz w:val="21"/>
              </w:rPr>
              <w:t>La soberanía no se proclama: se construye mediante energía competitiva, inversión, industria, tecnología, empresas capaces de escalar y control de cadenas productivas críticas. Europa dispondría de elementos para ello, pero necesitaría convertirlos en una capacidad coordinada de decisión.</w:t>
            </w:r>
          </w:p>
        </w:tc>
      </w:tr>
    </w:tbl>
    <w:p>
      <w:r>
        <w:t>El vídeo concluye con una llamada a observar los procesos que se encuentran detrás de los titulares económicos y a tomar decisiones personales con conocimiento de esas tendencias. Mantiene abierta la posibilidad de que el aviso de Draghi o el giro fiscal alemán produzcan cambios, sin afirmar que vayan a hacerlo.</w:t>
      </w:r>
    </w:p>
    <w:p>
      <w:pPr>
        <w:spacing w:after="100"/>
        <w:pageBreakBefore/>
      </w:pPr>
      <w:r>
        <w:rPr>
          <w:rFonts w:ascii="Montserrat" w:hAnsi="Montserrat"/>
          <w:b/>
          <w:color w:val="A3483F"/>
          <w:sz w:val="18"/>
        </w:rPr>
        <w:t>10  /  MAPA TEMPORAL</w:t>
      </w:r>
    </w:p>
    <w:p>
      <w:pPr>
        <w:pStyle w:val="Heading1"/>
      </w:pPr>
      <w:r>
        <w:t>Recorrido de la exposición</w:t>
      </w:r>
    </w:p>
    <w:p>
      <w:pPr>
        <w:spacing w:after="160" w:line="40" w:lineRule="exact"/>
        <w:pBdr>
          <w:bottom w:val="single" w:sz="14" w:color="C49A52"/>
        </w:pBdr>
      </w:pPr>
    </w:p>
    <w:p>
      <w:pPr>
        <w:spacing w:after="220"/>
      </w:pPr>
      <w:r>
        <w:rPr>
          <w:color w:val="142B3A"/>
          <w:sz w:val="16"/>
        </w:rPr>
        <w:t>VÍDEO  00:00–23:28</w:t>
      </w:r>
    </w:p>
    <w:tbl>
      <w:tblPr>
        <w:tblW w:type="auto" w:w="0"/>
        <w:jc w:val="center"/>
        <w:tblLayout w:type="fixed"/>
        <w:tblLook w:firstColumn="1" w:firstRow="1" w:lastColumn="0" w:lastRow="0" w:noHBand="0" w:noVBand="1" w:val="04A0"/>
      </w:tblPr>
      <w:tblGrid>
        <w:gridCol w:w="2268"/>
        <w:gridCol w:w="6973"/>
      </w:tblGrid>
      <w:tr>
        <w:trPr>
          <w:tblHeader/>
          <w:cantSplit/>
        </w:trPr>
        <w:tc>
          <w:tcPr>
            <w:tcW w:type="dxa" w:w="2268"/>
            <w:tcMar>
              <w:top w:w="100" w:type="dxa"/>
              <w:left w:w="100" w:type="dxa"/>
              <w:bottom w:w="100" w:type="dxa"/>
              <w:right w:w="100" w:type="dxa"/>
            </w:tcMar>
            <w:vAlign w:val="center"/>
            <w:shd w:fill="142B3A"/>
          </w:tcPr>
          <w:p>
            <w:pPr>
              <w:spacing w:after="40" w:line="254" w:lineRule="auto"/>
            </w:pPr>
            <w:r>
              <w:rPr>
                <w:b/>
                <w:color w:val="FFFFFF"/>
                <w:sz w:val="18"/>
              </w:rPr>
              <w:t>TRAMO</w:t>
            </w:r>
          </w:p>
        </w:tc>
        <w:tc>
          <w:tcPr>
            <w:tcW w:type="dxa" w:w="6973"/>
            <w:tcMar>
              <w:top w:w="100" w:type="dxa"/>
              <w:left w:w="100" w:type="dxa"/>
              <w:bottom w:w="100" w:type="dxa"/>
              <w:right w:w="100" w:type="dxa"/>
            </w:tcMar>
            <w:vAlign w:val="center"/>
            <w:shd w:fill="142B3A"/>
          </w:tcPr>
          <w:p>
            <w:pPr>
              <w:spacing w:after="40" w:line="254" w:lineRule="auto"/>
            </w:pPr>
            <w:r>
              <w:rPr>
                <w:b/>
                <w:color w:val="FFFFFF"/>
                <w:sz w:val="18"/>
              </w:rPr>
              <w:t>CONTENIDO</w:t>
            </w:r>
          </w:p>
        </w:tc>
      </w:tr>
      <w:tr>
        <w:trPr>
          <w:cantSplit/>
        </w:trPr>
        <w:tc>
          <w:tcPr>
            <w:tcW w:type="dxa" w:w="2268"/>
            <w:tcMar>
              <w:top w:w="100" w:type="dxa"/>
              <w:left w:w="100" w:type="dxa"/>
              <w:bottom w:w="100" w:type="dxa"/>
              <w:right w:w="100" w:type="dxa"/>
            </w:tcMar>
            <w:vAlign w:val="center"/>
            <w:shd w:fill="F3F6F7"/>
          </w:tcPr>
          <w:p>
            <w:pPr>
              <w:spacing w:after="40" w:line="254" w:lineRule="auto"/>
            </w:pPr>
            <w:r>
              <w:rPr>
                <w:b w:val="0"/>
                <w:sz w:val="18"/>
              </w:rPr>
              <w:t>00:00–03:38</w:t>
            </w:r>
          </w:p>
        </w:tc>
        <w:tc>
          <w:tcPr>
            <w:tcW w:type="dxa" w:w="6973"/>
            <w:tcMar>
              <w:top w:w="100" w:type="dxa"/>
              <w:left w:w="100" w:type="dxa"/>
              <w:bottom w:w="100" w:type="dxa"/>
              <w:right w:w="100" w:type="dxa"/>
            </w:tcMar>
            <w:vAlign w:val="center"/>
            <w:shd w:fill="F3F6F7"/>
          </w:tcPr>
          <w:p>
            <w:pPr>
              <w:spacing w:after="40" w:line="254" w:lineRule="auto"/>
            </w:pPr>
            <w:r>
              <w:rPr>
                <w:b w:val="0"/>
                <w:sz w:val="18"/>
              </w:rPr>
              <w:t>Cierres empresariales, contracción y pérdida de inversión privada en Alemania.</w:t>
            </w:r>
          </w:p>
        </w:tc>
      </w:tr>
      <w:tr>
        <w:trPr>
          <w:cantSplit/>
        </w:trPr>
        <w:tc>
          <w:tcPr>
            <w:tcW w:type="dxa" w:w="2268"/>
            <w:tcMar>
              <w:top w:w="100" w:type="dxa"/>
              <w:left w:w="100" w:type="dxa"/>
              <w:bottom w:w="100" w:type="dxa"/>
              <w:right w:w="100" w:type="dxa"/>
            </w:tcMar>
            <w:vAlign w:val="center"/>
            <w:shd w:fill="FFFFFF"/>
          </w:tcPr>
          <w:p>
            <w:pPr>
              <w:spacing w:after="40" w:line="254" w:lineRule="auto"/>
            </w:pPr>
            <w:r>
              <w:rPr>
                <w:b w:val="0"/>
                <w:sz w:val="18"/>
              </w:rPr>
              <w:t>04:07–06:33</w:t>
            </w:r>
          </w:p>
        </w:tc>
        <w:tc>
          <w:tcPr>
            <w:tcW w:type="dxa" w:w="6973"/>
            <w:tcMar>
              <w:top w:w="100" w:type="dxa"/>
              <w:left w:w="100" w:type="dxa"/>
              <w:bottom w:w="100" w:type="dxa"/>
              <w:right w:w="100" w:type="dxa"/>
            </w:tcMar>
            <w:vAlign w:val="center"/>
            <w:shd w:fill="FFFFFF"/>
          </w:tcPr>
          <w:p>
            <w:pPr>
              <w:spacing w:after="40" w:line="254" w:lineRule="auto"/>
            </w:pPr>
            <w:r>
              <w:rPr>
                <w:b w:val="0"/>
                <w:sz w:val="18"/>
              </w:rPr>
              <w:t>Energía, regulación, demografía y respuesta fiscal alemana.</w:t>
            </w:r>
          </w:p>
        </w:tc>
      </w:tr>
      <w:tr>
        <w:trPr>
          <w:cantSplit/>
        </w:trPr>
        <w:tc>
          <w:tcPr>
            <w:tcW w:type="dxa" w:w="2268"/>
            <w:tcMar>
              <w:top w:w="100" w:type="dxa"/>
              <w:left w:w="100" w:type="dxa"/>
              <w:bottom w:w="100" w:type="dxa"/>
              <w:right w:w="100" w:type="dxa"/>
            </w:tcMar>
            <w:vAlign w:val="center"/>
            <w:shd w:fill="F3F6F7"/>
          </w:tcPr>
          <w:p>
            <w:pPr>
              <w:spacing w:after="40" w:line="254" w:lineRule="auto"/>
            </w:pPr>
            <w:r>
              <w:rPr>
                <w:b w:val="0"/>
                <w:sz w:val="18"/>
              </w:rPr>
              <w:t>06:55–11:52</w:t>
            </w:r>
          </w:p>
        </w:tc>
        <w:tc>
          <w:tcPr>
            <w:tcW w:type="dxa" w:w="6973"/>
            <w:tcMar>
              <w:top w:w="100" w:type="dxa"/>
              <w:left w:w="100" w:type="dxa"/>
              <w:bottom w:w="100" w:type="dxa"/>
              <w:right w:w="100" w:type="dxa"/>
            </w:tcMar>
            <w:vAlign w:val="center"/>
            <w:shd w:fill="F3F6F7"/>
          </w:tcPr>
          <w:p>
            <w:pPr>
              <w:spacing w:after="40" w:line="254" w:lineRule="auto"/>
            </w:pPr>
            <w:r>
              <w:rPr>
                <w:b w:val="0"/>
                <w:sz w:val="18"/>
              </w:rPr>
              <w:t>Crecimiento español, productividad, inmigración, turismo y empresas.</w:t>
            </w:r>
          </w:p>
        </w:tc>
      </w:tr>
      <w:tr>
        <w:trPr>
          <w:cantSplit/>
        </w:trPr>
        <w:tc>
          <w:tcPr>
            <w:tcW w:type="dxa" w:w="2268"/>
            <w:tcMar>
              <w:top w:w="100" w:type="dxa"/>
              <w:left w:w="100" w:type="dxa"/>
              <w:bottom w:w="100" w:type="dxa"/>
              <w:right w:w="100" w:type="dxa"/>
            </w:tcMar>
            <w:vAlign w:val="center"/>
            <w:shd w:fill="FFFFFF"/>
          </w:tcPr>
          <w:p>
            <w:pPr>
              <w:spacing w:after="40" w:line="254" w:lineRule="auto"/>
            </w:pPr>
            <w:r>
              <w:rPr>
                <w:b w:val="0"/>
                <w:sz w:val="18"/>
              </w:rPr>
              <w:t>11:52–14:04</w:t>
            </w:r>
          </w:p>
        </w:tc>
        <w:tc>
          <w:tcPr>
            <w:tcW w:type="dxa" w:w="6973"/>
            <w:tcMar>
              <w:top w:w="100" w:type="dxa"/>
              <w:left w:w="100" w:type="dxa"/>
              <w:bottom w:w="100" w:type="dxa"/>
              <w:right w:w="100" w:type="dxa"/>
            </w:tcMar>
            <w:vAlign w:val="center"/>
            <w:shd w:fill="FFFFFF"/>
          </w:tcPr>
          <w:p>
            <w:pPr>
              <w:spacing w:after="40" w:line="254" w:lineRule="auto"/>
            </w:pPr>
            <w:r>
              <w:rPr>
                <w:b w:val="0"/>
                <w:sz w:val="18"/>
              </w:rPr>
              <w:t>Productos estratégicos europeos y papel de ASML.</w:t>
            </w:r>
          </w:p>
        </w:tc>
      </w:tr>
      <w:tr>
        <w:trPr>
          <w:cantSplit/>
        </w:trPr>
        <w:tc>
          <w:tcPr>
            <w:tcW w:type="dxa" w:w="2268"/>
            <w:tcMar>
              <w:top w:w="100" w:type="dxa"/>
              <w:left w:w="100" w:type="dxa"/>
              <w:bottom w:w="100" w:type="dxa"/>
              <w:right w:w="100" w:type="dxa"/>
            </w:tcMar>
            <w:vAlign w:val="center"/>
            <w:shd w:fill="F3F6F7"/>
          </w:tcPr>
          <w:p>
            <w:pPr>
              <w:spacing w:after="40" w:line="254" w:lineRule="auto"/>
            </w:pPr>
            <w:r>
              <w:rPr>
                <w:b w:val="0"/>
                <w:sz w:val="18"/>
              </w:rPr>
              <w:t>14:04–17:52</w:t>
            </w:r>
          </w:p>
        </w:tc>
        <w:tc>
          <w:tcPr>
            <w:tcW w:type="dxa" w:w="6973"/>
            <w:tcMar>
              <w:top w:w="100" w:type="dxa"/>
              <w:left w:w="100" w:type="dxa"/>
              <w:bottom w:w="100" w:type="dxa"/>
              <w:right w:w="100" w:type="dxa"/>
            </w:tcMar>
            <w:vAlign w:val="center"/>
            <w:shd w:fill="F3F6F7"/>
          </w:tcPr>
          <w:p>
            <w:pPr>
              <w:spacing w:after="40" w:line="254" w:lineRule="auto"/>
            </w:pPr>
            <w:r>
              <w:rPr>
                <w:b w:val="0"/>
                <w:sz w:val="18"/>
              </w:rPr>
              <w:t>Soberanía, poder, efecto Bruselas e informe Draghi.</w:t>
            </w:r>
          </w:p>
        </w:tc>
      </w:tr>
      <w:tr>
        <w:trPr>
          <w:cantSplit/>
        </w:trPr>
        <w:tc>
          <w:tcPr>
            <w:tcW w:type="dxa" w:w="2268"/>
            <w:tcMar>
              <w:top w:w="100" w:type="dxa"/>
              <w:left w:w="100" w:type="dxa"/>
              <w:bottom w:w="100" w:type="dxa"/>
              <w:right w:w="100" w:type="dxa"/>
            </w:tcMar>
            <w:vAlign w:val="center"/>
            <w:shd w:fill="FFFFFF"/>
          </w:tcPr>
          <w:p>
            <w:pPr>
              <w:spacing w:after="40" w:line="254" w:lineRule="auto"/>
            </w:pPr>
            <w:r>
              <w:rPr>
                <w:b w:val="0"/>
                <w:sz w:val="18"/>
              </w:rPr>
              <w:t>17:52–20:28</w:t>
            </w:r>
          </w:p>
        </w:tc>
        <w:tc>
          <w:tcPr>
            <w:tcW w:type="dxa" w:w="6973"/>
            <w:tcMar>
              <w:top w:w="100" w:type="dxa"/>
              <w:left w:w="100" w:type="dxa"/>
              <w:bottom w:w="100" w:type="dxa"/>
              <w:right w:w="100" w:type="dxa"/>
            </w:tcMar>
            <w:vAlign w:val="center"/>
            <w:shd w:fill="FFFFFF"/>
          </w:tcPr>
          <w:p>
            <w:pPr>
              <w:spacing w:after="40" w:line="254" w:lineRule="auto"/>
            </w:pPr>
            <w:r>
              <w:rPr>
                <w:b w:val="0"/>
                <w:sz w:val="18"/>
              </w:rPr>
              <w:t>Presupuesto europeo y ejecución de una política de competitividad.</w:t>
            </w:r>
          </w:p>
        </w:tc>
      </w:tr>
      <w:tr>
        <w:trPr>
          <w:cantSplit/>
        </w:trPr>
        <w:tc>
          <w:tcPr>
            <w:tcW w:type="dxa" w:w="2268"/>
            <w:tcMar>
              <w:top w:w="100" w:type="dxa"/>
              <w:left w:w="100" w:type="dxa"/>
              <w:bottom w:w="100" w:type="dxa"/>
              <w:right w:w="100" w:type="dxa"/>
            </w:tcMar>
            <w:vAlign w:val="center"/>
            <w:shd w:fill="F3F6F7"/>
          </w:tcPr>
          <w:p>
            <w:pPr>
              <w:spacing w:after="40" w:line="254" w:lineRule="auto"/>
            </w:pPr>
            <w:r>
              <w:rPr>
                <w:b w:val="0"/>
                <w:sz w:val="18"/>
              </w:rPr>
              <w:t>20:28–23:28</w:t>
            </w:r>
          </w:p>
        </w:tc>
        <w:tc>
          <w:tcPr>
            <w:tcW w:type="dxa" w:w="6973"/>
            <w:tcMar>
              <w:top w:w="100" w:type="dxa"/>
              <w:left w:w="100" w:type="dxa"/>
              <w:bottom w:w="100" w:type="dxa"/>
              <w:right w:w="100" w:type="dxa"/>
            </w:tcMar>
            <w:vAlign w:val="center"/>
            <w:shd w:fill="F3F6F7"/>
          </w:tcPr>
          <w:p>
            <w:pPr>
              <w:spacing w:after="40" w:line="254" w:lineRule="auto"/>
            </w:pPr>
            <w:r>
              <w:rPr>
                <w:b w:val="0"/>
                <w:sz w:val="18"/>
              </w:rPr>
              <w:t>Conclusión sobre industria, tecnología y autonomía estratégica.</w:t>
            </w:r>
          </w:p>
        </w:tc>
      </w:tr>
    </w:tbl>
    <w:p>
      <w:r>
        <w:t>Fuente del recorrido: transcripción y resumen del vídeo facilitados por el usuario.</w:t>
      </w:r>
    </w:p>
    <w:sectPr w:rsidR="00FC693F" w:rsidRPr="0006063C" w:rsidSect="00034616">
      <w:headerReference w:type="default" r:id="rId9"/>
      <w:footerReference w:type="default" r:id="rId10"/>
      <w:pgSz w:w="11906" w:h="16838"/>
      <w:pgMar w:top="1219" w:right="1332" w:bottom="1191" w:left="1332" w:header="482"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ontserrat">
    <w:embedRegular r:id="rIdFont0_0" w:fontKey="{849C2EB9-051B-4243-9023-54D8DC94917F}"/>
    <w:embedBold r:id="rIdFont0_1" w:fontKey="{E3EFF369-C339-4EB0-BF26-73D28A75D7A5}"/>
  </w:font>
  <w:font w:name="Aptos">
    <w:embedRegular r:id="rIdFont1_0" w:fontKey="{38552885-4829-4642-A33D-37B9297386B7}"/>
    <w:embedBold r:id="rIdFont1_1" w:fontKey="{0C8F2005-10F6-4416-9B24-5D40E1EC88BA}"/>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142B3A"/>
        <w:sz w:val="16"/>
      </w:rPr>
      <w:t xml:space="preserve">ALEMANIA Y EUROPA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color w:val="142B3A"/>
        <w:sz w:val="16"/>
      </w:rPr>
      <w:t>INFORME ANALÍTICO  /  VÍDEO ANALIZADO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343A40"/>
      <w:sz w:val="22"/>
      <w:lang w:val="es-E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200"/>
      <w:outlineLvl w:val="0"/>
    </w:pPr>
    <w:rPr>
      <w:rFonts w:ascii="Montserrat" w:hAnsi="Montserrat"/>
      <w:b/>
      <w:bCs/>
      <w:color w:val="142B3A"/>
      <w:sz w:val="46"/>
      <w:szCs w:val="28"/>
    </w:rPr>
  </w:style>
  <w:style w:type="paragraph" w:styleId="Heading2">
    <w:name w:val="heading 2"/>
    <w:basedOn w:val="Normal"/>
    <w:next w:val="Normal"/>
    <w:link w:val="Heading2Char"/>
    <w:uiPriority w:val="9"/>
    <w:unhideWhenUsed/>
    <w:qFormat/>
    <w:rsid w:val="00FC693F"/>
    <w:pPr>
      <w:keepNext/>
      <w:keepLines/>
      <w:spacing w:before="180" w:after="200"/>
      <w:outlineLvl w:val="1"/>
    </w:pPr>
    <w:rPr>
      <w:rFonts w:ascii="Montserrat" w:hAnsi="Montserrat"/>
      <w:b/>
      <w:bCs/>
      <w:color w:val="142B3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180"/>
      <w:contextualSpacing/>
    </w:pPr>
    <w:rPr>
      <w:rFonts w:ascii="Montserrat" w:hAnsi="Montserrat"/>
      <w:b/>
      <w:color w:val="142B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Montserrat" w:hAnsi="Montserrat"/>
      <w:i w:val="0"/>
      <w:iCs/>
      <w:color w:val="A3483F"/>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69" w:lineRule="auto"/>
    </w:pPr>
    <w:rPr>
      <w:rFonts w:ascii="Aptos" w:hAnsi="Aptos"/>
      <w:color w:val="343A4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ntTable.xml.rels><?xml version='1.0' encoding='UTF-8' standalone='yes'?>
<Relationships xmlns="http://schemas.openxmlformats.org/package/2006/relationships"><Relationship Id="rIdFont0_0" Type="http://schemas.openxmlformats.org/officeDocument/2006/relationships/font" Target="fonts/font0_0.odttf"/><Relationship Id="rIdFont0_1" Type="http://schemas.openxmlformats.org/officeDocument/2006/relationships/font" Target="fonts/font0_1.odttf"/><Relationship Id="rIdFont1_0" Type="http://schemas.openxmlformats.org/officeDocument/2006/relationships/font" Target="fonts/font1_0.odttf"/><Relationship Id="rIdFont1_1" Type="http://schemas.openxmlformats.org/officeDocument/2006/relationships/font" Target="fonts/font1_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Alemania y Europa ante el deterioro industrial</dc:title>
  <dc:subject>Informe sobre el vídeo Alemania y Europa</dc:subject>
  <dc:creator/>
  <cp:keywords/>
  <dc:description/>
  <cp:lastModifiedBy/>
  <cp:revision>1</cp:revision>
  <dcterms:created xsi:type="dcterms:W3CDTF">2013-12-23T23:15:00Z</dcterms:created>
  <dcterms:modified xsi:type="dcterms:W3CDTF">2013-12-23T23:15:00Z</dcterms:modified>
  <cp:category/>
</cp:coreProperties>
</file>