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D4ED8"/>
          <w:sz w:val="44"/>
        </w:rPr>
        <w:t>Examination Management Module</w:t>
      </w:r>
    </w:p>
    <w:p>
      <w:pPr>
        <w:jc w:val="center"/>
      </w:pPr>
      <w:r>
        <w:rPr>
          <w:b/>
          <w:color w:val="0F172A"/>
          <w:sz w:val="30"/>
        </w:rPr>
        <w:t>Module 4 — IN-EXAM MODULE</w:t>
      </w:r>
    </w:p>
    <w:p>
      <w:pPr>
        <w:jc w:val="center"/>
      </w:pPr>
      <w:r>
        <w:rPr>
          <w:i/>
          <w:color w:val="475569"/>
          <w:sz w:val="22"/>
        </w:rPr>
        <w:t>Requirement &amp; Implementation Overview  |  Login Analysis</w:t>
      </w:r>
    </w:p>
    <w:p/>
    <w:p>
      <w:pPr>
        <w:pStyle w:val="Heading1"/>
      </w:pPr>
      <w:r>
        <w:rPr>
          <w:color w:val="1D4ED8"/>
        </w:rPr>
        <w:t>1. Introduction</w:t>
      </w:r>
    </w:p>
    <w:p>
      <w:r>
        <w:t>The In-Exam Module is the fourth module of the Examination Management Module and covers all activities that happen DURING the examination period — from the moment students enter the hall until the answer sheets are collected and dispatched. It sits between the Pre-Exam Module (planning and preparation) and the Post-Exam Module (evaluation and results).</w:t>
      </w:r>
    </w:p>
    <w:p>
      <w:r>
        <w:t>Like the rest of the ERP, the In-Exam Module reuses existing master data (students, subjects, rooms, faculty) and works under the configurable Exam Control Mode — Autonomous, Affiliated or Hybrid. In Autonomous mode the college manages everything up to bundle creation; in Affiliated mode the same screens are used to record university-issued booklet numbers and to produce dispatch reports for submission to the university.</w:t>
      </w:r>
    </w:p>
    <w:p>
      <w:pPr>
        <w:pStyle w:val="Heading1"/>
      </w:pPr>
      <w:r>
        <w:rPr>
          <w:color w:val="1D4ED8"/>
        </w:rPr>
        <w:t>2. How Many Logins Does the In-Exam Module Need?</w:t>
      </w:r>
    </w:p>
    <w:p>
      <w:r>
        <w:t>Reading each activity of the In-Exam Module against who actually performs it, the module needs TWO functional logins — Invigilator and Exam Branch — plus the Admin super-user for oversight. That is THREE role logins in total. Students, Evaluators and Scrutinizers play no part in the In-Exam phase (students appear only as data on the invigilator’s list; evaluation belongs to Post-Exam).</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2304"/>
            <w:shd w:val="clear" w:color="auto" w:fill="1D4ED8"/>
          </w:tcPr>
          <w:p>
            <w:r/>
            <w:r>
              <w:rPr>
                <w:b/>
                <w:color w:val="FFFFFF"/>
                <w:sz w:val="20"/>
              </w:rPr>
              <w:t>Login</w:t>
            </w:r>
          </w:p>
        </w:tc>
        <w:tc>
          <w:tcPr>
            <w:tcW w:type="dxa" w:w="6768"/>
            <w:shd w:val="clear" w:color="auto" w:fill="1D4ED8"/>
          </w:tcPr>
          <w:p>
            <w:r/>
            <w:r>
              <w:rPr>
                <w:b/>
                <w:color w:val="FFFFFF"/>
                <w:sz w:val="20"/>
              </w:rPr>
              <w:t>Role in the In-Exam Module</w:t>
            </w:r>
          </w:p>
        </w:tc>
      </w:tr>
      <w:tr>
        <w:tc>
          <w:tcPr>
            <w:tcW w:type="dxa" w:w="2304"/>
          </w:tcPr>
          <w:p>
            <w:r/>
            <w:r>
              <w:rPr>
                <w:sz w:val="20"/>
              </w:rPr>
              <w:t>Invigilator</w:t>
            </w:r>
          </w:p>
        </w:tc>
        <w:tc>
          <w:tcPr>
            <w:tcW w:type="dxa" w:w="6768"/>
          </w:tcPr>
          <w:p>
            <w:r/>
            <w:r>
              <w:rPr>
                <w:sz w:val="20"/>
              </w:rPr>
              <w:t>Marks exam-day attendance, captures answer-sheet / booklet numbers, and records malpractice or special cases in the assigned room.</w:t>
            </w:r>
          </w:p>
        </w:tc>
      </w:tr>
      <w:tr>
        <w:tc>
          <w:tcPr>
            <w:tcW w:type="dxa" w:w="2304"/>
          </w:tcPr>
          <w:p>
            <w:r/>
            <w:r>
              <w:rPr>
                <w:sz w:val="20"/>
              </w:rPr>
              <w:t>Exam Branch</w:t>
            </w:r>
          </w:p>
        </w:tc>
        <w:tc>
          <w:tcPr>
            <w:tcW w:type="dxa" w:w="6768"/>
          </w:tcPr>
          <w:p>
            <w:r/>
            <w:r>
              <w:rPr>
                <w:sz w:val="20"/>
              </w:rPr>
              <w:t>Verifies and locks attendance, records special cases, generates the D-Form / attendance summary, and verifies answer-sheet collection &amp; dispatch.</w:t>
            </w:r>
          </w:p>
        </w:tc>
      </w:tr>
      <w:tr>
        <w:tc>
          <w:tcPr>
            <w:tcW w:type="dxa" w:w="2304"/>
          </w:tcPr>
          <w:p>
            <w:r/>
            <w:r>
              <w:rPr>
                <w:sz w:val="20"/>
              </w:rPr>
              <w:t>Admin (super-user)</w:t>
            </w:r>
          </w:p>
        </w:tc>
        <w:tc>
          <w:tcPr>
            <w:tcW w:type="dxa" w:w="6768"/>
          </w:tcPr>
          <w:p>
            <w:r/>
            <w:r>
              <w:rPr>
                <w:sz w:val="20"/>
              </w:rPr>
              <w:t>Full access to every In-Exam screen for monitoring and control; does not perform a distinct day-to-day task of its own.</w:t>
            </w:r>
          </w:p>
        </w:tc>
      </w:tr>
    </w:tbl>
    <w:p/>
    <w:p>
      <w:r>
        <w:rPr>
          <w:b/>
          <w:color w:val="1D4ED8"/>
        </w:rPr>
        <w:t>Summary: 2 working logins (Invigilator + Exam Branch) + 1 super-user (Admin) = 3 logins.</w:t>
      </w:r>
    </w:p>
    <w:p>
      <w:pPr>
        <w:pStyle w:val="Heading2"/>
      </w:pPr>
      <w:r>
        <w:rPr>
          <w:color w:val="1D4ED8"/>
        </w:rPr>
        <w:t>2.1 Section-wise Access Matrix</w:t>
      </w:r>
    </w:p>
    <w:tbl>
      <w:tblPr>
        <w:tblStyle w:val="TableGrid"/>
        <w:tblW w:type="auto" w:w="0"/>
        <w:jc w:val="center"/>
        <w:tblLook w:firstColumn="1" w:firstRow="1" w:lastColumn="0" w:lastRow="0" w:noHBand="0" w:noVBand="1" w:val="04A0"/>
      </w:tblPr>
      <w:tblGrid>
        <w:gridCol w:w="2160"/>
        <w:gridCol w:w="2160"/>
        <w:gridCol w:w="2160"/>
        <w:gridCol w:w="2160"/>
      </w:tblGrid>
      <w:tr>
        <w:trPr>
          <w:tblHeader w:val="true"/>
        </w:trPr>
        <w:tc>
          <w:tcPr>
            <w:tcW w:type="dxa" w:w="4320"/>
            <w:shd w:val="clear" w:color="auto" w:fill="1D4ED8"/>
          </w:tcPr>
          <w:p>
            <w:r/>
            <w:r>
              <w:rPr>
                <w:b/>
                <w:color w:val="FFFFFF"/>
                <w:sz w:val="20"/>
              </w:rPr>
              <w:t>In-Exam Section</w:t>
            </w:r>
          </w:p>
        </w:tc>
        <w:tc>
          <w:tcPr>
            <w:tcW w:type="dxa" w:w="1872"/>
            <w:shd w:val="clear" w:color="auto" w:fill="1D4ED8"/>
          </w:tcPr>
          <w:p>
            <w:r/>
            <w:r>
              <w:rPr>
                <w:b/>
                <w:color w:val="FFFFFF"/>
                <w:sz w:val="20"/>
              </w:rPr>
              <w:t>Invigilator</w:t>
            </w:r>
          </w:p>
        </w:tc>
        <w:tc>
          <w:tcPr>
            <w:tcW w:type="dxa" w:w="1872"/>
            <w:shd w:val="clear" w:color="auto" w:fill="1D4ED8"/>
          </w:tcPr>
          <w:p>
            <w:r/>
            <w:r>
              <w:rPr>
                <w:b/>
                <w:color w:val="FFFFFF"/>
                <w:sz w:val="20"/>
              </w:rPr>
              <w:t>Exam Branch</w:t>
            </w:r>
          </w:p>
        </w:tc>
        <w:tc>
          <w:tcPr>
            <w:tcW w:type="dxa" w:w="1296"/>
            <w:shd w:val="clear" w:color="auto" w:fill="1D4ED8"/>
          </w:tcPr>
          <w:p>
            <w:r/>
            <w:r>
              <w:rPr>
                <w:b/>
                <w:color w:val="FFFFFF"/>
                <w:sz w:val="20"/>
              </w:rPr>
              <w:t>Admin</w:t>
            </w:r>
          </w:p>
        </w:tc>
      </w:tr>
      <w:tr>
        <w:tc>
          <w:tcPr>
            <w:tcW w:type="dxa" w:w="4320"/>
          </w:tcPr>
          <w:p>
            <w:r/>
            <w:r>
              <w:rPr>
                <w:sz w:val="20"/>
              </w:rPr>
              <w:t>4.1 Exam-Day Attendance</w:t>
            </w:r>
          </w:p>
        </w:tc>
        <w:tc>
          <w:tcPr>
            <w:tcW w:type="dxa" w:w="1872"/>
          </w:tcPr>
          <w:p>
            <w:r/>
            <w:r>
              <w:rPr>
                <w:sz w:val="20"/>
              </w:rPr>
              <w:t>Yes (marks)</w:t>
            </w:r>
          </w:p>
        </w:tc>
        <w:tc>
          <w:tcPr>
            <w:tcW w:type="dxa" w:w="1872"/>
          </w:tcPr>
          <w:p>
            <w:r/>
            <w:r>
              <w:rPr>
                <w:sz w:val="20"/>
              </w:rPr>
              <w:t>Yes (verify &amp; lock)</w:t>
            </w:r>
          </w:p>
        </w:tc>
        <w:tc>
          <w:tcPr>
            <w:tcW w:type="dxa" w:w="1296"/>
          </w:tcPr>
          <w:p>
            <w:r/>
            <w:r>
              <w:rPr>
                <w:sz w:val="20"/>
              </w:rPr>
              <w:t>Yes</w:t>
            </w:r>
          </w:p>
        </w:tc>
      </w:tr>
      <w:tr>
        <w:tc>
          <w:tcPr>
            <w:tcW w:type="dxa" w:w="4320"/>
          </w:tcPr>
          <w:p>
            <w:r/>
            <w:r>
              <w:rPr>
                <w:sz w:val="20"/>
              </w:rPr>
              <w:t>4.2 Answer Sheet Number Capture</w:t>
            </w:r>
          </w:p>
        </w:tc>
        <w:tc>
          <w:tcPr>
            <w:tcW w:type="dxa" w:w="1872"/>
          </w:tcPr>
          <w:p>
            <w:r/>
            <w:r>
              <w:rPr>
                <w:sz w:val="20"/>
              </w:rPr>
              <w:t>Yes</w:t>
            </w:r>
          </w:p>
        </w:tc>
        <w:tc>
          <w:tcPr>
            <w:tcW w:type="dxa" w:w="1872"/>
          </w:tcPr>
          <w:p>
            <w:r/>
            <w:r>
              <w:rPr>
                <w:sz w:val="20"/>
              </w:rPr>
              <w:t>Yes</w:t>
            </w:r>
          </w:p>
        </w:tc>
        <w:tc>
          <w:tcPr>
            <w:tcW w:type="dxa" w:w="1296"/>
          </w:tcPr>
          <w:p>
            <w:r/>
            <w:r>
              <w:rPr>
                <w:sz w:val="20"/>
              </w:rPr>
              <w:t>Yes</w:t>
            </w:r>
          </w:p>
        </w:tc>
      </w:tr>
      <w:tr>
        <w:tc>
          <w:tcPr>
            <w:tcW w:type="dxa" w:w="4320"/>
          </w:tcPr>
          <w:p>
            <w:r/>
            <w:r>
              <w:rPr>
                <w:sz w:val="20"/>
              </w:rPr>
              <w:t>4.3 Malpractice &amp; Special Cases</w:t>
            </w:r>
          </w:p>
        </w:tc>
        <w:tc>
          <w:tcPr>
            <w:tcW w:type="dxa" w:w="1872"/>
          </w:tcPr>
          <w:p>
            <w:r/>
            <w:r>
              <w:rPr>
                <w:sz w:val="20"/>
              </w:rPr>
              <w:t>Yes</w:t>
            </w:r>
          </w:p>
        </w:tc>
        <w:tc>
          <w:tcPr>
            <w:tcW w:type="dxa" w:w="1872"/>
          </w:tcPr>
          <w:p>
            <w:r/>
            <w:r>
              <w:rPr>
                <w:sz w:val="20"/>
              </w:rPr>
              <w:t>Yes</w:t>
            </w:r>
          </w:p>
        </w:tc>
        <w:tc>
          <w:tcPr>
            <w:tcW w:type="dxa" w:w="1296"/>
          </w:tcPr>
          <w:p>
            <w:r/>
            <w:r>
              <w:rPr>
                <w:sz w:val="20"/>
              </w:rPr>
              <w:t>Yes</w:t>
            </w:r>
          </w:p>
        </w:tc>
      </w:tr>
      <w:tr>
        <w:tc>
          <w:tcPr>
            <w:tcW w:type="dxa" w:w="4320"/>
          </w:tcPr>
          <w:p>
            <w:r/>
            <w:r>
              <w:rPr>
                <w:sz w:val="20"/>
              </w:rPr>
              <w:t>4.4 D-Form / Attendance Report</w:t>
            </w:r>
          </w:p>
        </w:tc>
        <w:tc>
          <w:tcPr>
            <w:tcW w:type="dxa" w:w="1872"/>
          </w:tcPr>
          <w:p>
            <w:r/>
            <w:r>
              <w:rPr>
                <w:sz w:val="20"/>
              </w:rPr>
              <w:t>No</w:t>
            </w:r>
          </w:p>
        </w:tc>
        <w:tc>
          <w:tcPr>
            <w:tcW w:type="dxa" w:w="1872"/>
          </w:tcPr>
          <w:p>
            <w:r/>
            <w:r>
              <w:rPr>
                <w:sz w:val="20"/>
              </w:rPr>
              <w:t>Yes</w:t>
            </w:r>
          </w:p>
        </w:tc>
        <w:tc>
          <w:tcPr>
            <w:tcW w:type="dxa" w:w="1296"/>
          </w:tcPr>
          <w:p>
            <w:r/>
            <w:r>
              <w:rPr>
                <w:sz w:val="20"/>
              </w:rPr>
              <w:t>Yes</w:t>
            </w:r>
          </w:p>
        </w:tc>
      </w:tr>
      <w:tr>
        <w:tc>
          <w:tcPr>
            <w:tcW w:type="dxa" w:w="4320"/>
          </w:tcPr>
          <w:p>
            <w:r/>
            <w:r>
              <w:rPr>
                <w:sz w:val="20"/>
              </w:rPr>
              <w:t>4.5 Answer Sheet Collection &amp; Dispatch</w:t>
            </w:r>
          </w:p>
        </w:tc>
        <w:tc>
          <w:tcPr>
            <w:tcW w:type="dxa" w:w="1872"/>
          </w:tcPr>
          <w:p>
            <w:r/>
            <w:r>
              <w:rPr>
                <w:sz w:val="20"/>
              </w:rPr>
              <w:t>No</w:t>
            </w:r>
          </w:p>
        </w:tc>
        <w:tc>
          <w:tcPr>
            <w:tcW w:type="dxa" w:w="1872"/>
          </w:tcPr>
          <w:p>
            <w:r/>
            <w:r>
              <w:rPr>
                <w:sz w:val="20"/>
              </w:rPr>
              <w:t>Yes</w:t>
            </w:r>
          </w:p>
        </w:tc>
        <w:tc>
          <w:tcPr>
            <w:tcW w:type="dxa" w:w="1296"/>
          </w:tcPr>
          <w:p>
            <w:r/>
            <w:r>
              <w:rPr>
                <w:sz w:val="20"/>
              </w:rPr>
              <w:t>Yes</w:t>
            </w:r>
          </w:p>
        </w:tc>
      </w:tr>
    </w:tbl>
    <w:p>
      <w:pPr>
        <w:pStyle w:val="Heading1"/>
      </w:pPr>
      <w:r>
        <w:rPr>
          <w:color w:val="1D4ED8"/>
        </w:rPr>
        <w:t>3. In-Exam Activities (Detailed)</w:t>
      </w:r>
    </w:p>
    <w:p>
      <w:pPr>
        <w:pStyle w:val="Heading2"/>
      </w:pPr>
      <w:r>
        <w:rPr>
          <w:color w:val="1D4ED8"/>
        </w:rPr>
        <w:t>3.1 Exam-Day Attendance</w:t>
      </w:r>
    </w:p>
    <w:p>
      <w:r>
        <w:rPr>
          <w:b/>
        </w:rPr>
        <w:t xml:space="preserve">Primary login: </w:t>
      </w:r>
      <w:r>
        <w:t>Invigilator (mark) → Exam Branch (verify &amp; lock)</w:t>
      </w:r>
    </w:p>
    <w:p>
      <w:r>
        <w:t>The Exam-Day Attendance feature allows invigilators to mark attendance for students appearing in their assigned rooms. Each student can be marked Present, Absent, Malpractice, Withheld or any other applicable status. Once attendance is submitted, the Exam Branch verifies and locks it. This locked record becomes the basis for answer-sheet tracking, D-Form generation and result processing.</w:t>
      </w:r>
    </w:p>
    <w:p>
      <w:pPr>
        <w:spacing w:before="80" w:after="200"/>
        <w:ind w:left="432"/>
      </w:pPr>
      <w:r>
        <w:rPr>
          <w:b/>
          <w:color w:val="0F172A"/>
          <w:sz w:val="20"/>
        </w:rPr>
        <w:t>Invigilator Login</w:t>
      </w:r>
      <w:r>
        <w:rPr>
          <w:b/>
          <w:color w:val="1D4ED8"/>
        </w:rPr>
        <w:t xml:space="preserve">   →   </w:t>
      </w:r>
      <w:r>
        <w:rPr>
          <w:b/>
          <w:color w:val="0F172A"/>
          <w:sz w:val="20"/>
        </w:rPr>
        <w:t>Open Room-Wise Student List</w:t>
      </w:r>
      <w:r>
        <w:rPr>
          <w:b/>
          <w:color w:val="1D4ED8"/>
        </w:rPr>
        <w:t xml:space="preserve">   →   </w:t>
      </w:r>
      <w:r>
        <w:rPr>
          <w:b/>
          <w:color w:val="0F172A"/>
          <w:sz w:val="20"/>
        </w:rPr>
        <w:t>Mark Attendance</w:t>
      </w:r>
      <w:r>
        <w:rPr>
          <w:b/>
          <w:color w:val="1D4ED8"/>
        </w:rPr>
        <w:t xml:space="preserve">   →   </w:t>
      </w:r>
      <w:r>
        <w:rPr>
          <w:b/>
          <w:color w:val="0F172A"/>
          <w:sz w:val="20"/>
        </w:rPr>
        <w:t>Submit Attendance</w:t>
      </w:r>
      <w:r>
        <w:rPr>
          <w:b/>
          <w:color w:val="1D4ED8"/>
        </w:rPr>
        <w:t xml:space="preserve">   →   </w:t>
      </w:r>
      <w:r>
        <w:rPr>
          <w:b/>
          <w:color w:val="0F172A"/>
          <w:sz w:val="20"/>
        </w:rPr>
        <w:t>Exam Branch Verification</w:t>
      </w:r>
      <w:r>
        <w:rPr>
          <w:b/>
          <w:color w:val="1D4ED8"/>
        </w:rPr>
        <w:t xml:space="preserve">   →   </w:t>
      </w:r>
      <w:r>
        <w:rPr>
          <w:b/>
          <w:color w:val="0F172A"/>
          <w:sz w:val="20"/>
        </w:rPr>
        <w:t>Lock Attendance</w:t>
      </w:r>
    </w:p>
    <w:p>
      <w:pPr>
        <w:pStyle w:val="Heading2"/>
      </w:pPr>
      <w:r>
        <w:rPr>
          <w:color w:val="1D4ED8"/>
        </w:rPr>
        <w:t>3.2 Answer Sheet Number Capture</w:t>
      </w:r>
    </w:p>
    <w:p>
      <w:r>
        <w:rPr>
          <w:b/>
        </w:rPr>
        <w:t xml:space="preserve">Primary login: </w:t>
      </w:r>
      <w:r>
        <w:t>Invigilator</w:t>
      </w:r>
    </w:p>
    <w:p>
      <w:r>
        <w:t>This feature tracks the answer sheet / booklet number issued to each student. During attendance marking, the invigilator enters the main answer sheet number and the supplementary sheet count. For autonomous colleges this can be linked with barcode-based tracking; for affiliated colleges it records university-issued booklet numbers and feeds the dispatch report.</w:t>
      </w:r>
    </w:p>
    <w:p>
      <w:pPr>
        <w:spacing w:before="80" w:after="200"/>
        <w:ind w:left="432"/>
      </w:pPr>
      <w:r>
        <w:rPr>
          <w:b/>
          <w:color w:val="0F172A"/>
          <w:sz w:val="20"/>
        </w:rPr>
        <w:t>Student Marked Present</w:t>
      </w:r>
      <w:r>
        <w:rPr>
          <w:b/>
          <w:color w:val="1D4ED8"/>
        </w:rPr>
        <w:t xml:space="preserve">   →   </w:t>
      </w:r>
      <w:r>
        <w:rPr>
          <w:b/>
          <w:color w:val="0F172A"/>
          <w:sz w:val="20"/>
        </w:rPr>
        <w:t>Enter Answer Sheet Number</w:t>
      </w:r>
      <w:r>
        <w:rPr>
          <w:b/>
          <w:color w:val="1D4ED8"/>
        </w:rPr>
        <w:t xml:space="preserve">   →   </w:t>
      </w:r>
      <w:r>
        <w:rPr>
          <w:b/>
          <w:color w:val="0F172A"/>
          <w:sz w:val="20"/>
        </w:rPr>
        <w:t>Enter Supplementary Count</w:t>
      </w:r>
      <w:r>
        <w:rPr>
          <w:b/>
          <w:color w:val="1D4ED8"/>
        </w:rPr>
        <w:t xml:space="preserve">   →   </w:t>
      </w:r>
      <w:r>
        <w:rPr>
          <w:b/>
          <w:color w:val="0F172A"/>
          <w:sz w:val="20"/>
        </w:rPr>
        <w:t>Validate Duplicate Number</w:t>
      </w:r>
      <w:r>
        <w:rPr>
          <w:b/>
          <w:color w:val="1D4ED8"/>
        </w:rPr>
        <w:t xml:space="preserve">   →   </w:t>
      </w:r>
      <w:r>
        <w:rPr>
          <w:b/>
          <w:color w:val="0F172A"/>
          <w:sz w:val="20"/>
        </w:rPr>
        <w:t>Save Mapping</w:t>
      </w:r>
    </w:p>
    <w:p>
      <w:pPr>
        <w:pStyle w:val="Heading2"/>
      </w:pPr>
      <w:r>
        <w:rPr>
          <w:color w:val="1D4ED8"/>
        </w:rPr>
        <w:t>3.3 Malpractice &amp; Special Case Recording</w:t>
      </w:r>
    </w:p>
    <w:p>
      <w:r>
        <w:rPr>
          <w:b/>
        </w:rPr>
        <w:t xml:space="preserve">Primary login: </w:t>
      </w:r>
      <w:r>
        <w:t>Invigilator or Exam Branch</w:t>
      </w:r>
    </w:p>
    <w:p>
      <w:r>
        <w:t>Invigilators or Exam Branch users can record special cases such as malpractice, court case, withheld result, blank booklet, mismatch or other irregularities, with remarks and supporting documents. These records are carried forward to post-exam processing, where the student result may be withheld, blocked, reviewed or processed according to examination rules.</w:t>
      </w:r>
    </w:p>
    <w:p>
      <w:pPr>
        <w:spacing w:before="80" w:after="200"/>
        <w:ind w:left="432"/>
      </w:pPr>
      <w:r>
        <w:rPr>
          <w:b/>
          <w:color w:val="0F172A"/>
          <w:sz w:val="20"/>
        </w:rPr>
        <w:t>Identify Special Case</w:t>
      </w:r>
      <w:r>
        <w:rPr>
          <w:b/>
          <w:color w:val="1D4ED8"/>
        </w:rPr>
        <w:t xml:space="preserve">   →   </w:t>
      </w:r>
      <w:r>
        <w:rPr>
          <w:b/>
          <w:color w:val="0F172A"/>
          <w:sz w:val="20"/>
        </w:rPr>
        <w:t>Select Student</w:t>
      </w:r>
      <w:r>
        <w:rPr>
          <w:b/>
          <w:color w:val="1D4ED8"/>
        </w:rPr>
        <w:t xml:space="preserve">   →   </w:t>
      </w:r>
      <w:r>
        <w:rPr>
          <w:b/>
          <w:color w:val="0F172A"/>
          <w:sz w:val="20"/>
        </w:rPr>
        <w:t>Mark Case Type</w:t>
      </w:r>
      <w:r>
        <w:rPr>
          <w:b/>
          <w:color w:val="1D4ED8"/>
        </w:rPr>
        <w:t xml:space="preserve">   →   </w:t>
      </w:r>
      <w:r>
        <w:rPr>
          <w:b/>
          <w:color w:val="0F172A"/>
          <w:sz w:val="20"/>
        </w:rPr>
        <w:t>Add Remarks / Attach Proof</w:t>
      </w:r>
      <w:r>
        <w:rPr>
          <w:b/>
          <w:color w:val="1D4ED8"/>
        </w:rPr>
        <w:t xml:space="preserve">   →   </w:t>
      </w:r>
      <w:r>
        <w:rPr>
          <w:b/>
          <w:color w:val="0F172A"/>
          <w:sz w:val="20"/>
        </w:rPr>
        <w:t>Submit to Exam Branch</w:t>
      </w:r>
    </w:p>
    <w:p>
      <w:pPr>
        <w:pStyle w:val="Heading2"/>
      </w:pPr>
      <w:r>
        <w:rPr>
          <w:color w:val="1D4ED8"/>
        </w:rPr>
        <w:t>3.4 D-Form / Attendance Report Generation</w:t>
      </w:r>
    </w:p>
    <w:p>
      <w:r>
        <w:rPr>
          <w:b/>
        </w:rPr>
        <w:t xml:space="preserve">Primary login: </w:t>
      </w:r>
      <w:r>
        <w:t>Exam Branch</w:t>
      </w:r>
    </w:p>
    <w:p>
      <w:r>
        <w:t>After attendance is completed and verified, the system generates the D-Form or equivalent attendance summary report, including registered count, present, absent, malpractice cases and answer-sheet details. For affiliated colleges these reports support university submission; for autonomous colleges they form part of the official examination record.</w:t>
      </w:r>
    </w:p>
    <w:p>
      <w:pPr>
        <w:spacing w:before="80" w:after="200"/>
        <w:ind w:left="432"/>
      </w:pPr>
      <w:r>
        <w:rPr>
          <w:b/>
          <w:color w:val="0F172A"/>
          <w:sz w:val="20"/>
        </w:rPr>
        <w:t>Attendance Completed</w:t>
      </w:r>
      <w:r>
        <w:rPr>
          <w:b/>
          <w:color w:val="1D4ED8"/>
        </w:rPr>
        <w:t xml:space="preserve">   →   </w:t>
      </w:r>
      <w:r>
        <w:rPr>
          <w:b/>
          <w:color w:val="0F172A"/>
          <w:sz w:val="20"/>
        </w:rPr>
        <w:t>Exam Branch Verifies</w:t>
      </w:r>
      <w:r>
        <w:rPr>
          <w:b/>
          <w:color w:val="1D4ED8"/>
        </w:rPr>
        <w:t xml:space="preserve">   →   </w:t>
      </w:r>
      <w:r>
        <w:rPr>
          <w:b/>
          <w:color w:val="0F172A"/>
          <w:sz w:val="20"/>
        </w:rPr>
        <w:t>Generate D-Form / Attendance Summary</w:t>
      </w:r>
      <w:r>
        <w:rPr>
          <w:b/>
          <w:color w:val="1D4ED8"/>
        </w:rPr>
        <w:t xml:space="preserve">   →   </w:t>
      </w:r>
      <w:r>
        <w:rPr>
          <w:b/>
          <w:color w:val="0F172A"/>
          <w:sz w:val="20"/>
        </w:rPr>
        <w:t>Lock Attendance</w:t>
      </w:r>
      <w:r>
        <w:rPr>
          <w:b/>
          <w:color w:val="1D4ED8"/>
        </w:rPr>
        <w:t xml:space="preserve">   →   </w:t>
      </w:r>
      <w:r>
        <w:rPr>
          <w:b/>
          <w:color w:val="0F172A"/>
          <w:sz w:val="20"/>
        </w:rPr>
        <w:t>Download Report</w:t>
      </w:r>
    </w:p>
    <w:p>
      <w:pPr>
        <w:pStyle w:val="Heading2"/>
      </w:pPr>
      <w:r>
        <w:rPr>
          <w:color w:val="1D4ED8"/>
        </w:rPr>
        <w:t>3.5 Answer Sheet Collection &amp; Dispatch</w:t>
      </w:r>
    </w:p>
    <w:p>
      <w:r>
        <w:rPr>
          <w:b/>
        </w:rPr>
        <w:t xml:space="preserve">Primary login: </w:t>
      </w:r>
      <w:r>
        <w:t>Exam Branch</w:t>
      </w:r>
    </w:p>
    <w:p>
      <w:r>
        <w:t>After the exam, answer sheets are collected from invigilators and verified against attendance to confirm that the number collected matches the number of present students. In autonomous colleges the verified sheets move to bundle creation and evaluation; in affiliated colleges the system generates an answer-sheet dispatch report for submission to the university.</w:t>
      </w:r>
    </w:p>
    <w:p>
      <w:pPr>
        <w:spacing w:before="80" w:after="200"/>
        <w:ind w:left="432"/>
      </w:pPr>
      <w:r>
        <w:rPr>
          <w:b/>
          <w:color w:val="0F172A"/>
          <w:sz w:val="20"/>
        </w:rPr>
        <w:t>Collect Answer Sheets</w:t>
      </w:r>
      <w:r>
        <w:rPr>
          <w:b/>
          <w:color w:val="1D4ED8"/>
        </w:rPr>
        <w:t xml:space="preserve">   →   </w:t>
      </w:r>
      <w:r>
        <w:rPr>
          <w:b/>
          <w:color w:val="0F172A"/>
          <w:sz w:val="20"/>
        </w:rPr>
        <w:t>Verify with Attendance</w:t>
      </w:r>
      <w:r>
        <w:rPr>
          <w:b/>
          <w:color w:val="1D4ED8"/>
        </w:rPr>
        <w:t xml:space="preserve">   →   </w:t>
      </w:r>
      <w:r>
        <w:rPr>
          <w:b/>
          <w:color w:val="0F172A"/>
          <w:sz w:val="20"/>
        </w:rPr>
        <w:t>Autonomous: Move to Bundle Creation</w:t>
      </w:r>
      <w:r>
        <w:rPr>
          <w:b/>
          <w:color w:val="1D4ED8"/>
        </w:rPr>
        <w:t xml:space="preserve">   →   </w:t>
      </w:r>
      <w:r>
        <w:rPr>
          <w:b/>
          <w:color w:val="0F172A"/>
          <w:sz w:val="20"/>
        </w:rPr>
        <w:t>Affiliated: Generate Dispatch Report</w:t>
      </w:r>
    </w:p>
    <w:p>
      <w:pPr>
        <w:pStyle w:val="Heading1"/>
      </w:pPr>
      <w:r>
        <w:rPr>
          <w:color w:val="1D4ED8"/>
        </w:rPr>
        <w:t>4. End-to-End In-Exam Flow</w:t>
      </w:r>
    </w:p>
    <w:p>
      <w:pPr>
        <w:spacing w:before="80" w:after="200"/>
        <w:ind w:left="432"/>
      </w:pPr>
      <w:r>
        <w:rPr>
          <w:b/>
          <w:color w:val="0F172A"/>
          <w:sz w:val="20"/>
        </w:rPr>
        <w:t>Attendance</w:t>
      </w:r>
      <w:r>
        <w:rPr>
          <w:b/>
          <w:color w:val="1D4ED8"/>
        </w:rPr>
        <w:t xml:space="preserve">   →   </w:t>
      </w:r>
      <w:r>
        <w:rPr>
          <w:b/>
          <w:color w:val="0F172A"/>
          <w:sz w:val="20"/>
        </w:rPr>
        <w:t>Answer Sheet Capture</w:t>
      </w:r>
      <w:r>
        <w:rPr>
          <w:b/>
          <w:color w:val="1D4ED8"/>
        </w:rPr>
        <w:t xml:space="preserve">   →   </w:t>
      </w:r>
      <w:r>
        <w:rPr>
          <w:b/>
          <w:color w:val="0F172A"/>
          <w:sz w:val="20"/>
        </w:rPr>
        <w:t>Special Case Recording</w:t>
      </w:r>
      <w:r>
        <w:rPr>
          <w:b/>
          <w:color w:val="1D4ED8"/>
        </w:rPr>
        <w:t xml:space="preserve">   →   </w:t>
      </w:r>
      <w:r>
        <w:rPr>
          <w:b/>
          <w:color w:val="0F172A"/>
          <w:sz w:val="20"/>
        </w:rPr>
        <w:t>D-Form</w:t>
      </w:r>
      <w:r>
        <w:rPr>
          <w:b/>
          <w:color w:val="1D4ED8"/>
        </w:rPr>
        <w:t xml:space="preserve">   →   </w:t>
      </w:r>
      <w:r>
        <w:rPr>
          <w:b/>
          <w:color w:val="0F172A"/>
          <w:sz w:val="20"/>
        </w:rPr>
        <w:t>Collection / Dispatch</w:t>
      </w:r>
    </w:p>
    <w:p>
      <w:r>
        <w:t>On completion, the Autonomous flow proceeds to Bundle Creation (Post-Exam) while the Affiliated flow ends with the Answer Sheet Dispatch report handed over to the university.</w:t>
      </w:r>
    </w:p>
    <w:p>
      <w:pPr>
        <w:pStyle w:val="Heading1"/>
      </w:pPr>
      <w:r>
        <w:rPr>
          <w:color w:val="1D4ED8"/>
        </w:rPr>
        <w:t>5. Implementation Notes (Demo)</w:t>
      </w:r>
    </w:p>
    <w:p>
      <w:pPr>
        <w:pStyle w:val="ListBullet"/>
      </w:pPr>
      <w:r>
        <w:t>The In-Exam Module has been implemented as an interactive demo. All five activities are available as a single self-contained document (in-exam.html) with in-page navigation, and also as individual pages that match the existing Post-Exam demo pattern.</w:t>
      </w:r>
    </w:p>
    <w:p>
      <w:pPr>
        <w:pStyle w:val="ListBullet"/>
      </w:pPr>
      <w:r>
        <w:t>A “Login as” switcher (Invigilator / Exam Branch / Admin) filters the sidebar to show only the sections each login may open, demonstrating the 2 + 1 login model described in Section 2.</w:t>
      </w:r>
    </w:p>
    <w:p>
      <w:pPr>
        <w:pStyle w:val="ListBullet"/>
      </w:pPr>
      <w:r>
        <w:t>The Autonomous / Affiliated / Hybrid mode toggle changes the Collection &amp; Dispatch screen between “move to Bundle Creation” and “generate university dispatch report”.</w:t>
      </w:r>
    </w:p>
    <w:p/>
    <w:p>
      <w:pPr>
        <w:jc w:val="center"/>
      </w:pPr>
      <w:r>
        <w:rPr>
          <w:i/>
          <w:color w:val="475569"/>
          <w:sz w:val="18"/>
        </w:rPr>
        <w:t>© 2026 Examination ERP — In-Exam Module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