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proofErr w:type="gramStart"/>
      <w:r>
        <w:t>in</w:t>
      </w:r>
      <w:proofErr w:type="gramEnd"/>
      <w:r>
        <w:t xml:space="preserve">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71D4A">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A71D4A">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913030" w:rsidP="006C3991">
      <w:pPr>
        <w:pStyle w:val="Heading1"/>
      </w:pPr>
      <w:fldSimple w:instr=" TOC \h \z \t &quot;Table of Figures&quot; \c ">
        <w:bookmarkStart w:id="0" w:name="_Toc44689373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xml:space="preserve">, and Jennifer </w:t>
      </w:r>
      <w:proofErr w:type="spellStart"/>
      <w:r w:rsidR="00241FED">
        <w:t>deWinter</w:t>
      </w:r>
      <w:proofErr w:type="spellEnd"/>
      <w:r w:rsidR="00241FED">
        <w:t xml:space="preserve">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C738C9" w:rsidRDefault="0081031A" w:rsidP="00C738C9">
      <w:pPr>
        <w:pStyle w:val="Heading2"/>
      </w:pPr>
      <w:bookmarkStart w:id="4" w:name="_Toc44689373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 xml:space="preserve">Real-time tactics is a subgenre or a related genre of real-time strategy games, which removes the aspects of base-building, or in general, reducing the importance of </w:t>
      </w:r>
      <w:proofErr w:type="spellStart"/>
      <w:r w:rsidR="00850289">
        <w:t>macr</w:t>
      </w:r>
      <w:r w:rsidR="00802C7A">
        <w:t>omanagement</w:t>
      </w:r>
      <w:proofErr w:type="spellEnd"/>
      <w:r w:rsidR="00802C7A">
        <w:t xml:space="preserve">. </w:t>
      </w:r>
      <w:proofErr w:type="spellStart"/>
      <w:r w:rsidR="00802C7A">
        <w:t>Macromanagement</w:t>
      </w:r>
      <w:proofErr w:type="spellEnd"/>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5" w:name="_Toc446893736"/>
      <w:r>
        <w:t>Origins</w:t>
      </w:r>
      <w:bookmarkStart w:id="6" w:name="_GoBack"/>
      <w:bookmarkEnd w:id="5"/>
      <w:bookmarkEnd w:id="6"/>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7" w:name="_Toc446893737"/>
      <w:r>
        <w:t>Procedural Content Generation</w:t>
      </w:r>
      <w:bookmarkEnd w:id="7"/>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xml:space="preserve">, in </w:t>
      </w:r>
      <w:proofErr w:type="gramStart"/>
      <w:r>
        <w:t>which</w:t>
      </w:r>
      <w:proofErr w:type="gramEnd"/>
      <w:r>
        <w:t xml:space="preserve">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8" w:name="_Toc446893738"/>
      <w:r>
        <w:t>Game Balance</w:t>
      </w:r>
      <w:r w:rsidR="00CE397B">
        <w:t xml:space="preserve"> and Related Works</w:t>
      </w:r>
      <w:bookmarkEnd w:id="8"/>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w:t>
      </w:r>
      <w:proofErr w:type="spellStart"/>
      <w:r>
        <w:rPr>
          <w:i/>
        </w:rPr>
        <w:t>Multiwinia</w:t>
      </w:r>
      <w:proofErr w:type="spellEnd"/>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proofErr w:type="spellStart"/>
      <w:r>
        <w:rPr>
          <w:i/>
        </w:rPr>
        <w:t>Starcraft</w:t>
      </w:r>
      <w:proofErr w:type="spellEnd"/>
      <w:r>
        <w:rPr>
          <w:i/>
        </w:rPr>
        <w:t xml:space="preserve">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w:t>
      </w:r>
      <w:proofErr w:type="spellStart"/>
      <w:r>
        <w:t>cooldowns</w:t>
      </w:r>
      <w:proofErr w:type="spellEnd"/>
      <w:r>
        <w:t xml:space="preserve">),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proofErr w:type="spellStart"/>
      <w:r w:rsidR="006F4291">
        <w:rPr>
          <w:i/>
        </w:rPr>
        <w:t>Homeword</w:t>
      </w:r>
      <w:proofErr w:type="spellEnd"/>
      <w:r w:rsidR="006F4291">
        <w:rPr>
          <w:i/>
        </w:rPr>
        <w:t xml:space="preserve">: Deserts of </w:t>
      </w:r>
      <w:proofErr w:type="spellStart"/>
      <w:r w:rsidR="006F4291">
        <w:rPr>
          <w:i/>
        </w:rPr>
        <w:t>Kharak</w:t>
      </w:r>
      <w:proofErr w:type="spellEnd"/>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proofErr w:type="spellStart"/>
      <w:r w:rsidR="005914F0" w:rsidRPr="0033381A">
        <w:rPr>
          <w:i/>
        </w:rPr>
        <w:t>Auralux</w:t>
      </w:r>
      <w:proofErr w:type="spellEnd"/>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proofErr w:type="spellStart"/>
      <w:r w:rsidR="005914F0">
        <w:rPr>
          <w:i/>
        </w:rPr>
        <w:t>Auralux</w:t>
      </w:r>
      <w:proofErr w:type="spellEnd"/>
      <w:r w:rsidR="005914F0">
        <w:t xml:space="preserve">. </w:t>
      </w:r>
    </w:p>
    <w:p w:rsidR="005914F0" w:rsidRDefault="005914F0" w:rsidP="005914F0">
      <w:pPr>
        <w:ind w:firstLine="720"/>
        <w:jc w:val="both"/>
      </w:pPr>
      <w:r>
        <w:t xml:space="preserve">The game, </w:t>
      </w:r>
      <w:proofErr w:type="spellStart"/>
      <w:r>
        <w:rPr>
          <w:i/>
        </w:rPr>
        <w:t>Auralux</w:t>
      </w:r>
      <w:proofErr w:type="spellEnd"/>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9" w:name="_Toc446893739"/>
      <w:r>
        <w:t>Game Feature and Appeal</w:t>
      </w:r>
      <w:bookmarkEnd w:id="9"/>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10" w:name="_Toc446893740"/>
      <w:r>
        <w:lastRenderedPageBreak/>
        <w:t>Game Design</w:t>
      </w:r>
      <w:bookmarkEnd w:id="10"/>
    </w:p>
    <w:p w:rsidR="00693C9F" w:rsidRDefault="00693C9F" w:rsidP="00693C9F"/>
    <w:p w:rsidR="00693C9F" w:rsidRDefault="00693C9F" w:rsidP="00693C9F">
      <w:r>
        <w:tab/>
        <w:t>This section contains the design document of the project. Each subsection goes further into detail of portions of the whole project design.</w:t>
      </w:r>
    </w:p>
    <w:p w:rsidR="00693C9F" w:rsidRDefault="00693C9F" w:rsidP="00693C9F">
      <w:r>
        <w:tab/>
        <w:t>Can include UML diagrams of game logic workflows, and other aspects of the game (aesthetics, core, etc.)</w:t>
      </w:r>
    </w:p>
    <w:p w:rsidR="00693C9F" w:rsidRDefault="00693C9F" w:rsidP="00693C9F"/>
    <w:p w:rsidR="00693C9F" w:rsidRDefault="00693C9F" w:rsidP="00693C9F"/>
    <w:p w:rsidR="00693C9F" w:rsidRDefault="00693C9F" w:rsidP="00693C9F">
      <w:pPr>
        <w:pStyle w:val="Heading2"/>
      </w:pPr>
      <w:bookmarkStart w:id="11" w:name="_Toc446893741"/>
      <w:r>
        <w:t>Overview</w:t>
      </w:r>
      <w:bookmarkEnd w:id="11"/>
    </w:p>
    <w:p w:rsidR="00693C9F" w:rsidRDefault="00693C9F" w:rsidP="00693C9F">
      <w:pPr>
        <w:pStyle w:val="Heading2"/>
      </w:pPr>
      <w:bookmarkStart w:id="12" w:name="_Toc446893742"/>
      <w:r>
        <w:t>Game Mechanics</w:t>
      </w:r>
      <w:bookmarkEnd w:id="12"/>
    </w:p>
    <w:p w:rsidR="00693C9F" w:rsidRDefault="00693C9F" w:rsidP="00693C9F">
      <w:pPr>
        <w:pStyle w:val="Heading2"/>
      </w:pPr>
      <w:bookmarkStart w:id="13" w:name="_Toc446893743"/>
      <w:r>
        <w:t xml:space="preserve">Other Things </w:t>
      </w:r>
      <w:proofErr w:type="gramStart"/>
      <w:r>
        <w:t>Worth</w:t>
      </w:r>
      <w:proofErr w:type="gramEnd"/>
      <w:r>
        <w:t xml:space="preserve"> Mentioning</w:t>
      </w:r>
      <w:bookmarkEnd w:id="13"/>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4" w:name="_Toc446893744"/>
      <w:r>
        <w:lastRenderedPageBreak/>
        <w:t>Resources</w:t>
      </w:r>
      <w:bookmarkEnd w:id="14"/>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 xml:space="preserve">Typical game postmortem structure goes here. For reference, see </w:t>
      </w:r>
      <w:proofErr w:type="spellStart"/>
      <w:r>
        <w:t>Gamasutra</w:t>
      </w:r>
      <w:proofErr w:type="spellEnd"/>
      <w:r>
        <w:t xml:space="preserve">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 xml:space="preserve">Uncertain if this section should contain </w:t>
      </w:r>
      <w:proofErr w:type="spellStart"/>
      <w:r>
        <w:t>Github</w:t>
      </w:r>
      <w:proofErr w:type="spellEnd"/>
      <w:r>
        <w:t xml:space="preserve">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EndPr/>
      <w:sdtContent>
        <w:p w:rsidR="001F50D7" w:rsidRDefault="001F50D7">
          <w:pPr>
            <w:pStyle w:val="Heading1"/>
          </w:pPr>
          <w:r>
            <w:t>References</w:t>
          </w:r>
          <w:bookmarkEnd w:id="26"/>
        </w:p>
        <w:sdt>
          <w:sdtPr>
            <w:id w:val="-573587230"/>
            <w:bibliography/>
          </w:sdtPr>
          <w:sdtEndPr/>
          <w:sdtContent>
            <w:p w:rsidR="000472FE" w:rsidRDefault="001F50D7" w:rsidP="000472FE">
              <w:pPr>
                <w:pStyle w:val="Bibliography"/>
                <w:ind w:left="720" w:hanging="720"/>
                <w:rPr>
                  <w:noProof/>
                  <w:sz w:val="24"/>
                  <w:szCs w:val="24"/>
                </w:rPr>
              </w:pPr>
              <w:r>
                <w:fldChar w:fldCharType="begin"/>
              </w:r>
              <w:r>
                <w:instrText xml:space="preserve"> BIBLIOGRAPHY </w:instrText>
              </w:r>
              <w:r>
                <w:fldChar w:fldCharType="separate"/>
              </w:r>
              <w:r w:rsidR="000472FE">
                <w:rPr>
                  <w:noProof/>
                </w:rPr>
                <w:t xml:space="preserve">Adams, D. (2006, September 11). </w:t>
              </w:r>
              <w:r w:rsidR="000472FE">
                <w:rPr>
                  <w:i/>
                  <w:iCs/>
                  <w:noProof/>
                </w:rPr>
                <w:t>Company of Heroes Review</w:t>
              </w:r>
              <w:r w:rsidR="000472FE">
                <w:rPr>
                  <w:noProof/>
                </w:rPr>
                <w:t>. Retrieved from IGN: http://www.ign.com/articles/2006/09/11/company-of-heroes-review-2</w:t>
              </w:r>
            </w:p>
            <w:p w:rsidR="000472FE" w:rsidRDefault="000472FE" w:rsidP="000472FE">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0472FE" w:rsidRDefault="000472FE" w:rsidP="000472FE">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0472FE" w:rsidRDefault="000472FE" w:rsidP="000472FE">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0472FE" w:rsidRDefault="000472FE" w:rsidP="000472FE">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0472FE" w:rsidRDefault="000472FE" w:rsidP="000472FE">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0472FE" w:rsidRDefault="000472FE" w:rsidP="000472FE">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0472FE" w:rsidRDefault="000472FE" w:rsidP="000472FE">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0472FE" w:rsidRDefault="000472FE" w:rsidP="000472FE">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0472FE" w:rsidRDefault="000472FE" w:rsidP="000472FE">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0472FE" w:rsidRDefault="000472FE" w:rsidP="000472FE">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0472FE" w:rsidRDefault="000472FE" w:rsidP="000472FE">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0472FE" w:rsidRDefault="000472FE" w:rsidP="000472FE">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0472FE" w:rsidRDefault="000472FE" w:rsidP="000472FE">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0472FE" w:rsidRDefault="000472FE" w:rsidP="000472FE">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0472FE" w:rsidRDefault="000472FE" w:rsidP="000472FE">
              <w:pPr>
                <w:pStyle w:val="Bibliography"/>
                <w:ind w:left="720" w:hanging="720"/>
                <w:rPr>
                  <w:noProof/>
                </w:rPr>
              </w:pPr>
              <w:r>
                <w:rPr>
                  <w:noProof/>
                </w:rPr>
                <w:lastRenderedPageBreak/>
                <w:t xml:space="preserve">Gallegos, A. (2011, November 23). </w:t>
              </w:r>
              <w:r>
                <w:rPr>
                  <w:i/>
                  <w:iCs/>
                  <w:noProof/>
                </w:rPr>
                <w:t>Minecraft Review</w:t>
              </w:r>
              <w:r>
                <w:rPr>
                  <w:noProof/>
                </w:rPr>
                <w:t>. Retrieved from IGN: http://www.ign.com/articles/2011/11/24/minecraft-review</w:t>
              </w:r>
            </w:p>
            <w:p w:rsidR="000472FE" w:rsidRDefault="000472FE" w:rsidP="000472FE">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0472FE" w:rsidRDefault="000472FE" w:rsidP="000472FE">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0472FE" w:rsidRDefault="000472FE" w:rsidP="000472FE">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0472FE" w:rsidRDefault="000472FE" w:rsidP="000472FE">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0472FE" w:rsidRDefault="000472FE" w:rsidP="000472FE">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0472FE" w:rsidRDefault="000472FE" w:rsidP="000472FE">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0472FE" w:rsidRDefault="000472FE" w:rsidP="000472FE">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0472FE" w:rsidRDefault="000472FE" w:rsidP="000472FE">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0472FE" w:rsidRDefault="000472FE" w:rsidP="000472FE">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0472FE" w:rsidRDefault="000472FE" w:rsidP="000472FE">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0472FE" w:rsidRDefault="000472FE" w:rsidP="000472FE">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0472FE" w:rsidRDefault="000472FE" w:rsidP="000472FE">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0472FE" w:rsidRDefault="000472FE" w:rsidP="000472FE">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0472FE" w:rsidRDefault="000472FE" w:rsidP="000472FE">
              <w:pPr>
                <w:pStyle w:val="Bibliography"/>
                <w:ind w:left="720" w:hanging="720"/>
                <w:rPr>
                  <w:noProof/>
                </w:rPr>
              </w:pPr>
              <w:r>
                <w:rPr>
                  <w:noProof/>
                </w:rPr>
                <w:t xml:space="preserve">Li Yan, Y. S. (2014). An Interactive Path Planning Method Based on Fuzzy Potential Field in Game Scenarios. </w:t>
              </w:r>
              <w:r>
                <w:rPr>
                  <w:i/>
                  <w:iCs/>
                  <w:noProof/>
                </w:rPr>
                <w:t xml:space="preserve">Foundations of Intelligent Systems: Proceedings of the Eighth International </w:t>
              </w:r>
              <w:r>
                <w:rPr>
                  <w:i/>
                  <w:iCs/>
                  <w:noProof/>
                </w:rPr>
                <w:lastRenderedPageBreak/>
                <w:t>Conference on Intelligent Systems and Knowledge Engineering</w:t>
              </w:r>
              <w:r>
                <w:rPr>
                  <w:noProof/>
                </w:rPr>
                <w:t xml:space="preserve"> (pp. 519-529). Shenzhen, China: Springer Berlin Heidelberg.</w:t>
              </w:r>
            </w:p>
            <w:p w:rsidR="000472FE" w:rsidRDefault="000472FE" w:rsidP="000472FE">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0472FE" w:rsidRDefault="000472FE" w:rsidP="000472FE">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0472FE" w:rsidRDefault="000472FE" w:rsidP="000472FE">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0472FE" w:rsidRDefault="000472FE" w:rsidP="000472FE">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0472FE" w:rsidRDefault="000472FE" w:rsidP="000472FE">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0472FE" w:rsidRDefault="000472FE" w:rsidP="000472FE">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0472FE" w:rsidRDefault="000472FE" w:rsidP="000472FE">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0472FE" w:rsidRDefault="000472FE" w:rsidP="000472FE">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0472FE" w:rsidRDefault="000472FE" w:rsidP="000472FE">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0472FE" w:rsidRDefault="000472FE" w:rsidP="000472FE">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0472FE" w:rsidRDefault="000472FE" w:rsidP="000472FE">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0472FE" w:rsidRDefault="000472FE" w:rsidP="000472FE">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0472FE" w:rsidRDefault="000472FE" w:rsidP="000472FE">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0472FE">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D4A" w:rsidRDefault="00A71D4A" w:rsidP="00DE5F51">
      <w:pPr>
        <w:spacing w:after="0" w:line="240" w:lineRule="auto"/>
      </w:pPr>
      <w:r>
        <w:separator/>
      </w:r>
    </w:p>
  </w:endnote>
  <w:endnote w:type="continuationSeparator" w:id="0">
    <w:p w:rsidR="00A71D4A" w:rsidRDefault="00A71D4A"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D4A" w:rsidRDefault="00A71D4A" w:rsidP="00DE5F51">
      <w:pPr>
        <w:spacing w:after="0" w:line="240" w:lineRule="auto"/>
      </w:pPr>
      <w:r>
        <w:separator/>
      </w:r>
    </w:p>
  </w:footnote>
  <w:footnote w:type="continuationSeparator" w:id="0">
    <w:p w:rsidR="00A71D4A" w:rsidRDefault="00A71D4A" w:rsidP="00DE5F51">
      <w:pPr>
        <w:spacing w:after="0" w:line="240" w:lineRule="auto"/>
      </w:pPr>
      <w:r>
        <w:continuationSeparator/>
      </w:r>
    </w:p>
  </w:footnote>
  <w:footnote w:id="1">
    <w:p w:rsidR="00913030" w:rsidRDefault="00913030">
      <w:pPr>
        <w:pStyle w:val="FootnoteText"/>
      </w:pPr>
      <w:r>
        <w:rPr>
          <w:rStyle w:val="FootnoteReference"/>
        </w:rPr>
        <w:footnoteRef/>
      </w:r>
      <w:r>
        <w:t xml:space="preserve"> </w:t>
      </w:r>
      <w:sdt>
        <w:sdtPr>
          <w:id w:val="-493717359"/>
          <w:citation/>
        </w:sdtPr>
        <w:sdtEndPr/>
        <w:sdtContent>
          <w:r>
            <w:fldChar w:fldCharType="begin"/>
          </w:r>
          <w:r>
            <w:instrText xml:space="preserve"> CITATION Chr14 \l 1033 </w:instrText>
          </w:r>
          <w:r>
            <w:fldChar w:fldCharType="separate"/>
          </w:r>
          <w:r w:rsidR="000472FE">
            <w:rPr>
              <w:noProof/>
            </w:rPr>
            <w:t>(Nutt, 2014)</w:t>
          </w:r>
          <w:r>
            <w:fldChar w:fldCharType="end"/>
          </w:r>
        </w:sdtContent>
      </w:sdt>
    </w:p>
  </w:footnote>
  <w:footnote w:id="2">
    <w:p w:rsidR="00913030" w:rsidRDefault="00913030" w:rsidP="007B6F6F">
      <w:pPr>
        <w:pStyle w:val="FootnoteText"/>
      </w:pPr>
      <w:r>
        <w:rPr>
          <w:rStyle w:val="FootnoteReference"/>
        </w:rPr>
        <w:footnoteRef/>
      </w:r>
      <w:r>
        <w:t xml:space="preserve"> </w:t>
      </w:r>
      <w:sdt>
        <w:sdtPr>
          <w:id w:val="600371723"/>
          <w:citation/>
        </w:sdtPr>
        <w:sdtEndPr/>
        <w:sdtContent>
          <w:r>
            <w:fldChar w:fldCharType="begin"/>
          </w:r>
          <w:r>
            <w:instrText xml:space="preserve"> CITATION Byt82 \l 1033 </w:instrText>
          </w:r>
          <w:r>
            <w:fldChar w:fldCharType="separate"/>
          </w:r>
          <w:r w:rsidR="000472FE">
            <w:rPr>
              <w:noProof/>
            </w:rPr>
            <w:t>(Byte Publications, 1982)</w:t>
          </w:r>
          <w:r>
            <w:fldChar w:fldCharType="end"/>
          </w:r>
        </w:sdtContent>
      </w:sdt>
    </w:p>
  </w:footnote>
  <w:footnote w:id="3">
    <w:p w:rsidR="00913030" w:rsidRDefault="00913030" w:rsidP="007B6F6F">
      <w:pPr>
        <w:pStyle w:val="FootnoteText"/>
      </w:pPr>
      <w:r>
        <w:rPr>
          <w:rStyle w:val="FootnoteReference"/>
        </w:rPr>
        <w:footnoteRef/>
      </w:r>
      <w:r>
        <w:t xml:space="preserve"> </w:t>
      </w:r>
      <w:sdt>
        <w:sdtPr>
          <w:id w:val="-377392144"/>
          <w:citation/>
        </w:sdtPr>
        <w:sdtEndPr/>
        <w:sdtContent>
          <w:r>
            <w:fldChar w:fldCharType="begin"/>
          </w:r>
          <w:r>
            <w:instrText xml:space="preserve"> CITATION Bru01 \l 1033 </w:instrText>
          </w:r>
          <w:r>
            <w:fldChar w:fldCharType="separate"/>
          </w:r>
          <w:r w:rsidR="000472FE">
            <w:rPr>
              <w:noProof/>
            </w:rPr>
            <w:t>(Geryk, 2001)</w:t>
          </w:r>
          <w:r>
            <w:fldChar w:fldCharType="end"/>
          </w:r>
        </w:sdtContent>
      </w:sdt>
    </w:p>
  </w:footnote>
  <w:footnote w:id="4">
    <w:p w:rsidR="00913030" w:rsidRDefault="00913030" w:rsidP="0081031A">
      <w:pPr>
        <w:pStyle w:val="FootnoteText"/>
      </w:pPr>
      <w:r>
        <w:rPr>
          <w:rStyle w:val="FootnoteReference"/>
        </w:rPr>
        <w:footnoteRef/>
      </w:r>
      <w:r>
        <w:t xml:space="preserve"> </w:t>
      </w:r>
      <w:sdt>
        <w:sdtPr>
          <w:id w:val="-1528480834"/>
          <w:citation/>
        </w:sdtPr>
        <w:sdtEndPr/>
        <w:sdtContent>
          <w:r>
            <w:fldChar w:fldCharType="begin"/>
          </w:r>
          <w:r>
            <w:instrText xml:space="preserve"> CITATION Mar04 \l 1033 </w:instrText>
          </w:r>
          <w:r>
            <w:fldChar w:fldCharType="separate"/>
          </w:r>
          <w:r w:rsidR="000472FE">
            <w:rPr>
              <w:noProof/>
            </w:rPr>
            <w:t>(Walker, 2004)</w:t>
          </w:r>
          <w:r>
            <w:fldChar w:fldCharType="end"/>
          </w:r>
        </w:sdtContent>
      </w:sdt>
    </w:p>
  </w:footnote>
  <w:footnote w:id="5">
    <w:p w:rsidR="00913030" w:rsidRDefault="00913030">
      <w:pPr>
        <w:pStyle w:val="FootnoteText"/>
      </w:pPr>
      <w:r>
        <w:rPr>
          <w:rStyle w:val="FootnoteReference"/>
        </w:rPr>
        <w:footnoteRef/>
      </w:r>
      <w:r>
        <w:t xml:space="preserve"> </w:t>
      </w:r>
      <w:sdt>
        <w:sdtPr>
          <w:id w:val="246318839"/>
          <w:citation/>
        </w:sdtPr>
        <w:sdtEndPr/>
        <w:sdtContent>
          <w:r>
            <w:fldChar w:fldCharType="begin"/>
          </w:r>
          <w:r>
            <w:instrText xml:space="preserve"> CITATION Gia16 \l 1033 </w:instrText>
          </w:r>
          <w:r>
            <w:fldChar w:fldCharType="separate"/>
          </w:r>
          <w:r w:rsidR="000472FE">
            <w:rPr>
              <w:noProof/>
            </w:rPr>
            <w:t>(Giant Bomb, 2016)</w:t>
          </w:r>
          <w:r>
            <w:fldChar w:fldCharType="end"/>
          </w:r>
        </w:sdtContent>
      </w:sdt>
      <w:r>
        <w:t xml:space="preserve">. </w:t>
      </w:r>
      <w:proofErr w:type="spellStart"/>
      <w:r>
        <w:t>Macromanagement</w:t>
      </w:r>
      <w:proofErr w:type="spellEnd"/>
      <w:r>
        <w:t xml:space="preserve"> is derived from micromanagement in real-time strategy games.</w:t>
      </w:r>
    </w:p>
  </w:footnote>
  <w:footnote w:id="6">
    <w:p w:rsidR="00913030" w:rsidRDefault="00913030">
      <w:pPr>
        <w:pStyle w:val="FootnoteText"/>
      </w:pPr>
      <w:r>
        <w:rPr>
          <w:rStyle w:val="FootnoteReference"/>
        </w:rPr>
        <w:footnoteRef/>
      </w:r>
      <w:r>
        <w:t xml:space="preserve"> </w:t>
      </w:r>
      <w:sdt>
        <w:sdtPr>
          <w:id w:val="-1243792026"/>
          <w:citation/>
        </w:sdtPr>
        <w:sdtEndPr/>
        <w:sdtContent>
          <w:r>
            <w:fldChar w:fldCharType="begin"/>
          </w:r>
          <w:r>
            <w:instrText xml:space="preserve"> CITATION Jon11 \l 1033 </w:instrText>
          </w:r>
          <w:r>
            <w:fldChar w:fldCharType="separate"/>
          </w:r>
          <w:r w:rsidR="000472FE">
            <w:rPr>
              <w:noProof/>
            </w:rPr>
            <w:t>(Kleinberg, 2011)</w:t>
          </w:r>
          <w:r>
            <w:fldChar w:fldCharType="end"/>
          </w:r>
        </w:sdtContent>
      </w:sdt>
    </w:p>
  </w:footnote>
  <w:footnote w:id="7">
    <w:p w:rsidR="00913030" w:rsidRDefault="00913030">
      <w:pPr>
        <w:pStyle w:val="FootnoteText"/>
      </w:pPr>
      <w:r>
        <w:rPr>
          <w:rStyle w:val="FootnoteReference"/>
        </w:rPr>
        <w:footnoteRef/>
      </w:r>
      <w:r>
        <w:t xml:space="preserve"> </w:t>
      </w:r>
      <w:sdt>
        <w:sdtPr>
          <w:id w:val="-1319878082"/>
          <w:citation/>
        </w:sdtPr>
        <w:sdtEndPr/>
        <w:sdtContent>
          <w:r>
            <w:fldChar w:fldCharType="begin"/>
          </w:r>
          <w:r>
            <w:instrText xml:space="preserve"> CITATION Sum10 \l 1033 </w:instrText>
          </w:r>
          <w:r>
            <w:fldChar w:fldCharType="separate"/>
          </w:r>
          <w:r w:rsidR="000472FE">
            <w:rPr>
              <w:noProof/>
            </w:rPr>
            <w:t>(Lahiri, 2010)</w:t>
          </w:r>
          <w:r>
            <w:fldChar w:fldCharType="end"/>
          </w:r>
        </w:sdtContent>
      </w:sdt>
    </w:p>
  </w:footnote>
  <w:footnote w:id="8">
    <w:p w:rsidR="00913030" w:rsidRDefault="00913030">
      <w:pPr>
        <w:pStyle w:val="FootnoteText"/>
      </w:pPr>
      <w:r>
        <w:rPr>
          <w:rStyle w:val="FootnoteReference"/>
        </w:rPr>
        <w:footnoteRef/>
      </w:r>
      <w:r>
        <w:t xml:space="preserve"> </w:t>
      </w:r>
      <w:sdt>
        <w:sdtPr>
          <w:id w:val="-1077127408"/>
          <w:citation/>
        </w:sdtPr>
        <w:sdtEndPr/>
        <w:sdtContent>
          <w:r>
            <w:fldChar w:fldCharType="begin"/>
          </w:r>
          <w:r>
            <w:instrText xml:space="preserve"> CITATION Bli09 \l 1033 </w:instrText>
          </w:r>
          <w:r>
            <w:fldChar w:fldCharType="separate"/>
          </w:r>
          <w:r w:rsidR="000472FE">
            <w:rPr>
              <w:noProof/>
            </w:rPr>
            <w:t>(Blizzard Entertainment, 2009)</w:t>
          </w:r>
          <w:r>
            <w:fldChar w:fldCharType="end"/>
          </w:r>
        </w:sdtContent>
      </w:sdt>
    </w:p>
  </w:footnote>
  <w:footnote w:id="9">
    <w:p w:rsidR="00913030" w:rsidRDefault="00913030" w:rsidP="0056588D">
      <w:pPr>
        <w:pStyle w:val="FootnoteText"/>
      </w:pPr>
      <w:r>
        <w:rPr>
          <w:rStyle w:val="FootnoteReference"/>
        </w:rPr>
        <w:footnoteRef/>
      </w:r>
      <w:r>
        <w:t xml:space="preserve"> </w:t>
      </w:r>
      <w:sdt>
        <w:sdtPr>
          <w:id w:val="-2089617554"/>
          <w:citation/>
        </w:sdtPr>
        <w:sdtEndPr/>
        <w:sdtContent>
          <w:r>
            <w:fldChar w:fldCharType="begin"/>
          </w:r>
          <w:r>
            <w:instrText xml:space="preserve">CITATION Raú15 \l 1033 </w:instrText>
          </w:r>
          <w:r>
            <w:fldChar w:fldCharType="separate"/>
          </w:r>
          <w:r w:rsidR="000472FE">
            <w:rPr>
              <w:noProof/>
            </w:rPr>
            <w:t>(Lara-Cabrera, Nogueira-Collazo, Cotta, &amp; Fernández-Leiva, 2015)</w:t>
          </w:r>
          <w:r>
            <w:fldChar w:fldCharType="end"/>
          </w:r>
        </w:sdtContent>
      </w:sdt>
    </w:p>
  </w:footnote>
  <w:footnote w:id="10">
    <w:p w:rsidR="00913030" w:rsidRDefault="00913030">
      <w:pPr>
        <w:pStyle w:val="FootnoteText"/>
      </w:pPr>
      <w:r>
        <w:rPr>
          <w:rStyle w:val="FootnoteReference"/>
        </w:rPr>
        <w:footnoteRef/>
      </w:r>
      <w:r>
        <w:t xml:space="preserve"> </w:t>
      </w:r>
      <w:sdt>
        <w:sdtPr>
          <w:id w:val="2041930052"/>
          <w:citation/>
        </w:sdtPr>
        <w:sdtEndPr/>
        <w:sdtContent>
          <w:r>
            <w:fldChar w:fldCharType="begin"/>
          </w:r>
          <w:r>
            <w:instrText xml:space="preserve"> CITATION Lar12 \l 1033 </w:instrText>
          </w:r>
          <w:r>
            <w:fldChar w:fldCharType="separate"/>
          </w:r>
          <w:r w:rsidR="000472FE">
            <w:rPr>
              <w:noProof/>
            </w:rPr>
            <w:t>(Lara-Cabrera, Cotta, &amp; Fern´andez-Leiva, 2012)</w:t>
          </w:r>
          <w:r>
            <w:fldChar w:fldCharType="end"/>
          </w:r>
        </w:sdtContent>
      </w:sdt>
    </w:p>
  </w:footnote>
  <w:footnote w:id="11">
    <w:p w:rsidR="00913030" w:rsidRDefault="00913030" w:rsidP="0056588D">
      <w:pPr>
        <w:pStyle w:val="FootnoteText"/>
      </w:pPr>
      <w:r>
        <w:rPr>
          <w:rStyle w:val="FootnoteReference"/>
        </w:rPr>
        <w:footnoteRef/>
      </w:r>
      <w:r>
        <w:t xml:space="preserve"> </w:t>
      </w:r>
      <w:sdt>
        <w:sdtPr>
          <w:id w:val="32542996"/>
          <w:citation/>
        </w:sdtPr>
        <w:sdtEndPr/>
        <w:sdtContent>
          <w:r>
            <w:fldChar w:fldCharType="begin"/>
          </w:r>
          <w:r>
            <w:instrText xml:space="preserve"> CITATION Mar13 \l 1033 </w:instrText>
          </w:r>
          <w:r>
            <w:fldChar w:fldCharType="separate"/>
          </w:r>
          <w:r w:rsidR="000472FE">
            <w:rPr>
              <w:noProof/>
            </w:rPr>
            <w:t>(Mark Hendrikx, 2013)</w:t>
          </w:r>
          <w:r>
            <w:fldChar w:fldCharType="end"/>
          </w:r>
        </w:sdtContent>
      </w:sdt>
    </w:p>
  </w:footnote>
  <w:footnote w:id="12">
    <w:p w:rsidR="00913030" w:rsidRDefault="00913030" w:rsidP="0056588D">
      <w:pPr>
        <w:pStyle w:val="FootnoteText"/>
      </w:pPr>
      <w:r>
        <w:rPr>
          <w:rStyle w:val="FootnoteReference"/>
        </w:rPr>
        <w:footnoteRef/>
      </w:r>
      <w:r>
        <w:t xml:space="preserve"> </w:t>
      </w:r>
      <w:sdt>
        <w:sdtPr>
          <w:id w:val="-251509069"/>
          <w:citation/>
        </w:sdtPr>
        <w:sdtEndPr/>
        <w:sdtContent>
          <w:r>
            <w:fldChar w:fldCharType="begin"/>
          </w:r>
          <w:r>
            <w:instrText xml:space="preserve">CITATION Eri09 \l 1033 </w:instrText>
          </w:r>
          <w:r>
            <w:fldChar w:fldCharType="separate"/>
          </w:r>
          <w:r w:rsidR="000472FE">
            <w:rPr>
              <w:noProof/>
            </w:rPr>
            <w:t>(Hastings, Guha, Member, IEEE, &amp; Stanley, 2009)</w:t>
          </w:r>
          <w:r>
            <w:fldChar w:fldCharType="end"/>
          </w:r>
        </w:sdtContent>
      </w:sdt>
    </w:p>
  </w:footnote>
  <w:footnote w:id="13">
    <w:p w:rsidR="00913030" w:rsidRDefault="00913030" w:rsidP="0056588D">
      <w:pPr>
        <w:pStyle w:val="FootnoteText"/>
      </w:pPr>
      <w:r>
        <w:rPr>
          <w:rStyle w:val="FootnoteReference"/>
        </w:rPr>
        <w:footnoteRef/>
      </w:r>
      <w:r>
        <w:t xml:space="preserve"> </w:t>
      </w:r>
      <w:sdt>
        <w:sdtPr>
          <w:id w:val="-1372838083"/>
          <w:citation/>
        </w:sdtPr>
        <w:sdtEndPr/>
        <w:sdtContent>
          <w:r>
            <w:fldChar w:fldCharType="begin"/>
          </w:r>
          <w:r>
            <w:instrText xml:space="preserve"> CITATION Ant11 \l 1033 </w:instrText>
          </w:r>
          <w:r>
            <w:fldChar w:fldCharType="separate"/>
          </w:r>
          <w:r w:rsidR="000472FE">
            <w:rPr>
              <w:noProof/>
            </w:rPr>
            <w:t>(Gallegos, 2011)</w:t>
          </w:r>
          <w:r>
            <w:fldChar w:fldCharType="end"/>
          </w:r>
        </w:sdtContent>
      </w:sdt>
    </w:p>
  </w:footnote>
  <w:footnote w:id="14">
    <w:p w:rsidR="00913030" w:rsidRDefault="00913030" w:rsidP="0056588D">
      <w:pPr>
        <w:pStyle w:val="FootnoteText"/>
      </w:pPr>
      <w:r>
        <w:rPr>
          <w:rStyle w:val="FootnoteReference"/>
        </w:rPr>
        <w:footnoteRef/>
      </w:r>
      <w:r>
        <w:t xml:space="preserve"> </w:t>
      </w:r>
      <w:sdt>
        <w:sdtPr>
          <w:id w:val="-1729605789"/>
          <w:citation/>
        </w:sdtPr>
        <w:sdtEndPr/>
        <w:sdtContent>
          <w:r>
            <w:fldChar w:fldCharType="begin"/>
          </w:r>
          <w:r>
            <w:instrText xml:space="preserve"> CITATION Din15 \l 1033 </w:instrText>
          </w:r>
          <w:r>
            <w:fldChar w:fldCharType="separate"/>
          </w:r>
          <w:r w:rsidR="000472FE">
            <w:rPr>
              <w:noProof/>
            </w:rPr>
            <w:t>(Dinosaur Polo Club, 2015)</w:t>
          </w:r>
          <w:r>
            <w:fldChar w:fldCharType="end"/>
          </w:r>
        </w:sdtContent>
      </w:sdt>
    </w:p>
  </w:footnote>
  <w:footnote w:id="15">
    <w:p w:rsidR="00913030" w:rsidRDefault="00913030" w:rsidP="00967248">
      <w:pPr>
        <w:pStyle w:val="FootnoteText"/>
      </w:pPr>
      <w:r>
        <w:rPr>
          <w:rStyle w:val="FootnoteReference"/>
        </w:rPr>
        <w:footnoteRef/>
      </w:r>
      <w:r>
        <w:t xml:space="preserve"> </w:t>
      </w:r>
      <w:sdt>
        <w:sdtPr>
          <w:id w:val="550345113"/>
          <w:citation/>
        </w:sdtPr>
        <w:sdtEndPr/>
        <w:sdtContent>
          <w:r>
            <w:fldChar w:fldCharType="begin"/>
          </w:r>
          <w:r>
            <w:instrText xml:space="preserve"> CITATION Kei11 \l 1033 </w:instrText>
          </w:r>
          <w:r>
            <w:fldChar w:fldCharType="separate"/>
          </w:r>
          <w:r w:rsidR="000472FE">
            <w:rPr>
              <w:noProof/>
            </w:rPr>
            <w:t>(Burgun, Understanding Balance in Video Games, 2011)</w:t>
          </w:r>
          <w:r>
            <w:fldChar w:fldCharType="end"/>
          </w:r>
        </w:sdtContent>
      </w:sdt>
    </w:p>
  </w:footnote>
  <w:footnote w:id="16">
    <w:p w:rsidR="00913030" w:rsidRDefault="00913030">
      <w:pPr>
        <w:pStyle w:val="FootnoteText"/>
      </w:pPr>
      <w:r>
        <w:rPr>
          <w:rStyle w:val="FootnoteReference"/>
        </w:rPr>
        <w:footnoteRef/>
      </w:r>
      <w:r>
        <w:t xml:space="preserve"> </w:t>
      </w:r>
      <w:sdt>
        <w:sdtPr>
          <w:id w:val="1064917966"/>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7">
    <w:p w:rsidR="00913030" w:rsidRDefault="00913030">
      <w:pPr>
        <w:pStyle w:val="FootnoteText"/>
      </w:pPr>
      <w:r>
        <w:rPr>
          <w:rStyle w:val="FootnoteReference"/>
        </w:rPr>
        <w:footnoteRef/>
      </w:r>
      <w:r>
        <w:t xml:space="preserve"> </w:t>
      </w:r>
      <w:sdt>
        <w:sdtPr>
          <w:id w:val="-1058699638"/>
          <w:citation/>
        </w:sdtPr>
        <w:sdtEndPr/>
        <w:sdtContent>
          <w:r>
            <w:fldChar w:fldCharType="begin"/>
          </w:r>
          <w:r>
            <w:instrText xml:space="preserve"> CITATION JrJ50 \l 1033 </w:instrText>
          </w:r>
          <w:r>
            <w:fldChar w:fldCharType="separate"/>
          </w:r>
          <w:r w:rsidR="000472FE">
            <w:rPr>
              <w:noProof/>
            </w:rPr>
            <w:t>(Nash, 1950)</w:t>
          </w:r>
          <w:r>
            <w:fldChar w:fldCharType="end"/>
          </w:r>
        </w:sdtContent>
      </w:sdt>
    </w:p>
  </w:footnote>
  <w:footnote w:id="18">
    <w:p w:rsidR="00913030" w:rsidRDefault="00913030">
      <w:pPr>
        <w:pStyle w:val="FootnoteText"/>
      </w:pPr>
      <w:r>
        <w:rPr>
          <w:rStyle w:val="FootnoteReference"/>
        </w:rPr>
        <w:footnoteRef/>
      </w:r>
      <w:r>
        <w:t xml:space="preserve"> </w:t>
      </w:r>
      <w:sdt>
        <w:sdtPr>
          <w:id w:val="792173627"/>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9">
    <w:p w:rsidR="00913030" w:rsidRDefault="00913030" w:rsidP="005914F0">
      <w:pPr>
        <w:pStyle w:val="FootnoteText"/>
      </w:pPr>
      <w:r>
        <w:rPr>
          <w:rStyle w:val="FootnoteReference"/>
        </w:rPr>
        <w:footnoteRef/>
      </w:r>
      <w:r>
        <w:t xml:space="preserve"> </w:t>
      </w:r>
      <w:sdt>
        <w:sdtPr>
          <w:id w:val="1739284454"/>
          <w:citation/>
        </w:sdtPr>
        <w:sdtEndPr/>
        <w:sdtContent>
          <w:r>
            <w:fldChar w:fldCharType="begin"/>
          </w:r>
          <w:r>
            <w:instrText xml:space="preserve"> CITATION Thi07 \l 1033 </w:instrText>
          </w:r>
          <w:r>
            <w:fldChar w:fldCharType="separate"/>
          </w:r>
          <w:r w:rsidR="000472FE">
            <w:rPr>
              <w:noProof/>
            </w:rPr>
            <w:t>(Fayard, 2007)</w:t>
          </w:r>
          <w:r>
            <w:fldChar w:fldCharType="end"/>
          </w:r>
        </w:sdtContent>
      </w:sdt>
    </w:p>
  </w:footnote>
  <w:footnote w:id="20">
    <w:p w:rsidR="00913030" w:rsidRDefault="00913030" w:rsidP="005914F0">
      <w:pPr>
        <w:pStyle w:val="FootnoteText"/>
      </w:pPr>
      <w:r>
        <w:rPr>
          <w:rStyle w:val="FootnoteReference"/>
        </w:rPr>
        <w:footnoteRef/>
      </w:r>
      <w:r>
        <w:t xml:space="preserve"> </w:t>
      </w:r>
      <w:sdt>
        <w:sdtPr>
          <w:id w:val="1222329580"/>
          <w:citation/>
        </w:sdtPr>
        <w:sdtEndPr/>
        <w:sdtContent>
          <w:r>
            <w:fldChar w:fldCharType="begin"/>
          </w:r>
          <w:r>
            <w:instrText xml:space="preserve"> CITATION Raú14 \l 1033 </w:instrText>
          </w:r>
          <w:r>
            <w:fldChar w:fldCharType="separate"/>
          </w:r>
          <w:r w:rsidR="000472FE">
            <w:rPr>
              <w:noProof/>
            </w:rPr>
            <w:t>(Lara-Cabrera, Cotta, &amp; Fernández-Leiva, On balance and dynamism in procedural content generation with self-adaptive evolutionary algorithms, 2014)</w:t>
          </w:r>
          <w:r>
            <w:fldChar w:fldCharType="end"/>
          </w:r>
        </w:sdtContent>
      </w:sdt>
    </w:p>
  </w:footnote>
  <w:footnote w:id="21">
    <w:p w:rsidR="00913030" w:rsidRDefault="00913030" w:rsidP="005914F0">
      <w:pPr>
        <w:pStyle w:val="FootnoteText"/>
      </w:pPr>
      <w:r>
        <w:rPr>
          <w:rStyle w:val="FootnoteReference"/>
        </w:rPr>
        <w:footnoteRef/>
      </w:r>
      <w:r>
        <w:t xml:space="preserve"> </w:t>
      </w:r>
      <w:sdt>
        <w:sdtPr>
          <w:id w:val="-65261949"/>
          <w:citation/>
        </w:sdtPr>
        <w:sdtEndPr/>
        <w:sdtContent>
          <w:r>
            <w:fldChar w:fldCharType="begin"/>
          </w:r>
          <w:r>
            <w:instrText xml:space="preserve"> CITATION Cha11 \l 1033 </w:instrText>
          </w:r>
          <w:r>
            <w:fldChar w:fldCharType="separate"/>
          </w:r>
          <w:r w:rsidR="000472FE">
            <w:rPr>
              <w:noProof/>
            </w:rPr>
            <w:t>(Onyett, Total War: Shogun 2 Review, 2011)</w:t>
          </w:r>
          <w:r>
            <w:fldChar w:fldCharType="end"/>
          </w:r>
        </w:sdtContent>
      </w:sdt>
    </w:p>
  </w:footnote>
  <w:footnote w:id="22">
    <w:p w:rsidR="00913030" w:rsidRDefault="00913030" w:rsidP="005914F0">
      <w:pPr>
        <w:pStyle w:val="FootnoteText"/>
      </w:pPr>
      <w:r>
        <w:rPr>
          <w:rStyle w:val="FootnoteReference"/>
        </w:rPr>
        <w:footnoteRef/>
      </w:r>
      <w:r>
        <w:t xml:space="preserve"> </w:t>
      </w:r>
      <w:sdt>
        <w:sdtPr>
          <w:id w:val="-243113278"/>
          <w:citation/>
        </w:sdtPr>
        <w:sdtEndPr/>
        <w:sdtContent>
          <w:r>
            <w:fldChar w:fldCharType="begin"/>
          </w:r>
          <w:r>
            <w:instrText xml:space="preserve"> CITATION TJH15 \l 1033 </w:instrText>
          </w:r>
          <w:r>
            <w:fldChar w:fldCharType="separate"/>
          </w:r>
          <w:r w:rsidR="000472FE">
            <w:rPr>
              <w:noProof/>
            </w:rPr>
            <w:t>(Hafer, 2015)</w:t>
          </w:r>
          <w:r>
            <w:fldChar w:fldCharType="end"/>
          </w:r>
        </w:sdtContent>
      </w:sdt>
    </w:p>
  </w:footnote>
  <w:footnote w:id="23">
    <w:p w:rsidR="00913030" w:rsidRDefault="00913030" w:rsidP="005914F0">
      <w:pPr>
        <w:pStyle w:val="FootnoteText"/>
      </w:pPr>
      <w:r>
        <w:rPr>
          <w:rStyle w:val="FootnoteReference"/>
        </w:rPr>
        <w:footnoteRef/>
      </w:r>
      <w:r>
        <w:t xml:space="preserve"> </w:t>
      </w:r>
      <w:sdt>
        <w:sdtPr>
          <w:id w:val="413435790"/>
          <w:citation/>
        </w:sdtPr>
        <w:sdtEndPr/>
        <w:sdtContent>
          <w:r>
            <w:fldChar w:fldCharType="begin"/>
          </w:r>
          <w:r>
            <w:instrText xml:space="preserve"> CITATION Dan08 \l 1033 </w:instrText>
          </w:r>
          <w:r>
            <w:fldChar w:fldCharType="separate"/>
          </w:r>
          <w:r w:rsidR="000472FE">
            <w:rPr>
              <w:noProof/>
            </w:rPr>
            <w:t>(Griliopoulos, 2008)</w:t>
          </w:r>
          <w:r>
            <w:fldChar w:fldCharType="end"/>
          </w:r>
        </w:sdtContent>
      </w:sdt>
    </w:p>
  </w:footnote>
  <w:footnote w:id="24">
    <w:p w:rsidR="00913030" w:rsidRDefault="00913030" w:rsidP="005914F0">
      <w:pPr>
        <w:pStyle w:val="FootnoteText"/>
      </w:pPr>
      <w:r>
        <w:rPr>
          <w:rStyle w:val="FootnoteReference"/>
        </w:rPr>
        <w:footnoteRef/>
      </w:r>
      <w:r>
        <w:t xml:space="preserve"> </w:t>
      </w:r>
      <w:sdt>
        <w:sdtPr>
          <w:id w:val="-149057445"/>
          <w:citation/>
        </w:sdtPr>
        <w:sdtEndPr/>
        <w:sdtContent>
          <w:r>
            <w:fldChar w:fldCharType="begin"/>
          </w:r>
          <w:r>
            <w:instrText xml:space="preserve"> CITATION Bli15 \l 1033 </w:instrText>
          </w:r>
          <w:r>
            <w:fldChar w:fldCharType="separate"/>
          </w:r>
          <w:r w:rsidR="000472FE">
            <w:rPr>
              <w:noProof/>
            </w:rPr>
            <w:t>(Blizzard Entertainment, 2015)</w:t>
          </w:r>
          <w:r>
            <w:fldChar w:fldCharType="end"/>
          </w:r>
        </w:sdtContent>
      </w:sdt>
    </w:p>
  </w:footnote>
  <w:footnote w:id="25">
    <w:p w:rsidR="00913030" w:rsidRDefault="00913030" w:rsidP="005914F0">
      <w:pPr>
        <w:pStyle w:val="FootnoteText"/>
      </w:pPr>
      <w:r>
        <w:rPr>
          <w:rStyle w:val="FootnoteReference"/>
        </w:rPr>
        <w:footnoteRef/>
      </w:r>
      <w:r>
        <w:t xml:space="preserve"> </w:t>
      </w:r>
      <w:sdt>
        <w:sdtPr>
          <w:id w:val="1212622924"/>
          <w:citation/>
        </w:sdtPr>
        <w:sdtEndPr/>
        <w:sdtContent>
          <w:r>
            <w:fldChar w:fldCharType="begin"/>
          </w:r>
          <w:r>
            <w:instrText xml:space="preserve"> CITATION Bli02 \l 1033 </w:instrText>
          </w:r>
          <w:r>
            <w:fldChar w:fldCharType="separate"/>
          </w:r>
          <w:r w:rsidR="000472FE">
            <w:rPr>
              <w:noProof/>
            </w:rPr>
            <w:t>(Blizzard Entertainment, 2002)</w:t>
          </w:r>
          <w:r>
            <w:fldChar w:fldCharType="end"/>
          </w:r>
        </w:sdtContent>
      </w:sdt>
    </w:p>
  </w:footnote>
  <w:footnote w:id="26">
    <w:p w:rsidR="00913030" w:rsidRDefault="00913030" w:rsidP="005914F0">
      <w:pPr>
        <w:pStyle w:val="FootnoteText"/>
      </w:pPr>
      <w:r>
        <w:rPr>
          <w:rStyle w:val="FootnoteReference"/>
        </w:rPr>
        <w:footnoteRef/>
      </w:r>
      <w:r>
        <w:t xml:space="preserve"> </w:t>
      </w:r>
      <w:sdt>
        <w:sdtPr>
          <w:id w:val="-1096010192"/>
          <w:citation/>
        </w:sdtPr>
        <w:sdtEndPr/>
        <w:sdtContent>
          <w:r>
            <w:fldChar w:fldCharType="begin"/>
          </w:r>
          <w:r>
            <w:instrText xml:space="preserve"> CITATION Ron97 \l 1033 </w:instrText>
          </w:r>
          <w:r>
            <w:fldChar w:fldCharType="separate"/>
          </w:r>
          <w:r w:rsidR="000472FE">
            <w:rPr>
              <w:noProof/>
            </w:rPr>
            <w:t>(Dulin, 1997)</w:t>
          </w:r>
          <w:r>
            <w:fldChar w:fldCharType="end"/>
          </w:r>
        </w:sdtContent>
      </w:sdt>
    </w:p>
  </w:footnote>
  <w:footnote w:id="27">
    <w:p w:rsidR="00913030" w:rsidRDefault="00913030" w:rsidP="005914F0">
      <w:pPr>
        <w:pStyle w:val="FootnoteText"/>
      </w:pPr>
      <w:r>
        <w:rPr>
          <w:rStyle w:val="FootnoteReference"/>
        </w:rPr>
        <w:footnoteRef/>
      </w:r>
      <w:r>
        <w:t xml:space="preserve"> </w:t>
      </w:r>
      <w:sdt>
        <w:sdtPr>
          <w:id w:val="-30729179"/>
          <w:citation/>
        </w:sdtPr>
        <w:sdtEndPr/>
        <w:sdtContent>
          <w:r>
            <w:fldChar w:fldCharType="begin"/>
          </w:r>
          <w:r>
            <w:instrText xml:space="preserve">CITATION SBa13 \l 1033 </w:instrText>
          </w:r>
          <w:r>
            <w:fldChar w:fldCharType="separate"/>
          </w:r>
          <w:r w:rsidR="000472FE">
            <w:rPr>
              <w:noProof/>
            </w:rPr>
            <w:t>(Bangay &amp; Makin, 2013)</w:t>
          </w:r>
          <w:r>
            <w:fldChar w:fldCharType="end"/>
          </w:r>
        </w:sdtContent>
      </w:sdt>
    </w:p>
  </w:footnote>
  <w:footnote w:id="28">
    <w:p w:rsidR="00913030" w:rsidRDefault="00913030">
      <w:pPr>
        <w:pStyle w:val="FootnoteText"/>
      </w:pPr>
      <w:r>
        <w:rPr>
          <w:rStyle w:val="FootnoteReference"/>
        </w:rPr>
        <w:footnoteRef/>
      </w:r>
      <w:r>
        <w:t xml:space="preserve"> </w:t>
      </w:r>
      <w:sdt>
        <w:sdtPr>
          <w:id w:val="578571064"/>
          <w:citation/>
        </w:sdtPr>
        <w:sdtEndPr/>
        <w:sdtContent>
          <w:r>
            <w:fldChar w:fldCharType="begin"/>
          </w:r>
          <w:r>
            <w:instrText xml:space="preserve"> CITATION Bla16 \l 1033 </w:instrText>
          </w:r>
          <w:r>
            <w:fldChar w:fldCharType="separate"/>
          </w:r>
          <w:r w:rsidR="000472FE">
            <w:rPr>
              <w:noProof/>
            </w:rPr>
            <w:t>(Blackbird Interactive, 2016)</w:t>
          </w:r>
          <w:r>
            <w:fldChar w:fldCharType="end"/>
          </w:r>
        </w:sdtContent>
      </w:sdt>
    </w:p>
  </w:footnote>
  <w:footnote w:id="29">
    <w:p w:rsidR="00913030" w:rsidRDefault="00913030" w:rsidP="005914F0">
      <w:pPr>
        <w:pStyle w:val="FootnoteText"/>
        <w:jc w:val="both"/>
      </w:pPr>
      <w:r>
        <w:rPr>
          <w:rStyle w:val="FootnoteReference"/>
        </w:rPr>
        <w:footnoteRef/>
      </w:r>
      <w:r>
        <w:t xml:space="preserve"> A minimalistic real-time strategy game for Android, based in outer space. </w:t>
      </w:r>
      <w:sdt>
        <w:sdtPr>
          <w:id w:val="1724259857"/>
          <w:citation/>
        </w:sdtPr>
        <w:sdtEndPr/>
        <w:sdtContent>
          <w:r>
            <w:fldChar w:fldCharType="begin"/>
          </w:r>
          <w:r>
            <w:instrText xml:space="preserve"> CITATION Jas13 \l 1033 </w:instrText>
          </w:r>
          <w:r>
            <w:fldChar w:fldCharType="separate"/>
          </w:r>
          <w:r w:rsidR="000472FE">
            <w:rPr>
              <w:noProof/>
            </w:rPr>
            <w:t>(Parker, 2013)</w:t>
          </w:r>
          <w:r>
            <w:fldChar w:fldCharType="end"/>
          </w:r>
        </w:sdtContent>
      </w:sdt>
    </w:p>
  </w:footnote>
  <w:footnote w:id="30">
    <w:p w:rsidR="00913030" w:rsidRPr="0033381A" w:rsidRDefault="00913030" w:rsidP="005914F0">
      <w:pPr>
        <w:pStyle w:val="FootnoteText"/>
        <w:jc w:val="both"/>
      </w:pPr>
      <w:r>
        <w:rPr>
          <w:rStyle w:val="FootnoteReference"/>
        </w:rPr>
        <w:footnoteRef/>
      </w:r>
      <w:r>
        <w:t xml:space="preserve"> A real-time tactics custom map game for the real-time strategy game, </w:t>
      </w:r>
      <w:proofErr w:type="spellStart"/>
      <w:r>
        <w:rPr>
          <w:i/>
        </w:rPr>
        <w:t>WarCraft</w:t>
      </w:r>
      <w:proofErr w:type="spellEnd"/>
      <w:r>
        <w:rPr>
          <w:i/>
        </w:rPr>
        <w:t xml:space="preserve"> III</w:t>
      </w:r>
      <w:r>
        <w:t xml:space="preserve"> and its expansion, </w:t>
      </w:r>
      <w:proofErr w:type="spellStart"/>
      <w:r>
        <w:rPr>
          <w:i/>
        </w:rPr>
        <w:t>WarCraft</w:t>
      </w:r>
      <w:proofErr w:type="spellEnd"/>
      <w:r>
        <w:rPr>
          <w:i/>
        </w:rPr>
        <w:t xml:space="preserve"> III: The Frozen Throne</w:t>
      </w:r>
      <w:r>
        <w:t xml:space="preserve">. </w:t>
      </w:r>
      <w:sdt>
        <w:sdtPr>
          <w:id w:val="-722908536"/>
          <w:citation/>
        </w:sdtPr>
        <w:sdtEndPr/>
        <w:sdtContent>
          <w:r>
            <w:fldChar w:fldCharType="begin"/>
          </w:r>
          <w:r>
            <w:instrText xml:space="preserve">CITATION War15 \l 1033 </w:instrText>
          </w:r>
          <w:r>
            <w:fldChar w:fldCharType="separate"/>
          </w:r>
          <w:r w:rsidR="000472FE">
            <w:rPr>
              <w:noProof/>
            </w:rPr>
            <w:t>(StrategyWiki, 2014)</w:t>
          </w:r>
          <w:r>
            <w:fldChar w:fldCharType="end"/>
          </w:r>
        </w:sdtContent>
      </w:sdt>
    </w:p>
  </w:footnote>
  <w:footnote w:id="31">
    <w:p w:rsidR="00913030" w:rsidRDefault="00913030" w:rsidP="005914F0">
      <w:pPr>
        <w:pStyle w:val="FootnoteText"/>
      </w:pPr>
      <w:r>
        <w:rPr>
          <w:rStyle w:val="FootnoteReference"/>
        </w:rPr>
        <w:footnoteRef/>
      </w:r>
      <w:r>
        <w:t xml:space="preserve"> </w:t>
      </w:r>
      <w:sdt>
        <w:sdtPr>
          <w:id w:val="-2071107952"/>
          <w:citation/>
        </w:sdtPr>
        <w:sdtEndPr/>
        <w:sdtContent>
          <w:r>
            <w:fldChar w:fldCharType="begin"/>
          </w:r>
          <w:r>
            <w:instrText xml:space="preserve"> CITATION Rau13 \l 1033 </w:instrText>
          </w:r>
          <w:r>
            <w:fldChar w:fldCharType="separate"/>
          </w:r>
          <w:r w:rsidR="000472FE">
            <w:rPr>
              <w:noProof/>
            </w:rPr>
            <w:t>(Lara-Cabrera, Cotta, &amp; Fernández-Leiva, A Procedural Balanced Map Generator with Self-adaptive Complexity for the Real-Time Strategy Game Planet Wars, 2013)</w:t>
          </w:r>
          <w:r>
            <w:fldChar w:fldCharType="end"/>
          </w:r>
        </w:sdtContent>
      </w:sdt>
    </w:p>
  </w:footnote>
  <w:footnote w:id="32">
    <w:p w:rsidR="00913030" w:rsidRDefault="00913030">
      <w:pPr>
        <w:pStyle w:val="FootnoteText"/>
      </w:pPr>
      <w:r>
        <w:rPr>
          <w:rStyle w:val="FootnoteReference"/>
        </w:rPr>
        <w:footnoteRef/>
      </w:r>
      <w:r>
        <w:t xml:space="preserve"> Unit interaction is discussed in the Introduction of </w:t>
      </w:r>
      <w:sdt>
        <w:sdtPr>
          <w:id w:val="-513842335"/>
          <w:citation/>
        </w:sdtPr>
        <w:sdtEndPr/>
        <w:sdtContent>
          <w:r>
            <w:fldChar w:fldCharType="begin"/>
          </w:r>
          <w:r>
            <w:instrText xml:space="preserve"> CITATION LiY14 \l 1033 </w:instrText>
          </w:r>
          <w:r>
            <w:fldChar w:fldCharType="separate"/>
          </w:r>
          <w:r w:rsidR="000472FE">
            <w:rPr>
              <w:noProof/>
            </w:rPr>
            <w:t>(Li Yan, 2014)</w:t>
          </w:r>
          <w:r>
            <w:fldChar w:fldCharType="end"/>
          </w:r>
        </w:sdtContent>
      </w:sdt>
      <w:r>
        <w:t>.</w:t>
      </w:r>
    </w:p>
  </w:footnote>
  <w:footnote w:id="33">
    <w:p w:rsidR="00913030" w:rsidRDefault="00913030">
      <w:pPr>
        <w:pStyle w:val="FootnoteText"/>
      </w:pPr>
      <w:r>
        <w:rPr>
          <w:rStyle w:val="FootnoteReference"/>
        </w:rPr>
        <w:footnoteRef/>
      </w:r>
      <w:r>
        <w:t xml:space="preserve"> </w:t>
      </w:r>
      <w:sdt>
        <w:sdtPr>
          <w:id w:val="-1244335744"/>
          <w:citation/>
        </w:sdtPr>
        <w:sdtEndPr/>
        <w:sdtContent>
          <w:r>
            <w:fldChar w:fldCharType="begin"/>
          </w:r>
          <w:r>
            <w:instrText xml:space="preserve"> CITATION Kei12 \l 1033 </w:instrText>
          </w:r>
          <w:r>
            <w:fldChar w:fldCharType="separate"/>
          </w:r>
          <w:r w:rsidR="000472FE">
            <w:rPr>
              <w:noProof/>
            </w:rPr>
            <w:t>(Burgun, What Makes a Game?, 2012)</w:t>
          </w:r>
          <w:r>
            <w:fldChar w:fldCharType="end"/>
          </w:r>
        </w:sdtContent>
      </w:sdt>
    </w:p>
  </w:footnote>
  <w:footnote w:id="34">
    <w:p w:rsidR="00EC5495" w:rsidRDefault="00EC5495">
      <w:pPr>
        <w:pStyle w:val="FootnoteText"/>
      </w:pPr>
      <w:r>
        <w:rPr>
          <w:rStyle w:val="FootnoteReference"/>
        </w:rPr>
        <w:footnoteRef/>
      </w:r>
      <w:r>
        <w:t xml:space="preserve"> </w:t>
      </w:r>
      <w:r w:rsidR="00240139">
        <w:t xml:space="preserve">Perceiving a liking to a game feature is done by justifying the choice to obtain a higher level of entertainment. See </w:t>
      </w:r>
      <w:sdt>
        <w:sdtPr>
          <w:id w:val="1372340972"/>
          <w:citation/>
        </w:sdtPr>
        <w:sdtEndPr/>
        <w:sdtContent>
          <w:r>
            <w:fldChar w:fldCharType="begin"/>
          </w:r>
          <w:r>
            <w:instrText xml:space="preserve"> CITATION Slo95 \l 1033 </w:instrText>
          </w:r>
          <w:r>
            <w:fldChar w:fldCharType="separate"/>
          </w:r>
          <w:r w:rsidR="000472FE">
            <w:rPr>
              <w:noProof/>
            </w:rPr>
            <w:t>(Slovic, 1995)</w:t>
          </w:r>
          <w:r>
            <w:fldChar w:fldCharType="end"/>
          </w:r>
        </w:sdtContent>
      </w:sdt>
      <w:r w:rsidR="00240139">
        <w:t xml:space="preserve"> in regards to choices and the prominence effect.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430DD"/>
    <w:rsid w:val="000445F9"/>
    <w:rsid w:val="000472FE"/>
    <w:rsid w:val="00064AA6"/>
    <w:rsid w:val="000803C3"/>
    <w:rsid w:val="00090CD5"/>
    <w:rsid w:val="000A5534"/>
    <w:rsid w:val="000F6E81"/>
    <w:rsid w:val="00195AF5"/>
    <w:rsid w:val="001A0754"/>
    <w:rsid w:val="001F28EC"/>
    <w:rsid w:val="001F50D7"/>
    <w:rsid w:val="00222F96"/>
    <w:rsid w:val="00240139"/>
    <w:rsid w:val="00241FED"/>
    <w:rsid w:val="00250BFB"/>
    <w:rsid w:val="00250EFB"/>
    <w:rsid w:val="00255F1D"/>
    <w:rsid w:val="00257ABD"/>
    <w:rsid w:val="002765C5"/>
    <w:rsid w:val="0029370A"/>
    <w:rsid w:val="002A4820"/>
    <w:rsid w:val="002C204D"/>
    <w:rsid w:val="003200F8"/>
    <w:rsid w:val="00334234"/>
    <w:rsid w:val="00360127"/>
    <w:rsid w:val="003A6C2E"/>
    <w:rsid w:val="003B449F"/>
    <w:rsid w:val="003B7393"/>
    <w:rsid w:val="00476AE3"/>
    <w:rsid w:val="0049207B"/>
    <w:rsid w:val="004E09E2"/>
    <w:rsid w:val="004E294A"/>
    <w:rsid w:val="004E29BC"/>
    <w:rsid w:val="00504A57"/>
    <w:rsid w:val="00512918"/>
    <w:rsid w:val="0055314A"/>
    <w:rsid w:val="0056588D"/>
    <w:rsid w:val="00580EBF"/>
    <w:rsid w:val="005914F0"/>
    <w:rsid w:val="005B4671"/>
    <w:rsid w:val="005D3821"/>
    <w:rsid w:val="005E60C8"/>
    <w:rsid w:val="005F728B"/>
    <w:rsid w:val="005F79C6"/>
    <w:rsid w:val="0060224B"/>
    <w:rsid w:val="00627835"/>
    <w:rsid w:val="00637F8E"/>
    <w:rsid w:val="00693C9F"/>
    <w:rsid w:val="00697E55"/>
    <w:rsid w:val="006B4CAA"/>
    <w:rsid w:val="006C3991"/>
    <w:rsid w:val="006D0F86"/>
    <w:rsid w:val="006F1909"/>
    <w:rsid w:val="006F4291"/>
    <w:rsid w:val="00734FFD"/>
    <w:rsid w:val="00737DBF"/>
    <w:rsid w:val="007909C9"/>
    <w:rsid w:val="007B6F6F"/>
    <w:rsid w:val="007C10F8"/>
    <w:rsid w:val="007F4B96"/>
    <w:rsid w:val="00802C7A"/>
    <w:rsid w:val="0081031A"/>
    <w:rsid w:val="0084331D"/>
    <w:rsid w:val="00850289"/>
    <w:rsid w:val="00871DBF"/>
    <w:rsid w:val="00873B1D"/>
    <w:rsid w:val="00876C04"/>
    <w:rsid w:val="00876F8B"/>
    <w:rsid w:val="00877E74"/>
    <w:rsid w:val="00886ABD"/>
    <w:rsid w:val="008A0AFE"/>
    <w:rsid w:val="008A49B4"/>
    <w:rsid w:val="008A785D"/>
    <w:rsid w:val="008C74E5"/>
    <w:rsid w:val="008C7D1A"/>
    <w:rsid w:val="008D0FFC"/>
    <w:rsid w:val="008E2DC0"/>
    <w:rsid w:val="00906977"/>
    <w:rsid w:val="00912B40"/>
    <w:rsid w:val="00913030"/>
    <w:rsid w:val="00934A27"/>
    <w:rsid w:val="00964343"/>
    <w:rsid w:val="00967248"/>
    <w:rsid w:val="00977CE1"/>
    <w:rsid w:val="00981E4C"/>
    <w:rsid w:val="00A05E3F"/>
    <w:rsid w:val="00A05FF1"/>
    <w:rsid w:val="00A44EEF"/>
    <w:rsid w:val="00A71D4A"/>
    <w:rsid w:val="00A94D2B"/>
    <w:rsid w:val="00AA13BA"/>
    <w:rsid w:val="00AA15EB"/>
    <w:rsid w:val="00AB33D4"/>
    <w:rsid w:val="00B013EA"/>
    <w:rsid w:val="00B12972"/>
    <w:rsid w:val="00B53B8D"/>
    <w:rsid w:val="00B93E7D"/>
    <w:rsid w:val="00BD2008"/>
    <w:rsid w:val="00BE26D9"/>
    <w:rsid w:val="00BE3A1C"/>
    <w:rsid w:val="00BE4153"/>
    <w:rsid w:val="00C0331C"/>
    <w:rsid w:val="00C07746"/>
    <w:rsid w:val="00C215A9"/>
    <w:rsid w:val="00C41191"/>
    <w:rsid w:val="00C54B24"/>
    <w:rsid w:val="00C668EB"/>
    <w:rsid w:val="00C738C9"/>
    <w:rsid w:val="00C947F8"/>
    <w:rsid w:val="00C95A6A"/>
    <w:rsid w:val="00CA5752"/>
    <w:rsid w:val="00CC1D12"/>
    <w:rsid w:val="00CE397B"/>
    <w:rsid w:val="00CE4522"/>
    <w:rsid w:val="00D07F58"/>
    <w:rsid w:val="00D279EA"/>
    <w:rsid w:val="00D4466D"/>
    <w:rsid w:val="00D44808"/>
    <w:rsid w:val="00D5458B"/>
    <w:rsid w:val="00D773FA"/>
    <w:rsid w:val="00D928ED"/>
    <w:rsid w:val="00D96930"/>
    <w:rsid w:val="00DA1B56"/>
    <w:rsid w:val="00DC5CB3"/>
    <w:rsid w:val="00DE2B8C"/>
    <w:rsid w:val="00DE508E"/>
    <w:rsid w:val="00DE5F51"/>
    <w:rsid w:val="00E12545"/>
    <w:rsid w:val="00E172C9"/>
    <w:rsid w:val="00E6454E"/>
    <w:rsid w:val="00E866E0"/>
    <w:rsid w:val="00EA49EB"/>
    <w:rsid w:val="00EC35B5"/>
    <w:rsid w:val="00EC5495"/>
    <w:rsid w:val="00ED1071"/>
    <w:rsid w:val="00ED2C41"/>
    <w:rsid w:val="00ED3CC4"/>
    <w:rsid w:val="00ED4499"/>
    <w:rsid w:val="00F1219D"/>
    <w:rsid w:val="00F16CC7"/>
    <w:rsid w:val="00F329E6"/>
    <w:rsid w:val="00F551CE"/>
    <w:rsid w:val="00F57536"/>
    <w:rsid w:val="00F621AF"/>
    <w:rsid w:val="00F62482"/>
    <w:rsid w:val="00FB15E6"/>
    <w:rsid w:val="00FC6DA9"/>
    <w:rsid w:val="00FD0DB8"/>
    <w:rsid w:val="00FD461B"/>
    <w:rsid w:val="00FF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s>
</file>

<file path=customXml/itemProps1.xml><?xml version="1.0" encoding="utf-8"?>
<ds:datastoreItem xmlns:ds="http://schemas.openxmlformats.org/officeDocument/2006/customXml" ds:itemID="{5636CEFF-212A-472B-8BBB-47B09FFA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23</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Lee, Thompson</cp:lastModifiedBy>
  <cp:revision>109</cp:revision>
  <dcterms:created xsi:type="dcterms:W3CDTF">2016-03-10T05:56:00Z</dcterms:created>
  <dcterms:modified xsi:type="dcterms:W3CDTF">2016-03-30T22:29:00Z</dcterms:modified>
</cp:coreProperties>
</file>