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KREDIT SHARTNOMASI</w:t>
      </w:r>
    </w:p>
    <w:p>
      <w:pPr>
        <w:pStyle w:val="Heading2"/>
        <w:bidi w:val="0"/>
        <w:jc w:val="start"/>
        <w:rPr/>
      </w:pPr>
      <w:r>
        <w:rPr/>
        <w:t>"ANOR BANK" AJ bilan Jismoniy shaxs o'rtasida</w:t>
      </w:r>
    </w:p>
    <w:p>
      <w:pPr>
        <w:pStyle w:val="BodyText"/>
        <w:bidi w:val="0"/>
        <w:jc w:val="start"/>
        <w:rPr/>
      </w:pPr>
      <w:r>
        <w:rPr>
          <w:rStyle w:val="Strong"/>
        </w:rPr>
        <w:t>Shartnoma raqami:</w:t>
      </w:r>
      <w:r>
        <w:rPr/>
        <w:t xml:space="preserve"> KS-2025-12345</w:t>
        <w:br/>
      </w:r>
      <w:r>
        <w:rPr>
          <w:rStyle w:val="Strong"/>
        </w:rPr>
        <w:t>Sana:</w:t>
      </w:r>
      <w:r>
        <w:rPr/>
        <w:t xml:space="preserve"> 26 Dekabr 2025-yil</w:t>
        <w:br/>
      </w:r>
      <w:r>
        <w:rPr>
          <w:rStyle w:val="Strong"/>
        </w:rPr>
        <w:t>Joy:</w:t>
      </w:r>
      <w:r>
        <w:rPr/>
        <w:t xml:space="preserve"> Toshkent shahar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SHARTNOMANING PREDMETI</w:t>
      </w:r>
    </w:p>
    <w:p>
      <w:pPr>
        <w:pStyle w:val="BodyText"/>
        <w:bidi w:val="0"/>
        <w:jc w:val="start"/>
        <w:rPr/>
      </w:pPr>
      <w:r>
        <w:rPr/>
        <w:t>1.1. Ushbu Shartnoma bo'yicha Bank Mijozga quyidagi shartlarda kredit beradi: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Kredit miqdori: 100,000,000 so'm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Kredit muddati: 36 oy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Yillik foiz stavkasi: 24%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Kredit maqsadi: Turar-joy xarid qilish </w:t>
      </w:r>
    </w:p>
    <w:p>
      <w:pPr>
        <w:pStyle w:val="BodyText"/>
        <w:bidi w:val="0"/>
        <w:jc w:val="start"/>
        <w:rPr/>
      </w:pPr>
      <w:r>
        <w:rPr/>
        <w:t>1.2. Mijoz krediti asosiy qarz va foizlarni shartnomada belgilangan muddatlarda qaytarishni o'z zimmasiga oladi.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TOMONLARNING HUQUQ VA MAJBURIYATLARI</w:t>
      </w:r>
    </w:p>
    <w:p>
      <w:pPr>
        <w:pStyle w:val="Heading3"/>
        <w:bidi w:val="0"/>
        <w:jc w:val="start"/>
        <w:rPr/>
      </w:pPr>
      <w:r>
        <w:rPr/>
        <w:t>2.1. Mijozning majburiyatlari:</w:t>
      </w:r>
    </w:p>
    <w:p>
      <w:pPr>
        <w:pStyle w:val="BodyText"/>
        <w:bidi w:val="0"/>
        <w:jc w:val="start"/>
        <w:rPr/>
      </w:pPr>
      <w:r>
        <w:rPr/>
        <w:t xml:space="preserve">2.1.1. Bank xodimlariga Mijozning xo'jalik-moliyaviy faoliyati bilan bog'liq hujjatlarni Bank tomonidan tegishli talab qo'yilgan kundan e'tiboran </w:t>
      </w:r>
      <w:r>
        <w:rPr>
          <w:rStyle w:val="Strong"/>
        </w:rPr>
        <w:t>10 (o'n) kalendar kun</w:t>
      </w:r>
      <w:r>
        <w:rPr/>
        <w:t xml:space="preserve"> ichida tekshirishga ruxsat berish;</w:t>
      </w:r>
    </w:p>
    <w:p>
      <w:pPr>
        <w:pStyle w:val="BodyText"/>
        <w:bidi w:val="0"/>
        <w:jc w:val="start"/>
        <w:rPr/>
      </w:pPr>
      <w:r>
        <w:rPr/>
        <w:t xml:space="preserve">2.1.2. </w:t>
      </w:r>
      <w:r>
        <w:rPr>
          <w:rStyle w:val="Strong"/>
        </w:rPr>
        <w:t>15 (o'n besh) kalendar kun</w:t>
      </w:r>
      <w:r>
        <w:rPr/>
        <w:t xml:space="preserve"> ichida Bank talabiga binoan o'z xo'jalik-moliyaviy faoliyati to'g'risida boshqa ma'lumotlarni taqdim etish;</w:t>
      </w:r>
    </w:p>
    <w:p>
      <w:pPr>
        <w:pStyle w:val="BodyText"/>
        <w:bidi w:val="0"/>
        <w:jc w:val="start"/>
        <w:rPr/>
      </w:pPr>
      <w:r>
        <w:rPr/>
        <w:t>2.1.3. Mijoz tomonidan taqdim etilgan hujjatlarda ko'rsatilgan ma'lumotlarni faqat rasmiy manbalarda tekshirish huquqini Bankga berish;</w:t>
      </w:r>
    </w:p>
    <w:p>
      <w:pPr>
        <w:pStyle w:val="BodyText"/>
        <w:bidi w:val="0"/>
        <w:jc w:val="start"/>
        <w:rPr/>
      </w:pPr>
      <w:r>
        <w:rPr/>
        <w:t xml:space="preserve">2.1.4. Bank tomonidan loyihani monitoring qilish va garov predmetining mavjudligini tekshirish uchun sharoit yaratish. Bunday tekshiruvlar har </w:t>
      </w:r>
      <w:r>
        <w:rPr>
          <w:rStyle w:val="Strong"/>
        </w:rPr>
        <w:t>yarim yilda</w:t>
      </w:r>
      <w:r>
        <w:rPr/>
        <w:t xml:space="preserve"> bir marta amalga oshiriladi;</w:t>
      </w:r>
    </w:p>
    <w:p>
      <w:pPr>
        <w:pStyle w:val="BodyText"/>
        <w:bidi w:val="0"/>
        <w:jc w:val="start"/>
        <w:rPr/>
      </w:pPr>
      <w:r>
        <w:rPr/>
        <w:t xml:space="preserve">2.1.5. Garov predmeti bo'yicha ma'lumotlarni Bank so'rovidan keyin </w:t>
      </w:r>
      <w:r>
        <w:rPr>
          <w:rStyle w:val="Strong"/>
        </w:rPr>
        <w:t>10 (o'n) ish kuni</w:t>
      </w:r>
      <w:r>
        <w:rPr/>
        <w:t xml:space="preserve"> ichida taqdim etish;</w:t>
      </w:r>
    </w:p>
    <w:p>
      <w:pPr>
        <w:pStyle w:val="BodyText"/>
        <w:bidi w:val="0"/>
        <w:jc w:val="start"/>
        <w:rPr/>
      </w:pPr>
      <w:r>
        <w:rPr/>
        <w:t>2.1.6. Kredit shartnomasi doirasida taqdim etiladigan kreditdan maqsadli foydalanish dalolatnomalarini imzolash;</w:t>
      </w:r>
    </w:p>
    <w:p>
      <w:pPr>
        <w:pStyle w:val="BodyText"/>
        <w:bidi w:val="0"/>
        <w:jc w:val="start"/>
        <w:rPr/>
      </w:pPr>
      <w:r>
        <w:rPr/>
        <w:t>2.1.7. Mijozning moliyaviy ahvoli yomonlashishiga olib keladigan majburiyatlarni o'z zimmasiga olmaslik;</w:t>
      </w:r>
    </w:p>
    <w:p>
      <w:pPr>
        <w:pStyle w:val="BodyText"/>
        <w:bidi w:val="0"/>
        <w:jc w:val="start"/>
        <w:rPr/>
      </w:pPr>
      <w:r>
        <w:rPr/>
        <w:t xml:space="preserve">2.1.8. Joylashuvi va boshqa rekvizitlari o'zgarganda, o'zgarishlar sanasidan boshlab </w:t>
      </w:r>
      <w:r>
        <w:rPr>
          <w:rStyle w:val="Strong"/>
        </w:rPr>
        <w:t>7 (yetti) kalendar kun</w:t>
      </w:r>
      <w:r>
        <w:rPr/>
        <w:t xml:space="preserve"> ichida Bankni xabardor qilish;</w:t>
      </w:r>
    </w:p>
    <w:p>
      <w:pPr>
        <w:pStyle w:val="BodyText"/>
        <w:bidi w:val="0"/>
        <w:jc w:val="start"/>
        <w:rPr/>
      </w:pPr>
      <w:r>
        <w:rPr/>
        <w:t>2.1.9. Kredit bo'yicha qarzni undirish bilan bog'liq barcha xarajatlarni qoplash;</w:t>
      </w:r>
    </w:p>
    <w:p>
      <w:pPr>
        <w:pStyle w:val="BodyText"/>
        <w:bidi w:val="0"/>
        <w:jc w:val="start"/>
        <w:rPr/>
      </w:pPr>
      <w:r>
        <w:rPr/>
        <w:t>2.1.10. To'lov muddati kelganda Mijozning Bankdagi hisobvarag'idan mablag'larni yechib olish huquqini Bankga taqdim etish (faqat ushbu shartnoma bo'yicha);</w:t>
      </w:r>
    </w:p>
    <w:p>
      <w:pPr>
        <w:pStyle w:val="BodyText"/>
        <w:bidi w:val="0"/>
        <w:jc w:val="start"/>
        <w:rPr/>
      </w:pPr>
      <w:r>
        <w:rPr/>
        <w:t>2.1.11. Shartnomada ko'rsatilgan muddatlarga muvofiq tegishli hujjatlarni rasmiylashtirish;</w:t>
      </w:r>
    </w:p>
    <w:p>
      <w:pPr>
        <w:pStyle w:val="BodyText"/>
        <w:bidi w:val="0"/>
        <w:jc w:val="start"/>
        <w:rPr/>
      </w:pPr>
      <w:r>
        <w:rPr/>
        <w:t>2.1.12. Bankning har qanday huquqlarini amalga oshirishda to'sqinlik qilmaslik;</w:t>
      </w:r>
    </w:p>
    <w:p>
      <w:pPr>
        <w:pStyle w:val="BodyText"/>
        <w:bidi w:val="0"/>
        <w:jc w:val="start"/>
        <w:rPr/>
      </w:pPr>
      <w:r>
        <w:rPr/>
        <w:t>2.1.13. Bankning yozma roziligisiz faoliyatni boshqarishga oid kelishuvlarga qo'shilmaslik;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KREDIT PARAMETRLARI</w:t>
      </w:r>
    </w:p>
    <w:p>
      <w:pPr>
        <w:pStyle w:val="Heading3"/>
        <w:bidi w:val="0"/>
        <w:jc w:val="start"/>
        <w:rPr/>
      </w:pPr>
      <w:r>
        <w:rPr/>
        <w:t>3.1. Ipoteka krediti shartlari:</w:t>
      </w:r>
    </w:p>
    <w:p>
      <w:pPr>
        <w:pStyle w:val="BodyText"/>
        <w:bidi w:val="0"/>
        <w:jc w:val="start"/>
        <w:rPr/>
      </w:pPr>
      <w:r>
        <w:rPr/>
        <w:t xml:space="preserve">3.1.1. Turar-joy ko'chmas mulkini xarid qilish uchun beriladigan ipoteka krediti uchun </w:t>
      </w:r>
      <w:r>
        <w:rPr>
          <w:rStyle w:val="Strong"/>
        </w:rPr>
        <w:t>kreditning garovga nisbati 85%</w:t>
      </w:r>
      <w:r>
        <w:rPr/>
        <w:t xml:space="preserve"> ni tashkil etadi;</w:t>
      </w:r>
    </w:p>
    <w:p>
      <w:pPr>
        <w:pStyle w:val="BodyText"/>
        <w:bidi w:val="0"/>
        <w:jc w:val="start"/>
        <w:rPr/>
      </w:pPr>
      <w:r>
        <w:rPr/>
        <w:t>3.1.2. Ko'chmas mulk qiymati: 120,000,000 so'm 3.1.3. Boshlang'ich to'lov: 18,000,000 so'm (15%) 3.1.4. Kredit miqdori: 102,000,000 so'm</w:t>
      </w:r>
    </w:p>
    <w:p>
      <w:pPr>
        <w:pStyle w:val="Heading3"/>
        <w:bidi w:val="0"/>
        <w:jc w:val="start"/>
        <w:rPr/>
      </w:pPr>
      <w:r>
        <w:rPr/>
        <w:t>3.2. To'lov jadvali:</w:t>
      </w:r>
    </w:p>
    <w:p>
      <w:pPr>
        <w:pStyle w:val="BodyText"/>
        <w:bidi w:val="0"/>
        <w:jc w:val="start"/>
        <w:rPr/>
      </w:pPr>
      <w:r>
        <w:rPr/>
        <w:t>Oylik to'lov: 4,200,000 so'm To'lov sanasi: har oyning 5-kuni Birinchi to'lov: 26 Yanvar 2026-yil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GAROV SHARTLARI</w:t>
      </w:r>
    </w:p>
    <w:p>
      <w:pPr>
        <w:pStyle w:val="BodyText"/>
        <w:bidi w:val="0"/>
        <w:jc w:val="start"/>
        <w:rPr/>
      </w:pPr>
      <w:r>
        <w:rPr/>
        <w:t>4.1. Kredit bo'yicha ta'minot sifatida quyidagi ko'chmas mulk garovga qo'yiladi: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Manzil: Toshkent shahar, Yashnobod tumani, Buyuk Ipak yo'li ko'chasi, 123-uy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Maydon: 65 kv.m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Bozor qiymati: 120,000,000 so'm </w:t>
      </w:r>
    </w:p>
    <w:p>
      <w:pPr>
        <w:pStyle w:val="BodyText"/>
        <w:bidi w:val="0"/>
        <w:jc w:val="start"/>
        <w:rPr/>
      </w:pPr>
      <w:r>
        <w:rPr/>
        <w:t>4.2. Garov predmeti Mijoz tomonidan sug'urta qilinishi shart emas, chunki bank o'z xavfi ostida kredit beradi.</w:t>
      </w:r>
    </w:p>
    <w:p>
      <w:pPr>
        <w:pStyle w:val="BodyText"/>
        <w:bidi w:val="0"/>
        <w:jc w:val="start"/>
        <w:rPr/>
      </w:pPr>
      <w:r>
        <w:rPr/>
        <w:t>4.3. Garov mulkini uchinchi shaxslarga ijaraga berish mumkin, ammo Bankni xabardor qilish talab etiladi.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JAVOBGARLIK VA SANKSIYALAR</w:t>
      </w:r>
    </w:p>
    <w:p>
      <w:pPr>
        <w:pStyle w:val="BodyText"/>
        <w:bidi w:val="0"/>
        <w:jc w:val="start"/>
        <w:rPr/>
      </w:pPr>
      <w:r>
        <w:rPr/>
        <w:t>5.1. To'lovlarni o'z vaqtida amalga oshirmaslik uchun: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Jarima: kunlik 0.5% asosiy qarzdan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Kechikish 30 kundan oshsa, Bank kredit shartnomasini bekor qilish huquqiga ega </w:t>
      </w:r>
    </w:p>
    <w:p>
      <w:pPr>
        <w:pStyle w:val="BodyText"/>
        <w:bidi w:val="0"/>
        <w:jc w:val="start"/>
        <w:rPr/>
      </w:pPr>
      <w:r>
        <w:rPr/>
        <w:t>5.2. Noto'g'ri ma'lumotlar taqdim etish uchun Mijoz ogohlantiriladi va qayta tekshirish o'tkaziladi.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MAXFIYLIK</w:t>
      </w:r>
    </w:p>
    <w:p>
      <w:pPr>
        <w:pStyle w:val="BodyText"/>
        <w:bidi w:val="0"/>
        <w:jc w:val="start"/>
        <w:rPr/>
      </w:pPr>
      <w:r>
        <w:rPr/>
        <w:t>6.1. Bank Mijozning shaxsiy ma'lumotlarini faqat O'zbekiston Respublikasi qonunchiligida nazarda tutilgan hollarda uchinchi shaxslarga taqdim etishi mumkin.</w:t>
      </w:r>
    </w:p>
    <w:p>
      <w:pPr>
        <w:pStyle w:val="BodyText"/>
        <w:bidi w:val="0"/>
        <w:jc w:val="start"/>
        <w:rPr/>
      </w:pPr>
      <w:r>
        <w:rPr/>
        <w:t>6.2. Mijoz o'z ma'lumotlarini qayta ishlashga rozilik beradi.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NIZOLI VAZIYATLARNI HAL QILISH</w:t>
      </w:r>
    </w:p>
    <w:p>
      <w:pPr>
        <w:pStyle w:val="BodyText"/>
        <w:bidi w:val="0"/>
        <w:jc w:val="start"/>
        <w:rPr/>
      </w:pPr>
      <w:r>
        <w:rPr/>
        <w:t>7.1. Ushbu Shartnoma bo'yicha kelishmovchiliklar muzokaralar yo'li bilan hal qilinadi.</w:t>
      </w:r>
    </w:p>
    <w:p>
      <w:pPr>
        <w:pStyle w:val="BodyText"/>
        <w:bidi w:val="0"/>
        <w:jc w:val="start"/>
        <w:rPr/>
      </w:pPr>
      <w:r>
        <w:rPr/>
        <w:t>7.2. Kelishuvga erishilmasa, nizo Toshkent shahar sudiga yuboriladi.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BOSHQA SHARTLAR</w:t>
      </w:r>
    </w:p>
    <w:p>
      <w:pPr>
        <w:pStyle w:val="BodyText"/>
        <w:bidi w:val="0"/>
        <w:jc w:val="start"/>
        <w:rPr/>
      </w:pPr>
      <w:r>
        <w:rPr/>
        <w:t>8.1. Ushbu Shartnoma imzolangan kundan e'tiboran kuchga kiradi va kredit to'liq qaytarilgunga qadar amal qiladi.</w:t>
      </w:r>
    </w:p>
    <w:p>
      <w:pPr>
        <w:pStyle w:val="BodyText"/>
        <w:bidi w:val="0"/>
        <w:jc w:val="start"/>
        <w:rPr/>
      </w:pPr>
      <w:r>
        <w:rPr/>
        <w:t>8.2. Shartnomaga o'zgartirishlar faqat tomonlarning yozma kelishuvi bilan amalga oshiriladi.</w:t>
      </w:r>
    </w:p>
    <w:p>
      <w:pPr>
        <w:pStyle w:val="BodyText"/>
        <w:bidi w:val="0"/>
        <w:jc w:val="start"/>
        <w:rPr/>
      </w:pPr>
      <w:r>
        <w:rPr/>
        <w:t>8.3. Shartnoma 2 (ikki) nusxada tuzilgan bo'lib, har bir nusxa teng yuridik kuchga ega.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TOMONLARNING REKVIZITLARI VA IMZOLARI</w:t>
      </w:r>
    </w:p>
    <w:p>
      <w:pPr>
        <w:pStyle w:val="BodyText"/>
        <w:bidi w:val="0"/>
        <w:jc w:val="start"/>
        <w:rPr/>
      </w:pPr>
      <w:r>
        <w:rPr>
          <w:rStyle w:val="Strong"/>
        </w:rPr>
        <w:t>BANK:</w:t>
      </w:r>
      <w:r>
        <w:rPr/>
        <w:br/>
        <w:t>"ANOR BANK" AJ</w:t>
        <w:br/>
        <w:t>Manzil: Toshkent sh., Amir Temur ko'chasi, 15</w:t>
        <w:br/>
        <w:t>INN: 123456789</w:t>
        <w:br/>
        <w:t>MFO: 00123</w:t>
        <w:br/>
        <w:t>H/r: 12345678901234567890</w:t>
      </w:r>
    </w:p>
    <w:p>
      <w:pPr>
        <w:pStyle w:val="BodyText"/>
        <w:bidi w:val="0"/>
        <w:jc w:val="start"/>
        <w:rPr/>
      </w:pPr>
      <w:r>
        <w:rPr/>
        <w:t>Direktor: _________________ (I.I.Familiya)</w:t>
        <w:br/>
        <w:t>M.O.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MIJOZ:</w:t>
      </w:r>
      <w:r>
        <w:rPr/>
        <w:br/>
        <w:t>F.I.O.: Abdullayev Sardor Karimovich</w:t>
        <w:br/>
        <w:t>Passport: AA 1234567</w:t>
        <w:br/>
        <w:t>Manzil: Toshkent sh., Yunusobod tumani, Bog'ishamol ko'chasi, 45-uy</w:t>
        <w:br/>
        <w:t>Telefon: +998 90 123 45 67</w:t>
      </w:r>
    </w:p>
    <w:p>
      <w:pPr>
        <w:pStyle w:val="BodyText"/>
        <w:bidi w:val="0"/>
        <w:jc w:val="start"/>
        <w:rPr/>
      </w:pPr>
      <w:r>
        <w:rPr/>
        <w:t>Imzo: _________________ (Abdullayev S.K.)</w:t>
        <w:br/>
        <w:t>M.O.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Shartnoma sanasi:</w:t>
      </w:r>
      <w:r>
        <w:rPr/>
        <w:t xml:space="preserve"> 26 Dekabr 2025-yil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iberation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Liberation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iberation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iberation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LibreOffice/25.8.3.2$Linux_X86_64 LibreOffice_project/580$Build-2</Application>
  <AppVersion>15.0000</AppVersion>
  <Pages>4</Pages>
  <Words>576</Words>
  <Characters>3998</Characters>
  <CharactersWithSpaces>4515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2025-12-26T10:22:01Z</dcterms:created>
  <dc:creator/>
  <dc:description/>
  <dc:language>en-US</dc:language>
  <cp:lastModifiedBy/>
  <dcterms:modified xsi:type="dcterms:W3CDTF">2025-12-26T10:23:48Z</dcterms:modified>
  <cp:revision>1</cp:revision>
  <dc:subject/>
  <dc:title/>
</cp:coreProperties>
</file>