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Bandlik va tadbirkorlik topshiriqlari</w:t>
      </w:r>
    </w:p>
    <w:p>
      <w:r>
        <w:t xml:space="preserve">Qaror raqami: ST-26</w:t>
      </w:r>
    </w:p>
    <w:p>
      <w:r>
        <w:t xml:space="preserve">Sana: 29.10.2026</w:t>
      </w:r>
    </w:p>
    <w:p>
      <w:r>
        <w:t xml:space="preserve">Universitetlar va ishlab chiqarishda 250 ming ta yangi ish o'rni tashkil etilsin.</w:t>
      </w:r>
    </w:p>
    <w:p>
      <w:r>
        <w:t xml:space="preserve">Iqtisodiy faol aholi 120 ming kishiga ko'paytirilsin.</w:t>
      </w:r>
    </w:p>
    <w:p>
      <w:r>
        <w:t xml:space="preserve">Ishsizlik darajasi 1,2 foiz punktga kamaytirilsin.</w:t>
      </w:r>
    </w:p>
    <w:p>
      <w:r>
        <w:t xml:space="preserve">Faoliyati to'xtagan 40 ming ta tadbirkorlik subyekti tugatilsin.</w:t>
      </w:r>
    </w:p>
    <w:sectPr/>
  </w:body>
</w:document>
</file>