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40"/>
        <w:ind w:firstLine="0"/>
        <w:jc w:val="center"/>
      </w:pPr>
      <w:r>
        <w:rPr>
          <w:rFonts w:ascii="Times New Roman" w:hAnsi="Times New Roman"/>
          <w:b/>
          <w:sz w:val="24"/>
        </w:rPr>
        <w:t>МИНИСТЕРСТВО НАУКИ И ВЫСШЕГО ОБРАЗОВАНИЯ РОССИЙСКОЙ ФЕДЕРАЦИИ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/>
          <w:b w:val="0"/>
          <w:sz w:val="24"/>
        </w:rPr>
        <w:t>Национальный исследовательский университет «Высшая школа экономики»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/>
          <w:b w:val="0"/>
          <w:sz w:val="24"/>
        </w:rPr>
        <w:t>МИЭМ / Компьютерные системы и сети</w:t>
      </w:r>
    </w:p>
    <w:p/>
    <w:p/>
    <w:p/>
    <w:p/>
    <w:p/>
    <w:p/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/>
          <w:sz w:val="36"/>
        </w:rPr>
        <w:t>ОТЧЁТ</w:t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sz w:val="28"/>
        </w:rPr>
        <w:t>по лабораторной работе №3</w:t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sz w:val="28"/>
        </w:rPr>
        <w:t>по дисциплине «Технологии разработки программного обеспечения»</w:t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/>
          <w:sz w:val="28"/>
        </w:rPr>
        <w:t>Метрики программного кода</w:t>
      </w:r>
    </w:p>
    <w:p/>
    <w:p/>
    <w:p/>
    <w:p/>
    <w:p>
      <w:pPr>
        <w:spacing w:after="80"/>
        <w:ind w:firstLine="0"/>
        <w:jc w:val="center"/>
      </w:pPr>
      <w:r>
        <w:rPr>
          <w:rFonts w:ascii="Times New Roman" w:hAnsi="Times New Roman"/>
          <w:sz w:val="28"/>
        </w:rPr>
        <w:t>Состав команды:</w:t>
      </w:r>
    </w:p>
    <w:p>
      <w:pPr>
        <w:spacing w:after="40"/>
        <w:ind w:firstLine="0"/>
        <w:jc w:val="center"/>
      </w:pPr>
      <w:r>
        <w:rPr>
          <w:rFonts w:ascii="Times New Roman" w:hAnsi="Times New Roman"/>
          <w:sz w:val="28"/>
        </w:rPr>
        <w:t>Арсланов Вадим — аналитик/менеджер</w:t>
      </w:r>
    </w:p>
    <w:p>
      <w:pPr>
        <w:spacing w:after="40"/>
        <w:ind w:firstLine="0"/>
        <w:jc w:val="center"/>
      </w:pPr>
      <w:r>
        <w:rPr>
          <w:rFonts w:ascii="Times New Roman" w:hAnsi="Times New Roman"/>
          <w:sz w:val="28"/>
        </w:rPr>
        <w:t>Ильин Андрей — разработчик</w:t>
      </w:r>
    </w:p>
    <w:p>
      <w:pPr>
        <w:spacing w:after="40"/>
        <w:ind w:firstLine="0"/>
        <w:jc w:val="center"/>
      </w:pPr>
      <w:r>
        <w:rPr>
          <w:rFonts w:ascii="Times New Roman" w:hAnsi="Times New Roman"/>
          <w:sz w:val="28"/>
        </w:rPr>
        <w:t>Колганов Иван — тестировщик</w:t>
      </w:r>
    </w:p>
    <w:p/>
    <w:p>
      <w:pPr>
        <w:spacing w:after="40"/>
        <w:ind w:firstLine="0"/>
        <w:jc w:val="center"/>
      </w:pPr>
      <w:r>
        <w:rPr>
          <w:rFonts w:ascii="Times New Roman" w:hAnsi="Times New Roman"/>
          <w:i/>
          <w:sz w:val="28"/>
        </w:rPr>
        <w:t>Ответственный за лабораторную работу №3 — Ильин Андрей (разработчик)</w:t>
      </w:r>
    </w:p>
    <w:p/>
    <w:p/>
    <w:p/>
    <w:p>
      <w:pPr>
        <w:spacing w:after="80"/>
        <w:ind w:firstLine="0"/>
        <w:jc w:val="right"/>
      </w:pPr>
      <w:r>
        <w:rPr>
          <w:rFonts w:ascii="Times New Roman" w:hAnsi="Times New Roman"/>
          <w:sz w:val="28"/>
        </w:rPr>
        <w:t>Проверил: Востриков А. В.</w:t>
      </w:r>
    </w:p>
    <w:p>
      <w:pPr>
        <w:spacing w:after="80"/>
        <w:ind w:firstLine="0"/>
        <w:jc w:val="right"/>
      </w:pPr>
      <w:r>
        <w:rPr>
          <w:rFonts w:ascii="Times New Roman" w:hAnsi="Times New Roman"/>
          <w:sz w:val="28"/>
        </w:rPr>
        <w:t>Москва, 2026</w:t>
      </w:r>
    </w:p>
    <w:p>
      <w:r>
        <w:br w:type="page"/>
      </w:r>
    </w:p>
    <w:p>
      <w:pPr>
        <w:keepNext/>
        <w:spacing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 работы — освоить метрики программного кода как инструмент оценки и контроля качества, изучить средства автоматического измерения метрик, научиться интерпретировать результаты измерений и принимать на их основе решения о рефакторинге. Объектом измерения является учебный проект «АрендаТех» — сервис аренды техники для учебных учреждений, который команда развивает с лабораторной работы №1.</w:t>
      </w:r>
    </w:p>
    <w:p>
      <w:pPr>
        <w:keepNext/>
        <w:spacing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2. ПОСТАНОВКА ЗАДАЧИ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соответствии с методическими указаниями к лабораторной работе №3 требовалось выполнить следующие шаги: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/>
          <w:sz w:val="28"/>
        </w:rPr>
        <w:t>– построить не менее пяти метрик программного кода;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/>
          <w:sz w:val="28"/>
        </w:rPr>
        <w:t>– проанализировать полученные результаты;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/>
          <w:sz w:val="28"/>
        </w:rPr>
        <w:t>– оптимизировать код на основе анализа метрик;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/>
          <w:sz w:val="28"/>
        </w:rPr>
        <w:t>– повторно построить метрики для улучшенного кода;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/>
          <w:sz w:val="28"/>
        </w:rPr>
        <w:t>– сделать выводы.</w:t>
      </w:r>
    </w:p>
    <w:p>
      <w:pPr>
        <w:spacing w:before="12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Дополнительно требовалось продолжить развитие проекта: реализовать функциональность версии 2.0 (расчёт стоимости аренды, штрафы, статусы заявок, хранение состояния, интерфейс командной строки), подготовить unit-тесты и обновить README с инструкцией по запуску.</w:t>
      </w:r>
    </w:p>
    <w:p>
      <w:pPr>
        <w:spacing w:before="12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Анализаторы качества кода .NET (правила CA1501, CA1502, CA1505, CA1506 и команда «Анализ → Рассчитать метрики кода» в Visual Studio) применимы только к управляемому коду .NET, поэтому для Python-проекта был реализован собственный анализатор. Формулы метрик взяты из документации Microsoft: индекс сопровождаемости рассчитывается по той же формуле, что и в Visual Studio, а правила CA1501/CA1502/CA1505/CA1506 настраиваются в файле CodeMetricsConfig.txt в том же формате. Выходной XML повторяет структуру отчёта Metrics.exe (CodeMetricsReport), поэтому результаты сопоставимы с отчётами .NET-инструментов.</w:t>
      </w:r>
    </w:p>
    <w:p>
      <w:pPr>
        <w:spacing w:before="12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Проект «АрендаТех» разрабатывается командой из трёх человек. Лабораторная работа №3 относится к зоне ответственности разработчика: основной объём работ — реализация версии 2.0 и рефакторинг кода по метрикам — выполнен Ильиным Андреем; аналитик участвовал в постановке задачи, обосновании порогов и подготовке документации, тестировщик — в разработке тестов, поиске дефектов и проверке отчётов о метриках. Вклад участников приведён в таблице 1.</w:t>
      </w:r>
    </w:p>
    <w:p>
      <w:pPr>
        <w:keepNext/>
        <w:spacing w:before="160" w:after="80"/>
        <w:ind w:firstLine="0"/>
        <w:jc w:val="left"/>
      </w:pPr>
      <w:r>
        <w:rPr>
          <w:rFonts w:ascii="Times New Roman" w:hAnsi="Times New Roman"/>
          <w:i/>
          <w:sz w:val="24"/>
        </w:rPr>
        <w:t>Таблица 1 — Состав команды и вклад в лабораторную работу №3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2098"/>
        <w:gridCol w:w="5386"/>
      </w:tblGrid>
      <w:tr>
        <w:trPr>
          <w:tblHeader w:val="true"/>
        </w:trPr>
        <w:tc>
          <w:tcPr>
            <w:tcW w:type="dxa" w:w="1871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Участник</w:t>
            </w:r>
          </w:p>
        </w:tc>
        <w:tc>
          <w:tcPr>
            <w:tcW w:type="dxa" w:w="2098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Роль</w:t>
            </w:r>
          </w:p>
        </w:tc>
        <w:tc>
          <w:tcPr>
            <w:tcW w:type="dxa" w:w="5386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Вклад в работу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Ильин Андрей</w:t>
            </w:r>
          </w:p>
        </w:tc>
        <w:tc>
          <w:tcPr>
            <w:tcW w:type="dxa" w:w="209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Разработчик — ответственный за ЛР3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архитектура версии 2.0 (домен, расчёт стоимости, штрафы, сценарии заявок и выдач, сервис-фасад), анализатор метрик metrics/code_metrics.py, рефакторинг по результатам измерений, интерфейс командной строки и демонстрационный сценарий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Арсланов Вадим</w:t>
            </w:r>
          </w:p>
        </w:tc>
        <w:tc>
          <w:tcPr>
            <w:tcW w:type="dxa" w:w="209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Аналитик, менеджер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постановка задачи и анализ требований, обоснование порогов CA1501/CA1502/CA1505/CA1506 в metrics/CodeMetricsConfig.txt, структура проекта и README, генератор отчёта reports/build_report.py, документация Doxygen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Колганов Иван</w:t>
            </w:r>
          </w:p>
        </w:tc>
        <w:tc>
          <w:tcPr>
            <w:tcW w:type="dxa" w:w="209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Тестировщик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unit-тесты (56 тестов), тесты анализатора метрик, поиск и описание дефектов (неработоспособный набор тестов из ЛР2, ошибка загрузки состояния), проверка отчётов о метриках и сравнения версий</w:t>
            </w:r>
          </w:p>
        </w:tc>
      </w:tr>
    </w:tbl>
    <w:p>
      <w:pPr>
        <w:spacing w:after="0"/>
      </w:pPr>
    </w:p>
    <w:p>
      <w:pPr>
        <w:keepNext/>
        <w:spacing w:before="160" w:after="80"/>
        <w:ind w:firstLine="0"/>
        <w:jc w:val="left"/>
      </w:pPr>
      <w:r>
        <w:rPr>
          <w:rFonts w:ascii="Times New Roman" w:hAnsi="Times New Roman"/>
          <w:i/>
          <w:sz w:val="24"/>
        </w:rPr>
        <w:t>Таблица 2 — Инструменты, использованные в работе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1134"/>
        <w:gridCol w:w="5272"/>
      </w:tblGrid>
      <w:tr>
        <w:trPr>
          <w:tblHeader w:val="true"/>
        </w:trPr>
        <w:tc>
          <w:tcPr>
            <w:tcW w:type="dxa" w:w="2948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Инструмент</w:t>
            </w:r>
          </w:p>
        </w:tc>
        <w:tc>
          <w:tcPr>
            <w:tcW w:type="dxa" w:w="1134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Версия</w:t>
            </w:r>
          </w:p>
        </w:tc>
        <w:tc>
          <w:tcPr>
            <w:tcW w:type="dxa" w:w="5272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Python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21"/>
              </w:rPr>
              <w:t>3.10</w:t>
            </w:r>
          </w:p>
        </w:tc>
        <w:tc>
          <w:tcPr>
            <w:tcW w:type="dxa" w:w="527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язык реализации проекта и анализатора метрик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metrics/code_metrics.py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21"/>
              </w:rPr>
              <w:t>2.0</w:t>
            </w:r>
          </w:p>
        </w:tc>
        <w:tc>
          <w:tcPr>
            <w:tcW w:type="dxa" w:w="527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собственный анализатор метрик кода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metrics/compare_metrics.py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21"/>
              </w:rPr>
              <w:t>1.0</w:t>
            </w:r>
          </w:p>
        </w:tc>
        <w:tc>
          <w:tcPr>
            <w:tcW w:type="dxa" w:w="527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сравнение версий, диаграммы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pytest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21"/>
              </w:rPr>
              <w:t>9.1</w:t>
            </w:r>
          </w:p>
        </w:tc>
        <w:tc>
          <w:tcPr>
            <w:tcW w:type="dxa" w:w="527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запуск unit-тестов (56 тестов)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Doxygen + Graphviz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21"/>
              </w:rPr>
              <w:t>1.18</w:t>
            </w:r>
          </w:p>
        </w:tc>
        <w:tc>
          <w:tcPr>
            <w:tcW w:type="dxa" w:w="527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документация по исходному коду</w:t>
            </w:r>
          </w:p>
        </w:tc>
      </w:tr>
    </w:tbl>
    <w:p>
      <w:pPr>
        <w:spacing w:after="0"/>
      </w:pPr>
    </w:p>
    <w:p>
      <w:pPr>
        <w:keepNext/>
        <w:spacing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3. МЕТРИКИ ПРОГРАММНОГО КОДА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Метрики кода — это числовые оценки, которые характеризуют сложность, связность и сопровождаемость исходного кода. В работе измерялись шесть метрик, которые Visual Studio вычисляет для управляемого кода, а также две дополнительные метрики, полезные при анализе.</w:t>
      </w:r>
    </w:p>
    <w:p>
      <w:pPr>
        <w:keepNext/>
        <w:spacing w:before="160" w:after="80"/>
        <w:ind w:firstLine="0"/>
        <w:jc w:val="left"/>
      </w:pPr>
      <w:r>
        <w:rPr>
          <w:rFonts w:ascii="Times New Roman" w:hAnsi="Times New Roman"/>
          <w:i/>
          <w:sz w:val="24"/>
        </w:rPr>
        <w:t>Таблица 3 — Измеряемые метрики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4706"/>
        <w:gridCol w:w="2041"/>
      </w:tblGrid>
      <w:tr>
        <w:trPr>
          <w:tblHeader w:val="true"/>
        </w:trPr>
        <w:tc>
          <w:tcPr>
            <w:tcW w:type="dxa" w:w="2608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Метрика</w:t>
            </w:r>
          </w:p>
        </w:tc>
        <w:tc>
          <w:tcPr>
            <w:tcW w:type="dxa" w:w="4706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Что измеряет</w:t>
            </w:r>
          </w:p>
        </w:tc>
        <w:tc>
          <w:tcPr>
            <w:tcW w:type="dxa" w:w="2041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Направление улучшения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Maintainability Index (MI)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интегральная оценка трудоёмкости сопровождения кода (0…100)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больше — лучше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Cyclomatic Complexity (CC)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число независимых путей выполнения (число точек ветвления + 1)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меньше — лучше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Depth of Inheritance (DIT)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глубина иерархии наследования до базового класса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меньше — лучше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Class Coupling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число внешних классов, на которые ссылается тип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меньше — лучше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Source Lines (SLOC)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строки исходного кода, включая пустые и комментарии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информационная метрика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Executable Lines (EL)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строки с исполняемыми операторами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информационная метрика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Halstead Volume (V)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объём кода по числу уникальных операторов и операндов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меньше — лучше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Comment Lines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строки комментариев (документирующие комментарии Doxygen)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информационная метрика</w:t>
            </w:r>
          </w:p>
        </w:tc>
      </w:tr>
    </w:tbl>
    <w:p>
      <w:pPr>
        <w:spacing w:after="0"/>
      </w:pPr>
    </w:p>
    <w:p>
      <w:pPr>
        <w:keepNext/>
        <w:spacing w:before="280" w:after="160"/>
        <w:ind w:firstLine="0"/>
        <w:jc w:val="left"/>
      </w:pPr>
      <w:r>
        <w:rPr>
          <w:rFonts w:ascii="Times New Roman" w:hAnsi="Times New Roman"/>
          <w:b/>
          <w:sz w:val="26"/>
        </w:rPr>
        <w:t>3.1 Индекс сопровождаемости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Индекс сопровождаемости вычисляется по формуле Visual Studio, где V — объём Холстеда, CC — цикломатическая сложность, SLOC — количество строк исходного кода: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val="clear" w:color="auto" w:fill="F5F6F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/>
                <w:sz w:val="18"/>
              </w:rPr>
              <w:t>MI = max(0, (171 − 5,2 · ln(V) − 0,23 · CC − 16,2 · ln(SLOC)) · 100 / 171</w:t>
            </w:r>
          </w:p>
        </w:tc>
      </w:tr>
    </w:tbl>
    <w:p>
      <w:pPr>
        <w:spacing w:after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Значение MI интерпретируется по цветовым зонам: зелёная зона (20…100) — код хорошо сопровождается, жёлтая (10…19) — сопровождается умеренно, красная (0…9) — код трудно сопровождать. Формула чувствительна к размеру модуля: при прочих равных файл в 300 строк получит заметно меньший MI, чем файл в 60 строк, поэтому MI — индикатор «крупных» модулей, а не только сложных алгоритмов.</w:t>
      </w:r>
    </w:p>
    <w:p>
      <w:pPr>
        <w:keepNext/>
        <w:spacing w:before="280" w:after="160"/>
        <w:ind w:firstLine="0"/>
        <w:jc w:val="left"/>
      </w:pPr>
      <w:r>
        <w:rPr>
          <w:rFonts w:ascii="Times New Roman" w:hAnsi="Times New Roman"/>
          <w:b/>
          <w:sz w:val="26"/>
        </w:rPr>
        <w:t>3.2 Пороговые правила и их настройка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Правила анализаторов .NET по умолчанию отключены: их включают в файле EditorConfig или в файле пороговых значений. В проекте используется второй способ — файл metrics/CodeMetricsConfig.txt, где для каждого правила задаётся порог в формате «правило: значение». Анализатор читает этот файл и формирует список нарушений.</w:t>
      </w:r>
    </w:p>
    <w:p>
      <w:pPr>
        <w:keepNext/>
        <w:spacing w:before="160" w:after="80"/>
        <w:ind w:firstLine="0"/>
        <w:jc w:val="left"/>
      </w:pPr>
      <w:r>
        <w:rPr>
          <w:rFonts w:ascii="Times New Roman" w:hAnsi="Times New Roman"/>
          <w:i/>
          <w:sz w:val="24"/>
        </w:rPr>
        <w:t>Таблица 4 — Настроенные пороговые правила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2835"/>
        <w:gridCol w:w="850"/>
        <w:gridCol w:w="4535"/>
      </w:tblGrid>
      <w:tr>
        <w:trPr>
          <w:tblHeader w:val="true"/>
        </w:trPr>
        <w:tc>
          <w:tcPr>
            <w:tcW w:type="dxa" w:w="1134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Правило</w:t>
            </w:r>
          </w:p>
        </w:tc>
        <w:tc>
          <w:tcPr>
            <w:tcW w:type="dxa" w:w="2835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Смысл</w:t>
            </w:r>
          </w:p>
        </w:tc>
        <w:tc>
          <w:tcPr>
            <w:tcW w:type="dxa" w:w="850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Порог</w:t>
            </w:r>
          </w:p>
        </w:tc>
        <w:tc>
          <w:tcPr>
            <w:tcW w:type="dxa" w:w="4535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Обоснование порога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CA1501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избыточная глубина наследования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иерархия пользователей двухуровневая, иерархия исключений — тоже; 3 допускает такие иерархии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CA1502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избыточная цикломатическая сложность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стандарт Microsoft: метод сложнее 10 трудно покрыть тестами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CA1505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код трудно сопровождать (MI ниже порога)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стандарт Microsoft: граница зелёной зоны MI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CA1506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избыточная связанность классов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для сервисного слоя, агрегирующего типы домена, порог выше стандартного (10)</w:t>
            </w:r>
          </w:p>
        </w:tc>
      </w:tr>
    </w:tbl>
    <w:p>
      <w:pPr>
        <w:spacing w:after="0"/>
      </w:pPr>
    </w:p>
    <w:p>
      <w:pPr>
        <w:keepNext/>
        <w:spacing w:before="120" w:after="40"/>
        <w:ind w:firstLine="0"/>
        <w:jc w:val="left"/>
      </w:pPr>
      <w:r>
        <w:rPr>
          <w:rFonts w:ascii="Times New Roman" w:hAnsi="Times New Roman"/>
          <w:i/>
          <w:sz w:val="24"/>
        </w:rPr>
        <w:t>Листинг 1 — Конфигурация порогов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val="clear" w:color="auto" w:fill="F5F6F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/>
                <w:sz w:val="18"/>
              </w:rPr>
              <w:t># metrics/CodeMetricsConfig.txt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CA1501: 3      # глубина наследования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CA1502: 10     # цикломатическая сложность метода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CA1505: 20     # минимальный индекс сопровождаемости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CA1506: 20     # связанность классов</w:t>
            </w:r>
          </w:p>
        </w:tc>
      </w:tr>
    </w:tbl>
    <w:p>
      <w:pPr>
        <w:spacing w:after="0"/>
      </w:pPr>
    </w:p>
    <w:p>
      <w:pPr>
        <w:keepNext/>
        <w:spacing w:before="280" w:after="160"/>
        <w:ind w:firstLine="0"/>
        <w:jc w:val="left"/>
      </w:pPr>
      <w:r>
        <w:rPr>
          <w:rFonts w:ascii="Times New Roman" w:hAnsi="Times New Roman"/>
          <w:b/>
          <w:sz w:val="26"/>
        </w:rPr>
        <w:t>3.3 Особенности применения метрик к Python-коду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Поскольку проект написан на Python, часть метрик вычисляется по эвристикам, которые зафиксированы в документации анализатора: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/>
          <w:sz w:val="28"/>
        </w:rPr>
        <w:t>– CC = 1 + число точек ветвления: if, for, while, except, assert, тернарный оператор, and/or, генераторы списков, ветви match;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/>
          <w:sz w:val="28"/>
        </w:rPr>
        <w:t>– DIT = 1 + глубина базового класса внутри проекта; для класса без базовых классов DIT = 1;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/>
          <w:sz w:val="28"/>
        </w:rPr>
        <w:t>– Class Coupling = число уникальных имён классов (с заглавной буквы) в аннотациях, базовых классах и теле типа; константы (UPPER_CASE) и generic-типы typing (List, Optional) не учитываются;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/>
          <w:sz w:val="28"/>
        </w:rPr>
        <w:t>– Halstead Volume оценивается по потоку токенов (tokenize): уникальные и общие количества операторов и операндов;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/>
          <w:sz w:val="28"/>
        </w:rPr>
        <w:t>– SLOC учитывает все строки файла, включая документирующие комментарии, поэтому подробное документирование снижает MI — это известное ограничение метрики.</w:t>
      </w:r>
    </w:p>
    <w:p>
      <w:pPr>
        <w:keepNext/>
        <w:spacing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4. МЕТОДИКА ИЗМЕРЕНИЙ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Измерения выполнялись одним и тем же инструментом с одинаковыми порогами для трёх состояний проекта, поэтому результаты сопоставимы: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/>
          <w:sz w:val="28"/>
        </w:rPr>
        <w:t>– v1.0 — состояние проекта после лабораторной работы №2 (снимок хранится в metrics/snapshots/v1_0);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/>
          <w:sz w:val="28"/>
        </w:rPr>
        <w:t>– v2.0-черновик — первая реализация новой функциональности: весь функционал находился в классе RentalService (снимок metrics/snapshots/v2_0_raw);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/>
          <w:sz w:val="28"/>
        </w:rPr>
        <w:t>– v2.0-итог — версия после рефакторинга по результатам анализа метрик (каталог src).</w:t>
      </w:r>
    </w:p>
    <w:p>
      <w:pPr>
        <w:spacing w:before="12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Анализировался только каталог src: тесты, документация и сами инструменты измерений в расчёт не включались, чтобы метрики отражали сопровождаемость приложения.</w:t>
      </w:r>
    </w:p>
    <w:p>
      <w:pPr>
        <w:keepNext/>
        <w:spacing w:before="280" w:after="160"/>
        <w:ind w:firstLine="0"/>
        <w:jc w:val="left"/>
      </w:pPr>
      <w:r>
        <w:rPr>
          <w:rFonts w:ascii="Times New Roman" w:hAnsi="Times New Roman"/>
          <w:b/>
          <w:sz w:val="26"/>
        </w:rPr>
        <w:t>4.1 Запуск измерений</w:t>
      </w:r>
    </w:p>
    <w:p>
      <w:pPr>
        <w:keepNext/>
        <w:spacing w:before="120" w:after="40"/>
        <w:ind w:firstLine="0"/>
        <w:jc w:val="left"/>
      </w:pPr>
      <w:r>
        <w:rPr>
          <w:rFonts w:ascii="Times New Roman" w:hAnsi="Times New Roman"/>
          <w:i/>
          <w:sz w:val="24"/>
        </w:rPr>
        <w:t>Листинг 2 — Команды запуска измерений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val="clear" w:color="auto" w:fill="F5F6F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/>
                <w:sz w:val="18"/>
              </w:rPr>
              <w:t># метрики текущей версии: XML, CSV, Markdown и JSON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python metrics/code_metrics.py src --root . \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--out-dir metrics/reports/v2.0 --label code-metrics-v2.0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 проверка в стиле CI: код возврата 1 при нарушениях порогов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python metrics/code_metrics.py src --root . --fail-on-violation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 сравнение версий и построение диаграмм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python metrics/compare_metrics.py \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metrics/reports/v1.0/code-metrics-v1.0.json \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metrics/reports/v2.0-raw/code-metrics-v2.0-raw.json \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metrics/reports/v2.0/code-metrics-v2.0.json \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--labels "v1.0 (ЛР2)" "v2.0 черновик" "v2.0 итог"</w:t>
            </w:r>
          </w:p>
        </w:tc>
      </w:tr>
    </w:tbl>
    <w:p>
      <w:pPr>
        <w:spacing w:after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Отчёт сохраняется в четырёх форматах:</w:t>
      </w:r>
    </w:p>
    <w:p>
      <w:pPr>
        <w:keepNext/>
        <w:spacing w:before="160" w:after="80"/>
        <w:ind w:firstLine="0"/>
        <w:jc w:val="left"/>
      </w:pPr>
      <w:r>
        <w:rPr>
          <w:rFonts w:ascii="Times New Roman" w:hAnsi="Times New Roman"/>
          <w:i/>
          <w:sz w:val="24"/>
        </w:rPr>
        <w:t>Таблица 5 — Форматы отчётов о метриках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8107"/>
      </w:tblGrid>
      <w:tr>
        <w:trPr>
          <w:tblHeader w:val="true"/>
        </w:trPr>
        <w:tc>
          <w:tcPr>
            <w:tcW w:type="dxa" w:w="1247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Файл</w:t>
            </w:r>
          </w:p>
        </w:tc>
        <w:tc>
          <w:tcPr>
            <w:tcW w:type="dxa" w:w="8107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*.xml</w:t>
            </w:r>
          </w:p>
        </w:tc>
        <w:tc>
          <w:tcPr>
            <w:tcW w:type="dxa" w:w="810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дерево CodeMetricsReport (как у Metrics.exe) и блок RuleViolations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*.csv</w:t>
            </w:r>
          </w:p>
        </w:tc>
        <w:tc>
          <w:tcPr>
            <w:tcW w:type="dxa" w:w="810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построчная таблица метрик по модулям, классам и методам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*.md</w:t>
            </w:r>
          </w:p>
        </w:tc>
        <w:tc>
          <w:tcPr>
            <w:tcW w:type="dxa" w:w="810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сводка для отчёта и таблица нарушений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*.json</w:t>
            </w:r>
          </w:p>
        </w:tc>
        <w:tc>
          <w:tcPr>
            <w:tcW w:type="dxa" w:w="810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полное дерево метрик для сравнения версий</w:t>
            </w:r>
          </w:p>
        </w:tc>
      </w:tr>
    </w:tbl>
    <w:p>
      <w:pPr>
        <w:spacing w:after="0"/>
      </w:pPr>
    </w:p>
    <w:p>
      <w:pPr>
        <w:keepNext/>
        <w:spacing w:before="280" w:after="160"/>
        <w:ind w:firstLine="0"/>
        <w:jc w:val="left"/>
      </w:pPr>
      <w:r>
        <w:rPr>
          <w:rFonts w:ascii="Times New Roman" w:hAnsi="Times New Roman"/>
          <w:b/>
          <w:sz w:val="26"/>
        </w:rPr>
        <w:t>4.2 Ограничения методики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/>
          <w:sz w:val="28"/>
        </w:rPr>
        <w:t>– MI агрегируется по формуле для модуля и типа, поэтому крупные модули получают заниженную оценку даже при простых методах; для решений использовалась также метрика MI отдельных методов;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/>
          <w:sz w:val="28"/>
        </w:rPr>
        <w:t>– Class Coupling учитывает только классы: связанность через строковые константы и словари метрика не видит, что важно для анализа первой версии (см. раздел 6);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/>
          <w:sz w:val="28"/>
        </w:rPr>
        <w:t>– Halstead Volume для Python — оценка по токенам, а не по инструкциям виртуальной машины, поэтому абсолютные значения отличаются от .NET-аналога, но сравнение версий между собой корректно.</w:t>
      </w:r>
    </w:p>
    <w:p>
      <w:pPr>
        <w:keepNext/>
        <w:spacing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5. РЕЗУЛЬТАТЫ ДО ОПТИМИЗАЦИИ</w:t>
      </w:r>
    </w:p>
    <w:p>
      <w:pPr>
        <w:keepNext/>
        <w:spacing w:before="280" w:after="160"/>
        <w:ind w:firstLine="0"/>
        <w:jc w:val="left"/>
      </w:pPr>
      <w:r>
        <w:rPr>
          <w:rFonts w:ascii="Times New Roman" w:hAnsi="Times New Roman"/>
          <w:b/>
          <w:sz w:val="26"/>
        </w:rPr>
        <w:t>5.1 Версия 1.0 (после лабораторной работы №2)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Исходная версия содержит четыре модуля предметной области и сервиса. Сложность методов минимальна, однако домен сосредоточен в одном файле объёмом 293 строки, что и определило низкий индекс сопровождаемости.</w:t>
      </w:r>
    </w:p>
    <w:p>
      <w:pPr>
        <w:keepNext/>
        <w:spacing w:before="160" w:after="80"/>
        <w:ind w:firstLine="0"/>
        <w:jc w:val="left"/>
      </w:pPr>
      <w:r>
        <w:rPr>
          <w:rFonts w:ascii="Times New Roman" w:hAnsi="Times New Roman"/>
          <w:i/>
          <w:sz w:val="24"/>
        </w:rPr>
        <w:t>Таблица 6 — Метрики версии 1.0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742"/>
        <w:gridCol w:w="794"/>
        <w:gridCol w:w="680"/>
        <w:gridCol w:w="680"/>
        <w:gridCol w:w="794"/>
        <w:gridCol w:w="680"/>
        <w:gridCol w:w="850"/>
        <w:gridCol w:w="1134"/>
      </w:tblGrid>
      <w:tr>
        <w:trPr>
          <w:tblHeader w:val="true"/>
        </w:trPr>
        <w:tc>
          <w:tcPr>
            <w:tcW w:type="dxa" w:w="3742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Модуль</w:t>
            </w:r>
          </w:p>
        </w:tc>
        <w:tc>
          <w:tcPr>
            <w:tcW w:type="dxa" w:w="794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SLOC</w:t>
            </w:r>
          </w:p>
        </w:tc>
        <w:tc>
          <w:tcPr>
            <w:tcW w:type="dxa" w:w="680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EL</w:t>
            </w:r>
          </w:p>
        </w:tc>
        <w:tc>
          <w:tcPr>
            <w:tcW w:type="dxa" w:w="680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CC</w:t>
            </w:r>
          </w:p>
        </w:tc>
        <w:tc>
          <w:tcPr>
            <w:tcW w:type="dxa" w:w="794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Связ.</w:t>
            </w:r>
          </w:p>
        </w:tc>
        <w:tc>
          <w:tcPr>
            <w:tcW w:type="dxa" w:w="680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DIT</w:t>
            </w:r>
          </w:p>
        </w:tc>
        <w:tc>
          <w:tcPr>
            <w:tcW w:type="dxa" w:w="850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MI</w:t>
            </w:r>
          </w:p>
        </w:tc>
        <w:tc>
          <w:tcPr>
            <w:tcW w:type="dxa" w:w="1134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Зона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__init__.py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99,9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description.py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67,6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domain.py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293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69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45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13,7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жёлтая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main.py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39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17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44,5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service.py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73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19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35,5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</w:tbl>
    <w:p>
      <w:pPr>
        <w:spacing w:after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Нарушение одно: правило CA1505 для модуля domain.py — индекс сопровождаемости 13,7 при пороге 20 (жёлтая зона). Максимальная глубина наследования равна 3 (Technician → Administrator → Person): формально это не нарушает порог, но класс Technician не добавляет поведения — он только переопределяет роль, то есть наследование использовано там, где достаточно атрибута.</w:t>
      </w:r>
    </w:p>
    <w:p>
      <w:pPr>
        <w:spacing w:before="12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Отдельно при подготовке измерений был обнаружен дефект: файл tests/test_domain.py начинался с постороннего символа «ё», из-за чего pytest не мог собрать тесты (NameError при импорте). Дефект исправлен, тесты переписаны и дополнены.</w:t>
      </w:r>
    </w:p>
    <w:p>
      <w:pPr>
        <w:keepNext/>
        <w:spacing w:before="280" w:after="160"/>
        <w:ind w:firstLine="0"/>
        <w:jc w:val="left"/>
      </w:pPr>
      <w:r>
        <w:rPr>
          <w:rFonts w:ascii="Times New Roman" w:hAnsi="Times New Roman"/>
          <w:b/>
          <w:sz w:val="26"/>
        </w:rPr>
        <w:t>5.2 Версия 2.0, первая реализация функциональности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Новая функциональность (расчёт стоимости со скидками, штрафы за просрочку, повреждение и утерю, статусы заявок, JSON-хранилище, отчётность) была реализована «первым проходом» — внутри класса RentalService и модуля domain.py. Метрики немедленно показали деградацию.</w:t>
      </w:r>
    </w:p>
    <w:p>
      <w:pPr>
        <w:keepNext/>
        <w:spacing w:before="160" w:after="80"/>
        <w:ind w:firstLine="0"/>
        <w:jc w:val="left"/>
      </w:pPr>
      <w:r>
        <w:rPr>
          <w:rFonts w:ascii="Times New Roman" w:hAnsi="Times New Roman"/>
          <w:i/>
          <w:sz w:val="24"/>
        </w:rPr>
        <w:t>Таблица 7 — Метрики первой реализации v2.0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742"/>
        <w:gridCol w:w="794"/>
        <w:gridCol w:w="680"/>
        <w:gridCol w:w="680"/>
        <w:gridCol w:w="794"/>
        <w:gridCol w:w="680"/>
        <w:gridCol w:w="850"/>
        <w:gridCol w:w="1134"/>
      </w:tblGrid>
      <w:tr>
        <w:trPr>
          <w:tblHeader w:val="true"/>
        </w:trPr>
        <w:tc>
          <w:tcPr>
            <w:tcW w:type="dxa" w:w="3742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Модуль</w:t>
            </w:r>
          </w:p>
        </w:tc>
        <w:tc>
          <w:tcPr>
            <w:tcW w:type="dxa" w:w="794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SLOC</w:t>
            </w:r>
          </w:p>
        </w:tc>
        <w:tc>
          <w:tcPr>
            <w:tcW w:type="dxa" w:w="680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EL</w:t>
            </w:r>
          </w:p>
        </w:tc>
        <w:tc>
          <w:tcPr>
            <w:tcW w:type="dxa" w:w="680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CC</w:t>
            </w:r>
          </w:p>
        </w:tc>
        <w:tc>
          <w:tcPr>
            <w:tcW w:type="dxa" w:w="794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Связ.</w:t>
            </w:r>
          </w:p>
        </w:tc>
        <w:tc>
          <w:tcPr>
            <w:tcW w:type="dxa" w:w="680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DIT</w:t>
            </w:r>
          </w:p>
        </w:tc>
        <w:tc>
          <w:tcPr>
            <w:tcW w:type="dxa" w:w="850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MI</w:t>
            </w:r>
          </w:p>
        </w:tc>
        <w:tc>
          <w:tcPr>
            <w:tcW w:type="dxa" w:w="1134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Зона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__init__.py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99,9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description.py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67,6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domain.py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310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127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85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5,8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красная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main.py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77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39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34,1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service.py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323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207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92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3,1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красная</w:t>
            </w:r>
          </w:p>
        </w:tc>
      </w:tr>
    </w:tbl>
    <w:p>
      <w:pPr>
        <w:spacing w:after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Получено шесть нарушений: два модуля оказались в красной зоне индекса сопровождаемости, а три метода превысили порог цикломатической сложности.</w:t>
      </w:r>
    </w:p>
    <w:p>
      <w:pPr>
        <w:keepNext/>
        <w:spacing w:before="160" w:after="80"/>
        <w:ind w:firstLine="0"/>
        <w:jc w:val="left"/>
      </w:pPr>
      <w:r>
        <w:rPr>
          <w:rFonts w:ascii="Times New Roman" w:hAnsi="Times New Roman"/>
          <w:i/>
          <w:sz w:val="24"/>
        </w:rPr>
        <w:t>Таблица 8 — Нарушения в первой реализации v2.0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3175"/>
        <w:gridCol w:w="3061"/>
        <w:gridCol w:w="1134"/>
        <w:gridCol w:w="964"/>
      </w:tblGrid>
      <w:tr>
        <w:trPr>
          <w:tblHeader w:val="true"/>
        </w:trPr>
        <w:tc>
          <w:tcPr>
            <w:tcW w:type="dxa" w:w="1020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Правило</w:t>
            </w:r>
          </w:p>
        </w:tc>
        <w:tc>
          <w:tcPr>
            <w:tcW w:type="dxa" w:w="3175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Нарушение</w:t>
            </w:r>
          </w:p>
        </w:tc>
        <w:tc>
          <w:tcPr>
            <w:tcW w:type="dxa" w:w="3061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Сущность</w:t>
            </w:r>
          </w:p>
        </w:tc>
        <w:tc>
          <w:tcPr>
            <w:tcW w:type="dxa" w:w="1134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  <w:tc>
          <w:tcPr>
            <w:tcW w:type="dxa" w:w="964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Порог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CA1505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Код трудно сопровождать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src.domain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5,8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20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CA1505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Код трудно сопровождать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src.service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3,1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20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CA1505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Код трудно сопровождать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RentalService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4,2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20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CA1502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Избыточная сложность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RentalService.create_request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11,0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CA1502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Избыточная сложность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RentalService.return_equipment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16,0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CA1502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Избыточная сложность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RentalService.build_report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11,0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10</w:t>
            </w:r>
          </w:p>
        </w:tc>
      </w:tr>
    </w:tbl>
    <w:p>
      <w:pPr>
        <w:spacing w:after="0"/>
      </w:pPr>
    </w:p>
    <w:p>
      <w:pPr>
        <w:keepNext/>
        <w:spacing w:before="160" w:after="80"/>
        <w:ind w:firstLine="0"/>
        <w:jc w:val="left"/>
      </w:pPr>
      <w:r>
        <w:rPr>
          <w:rFonts w:ascii="Times New Roman" w:hAnsi="Times New Roman"/>
          <w:i/>
          <w:sz w:val="24"/>
        </w:rPr>
        <w:t>Таблица 9 — Самые сложные методы первой реализации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742"/>
        <w:gridCol w:w="2948"/>
        <w:gridCol w:w="907"/>
        <w:gridCol w:w="1020"/>
      </w:tblGrid>
      <w:tr>
        <w:trPr>
          <w:tblHeader w:val="true"/>
        </w:trPr>
        <w:tc>
          <w:tcPr>
            <w:tcW w:type="dxa" w:w="3742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Метод</w:t>
            </w:r>
          </w:p>
        </w:tc>
        <w:tc>
          <w:tcPr>
            <w:tcW w:type="dxa" w:w="2948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Файл:строка</w:t>
            </w:r>
          </w:p>
        </w:tc>
        <w:tc>
          <w:tcPr>
            <w:tcW w:type="dxa" w:w="907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CC</w:t>
            </w:r>
          </w:p>
        </w:tc>
        <w:tc>
          <w:tcPr>
            <w:tcW w:type="dxa" w:w="1020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MI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RentalService.return_equipment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service.py:166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35,7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RentalService.create_request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service.py:82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11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46,9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RentalService.build_report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service.py:223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11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42,1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RentalService.estimate_cost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service.py:126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51,8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RentalService.load_state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service.py:300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46,2</w:t>
            </w:r>
          </w:p>
        </w:tc>
      </w:tr>
    </w:tbl>
    <w:p>
      <w:pPr>
        <w:spacing w:after="0"/>
      </w:pPr>
    </w:p>
    <w:p>
      <w:pPr>
        <w:keepNext/>
        <w:spacing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6. АНАЛИЗ И ОПТИМИЗАЦИЯ КОДА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Анализ метрик позволил сформулировать четыре причины деградации и соответствующие им направления рефакторинга.</w:t>
      </w:r>
    </w:p>
    <w:p>
      <w:pPr>
        <w:keepNext/>
        <w:spacing w:before="160" w:after="80"/>
        <w:ind w:firstLine="0"/>
        <w:jc w:val="left"/>
      </w:pPr>
      <w:r>
        <w:rPr>
          <w:rFonts w:ascii="Times New Roman" w:hAnsi="Times New Roman"/>
          <w:i/>
          <w:sz w:val="24"/>
        </w:rPr>
        <w:t>Таблица 10 — Проблемы, выявленные метриками, и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1361"/>
        <w:gridCol w:w="3798"/>
      </w:tblGrid>
      <w:tr>
        <w:trPr>
          <w:tblHeader w:val="true"/>
        </w:trPr>
        <w:tc>
          <w:tcPr>
            <w:tcW w:type="dxa" w:w="4195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Проблема</w:t>
            </w:r>
          </w:p>
        </w:tc>
        <w:tc>
          <w:tcPr>
            <w:tcW w:type="dxa" w:w="1361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Метрика</w:t>
            </w:r>
          </w:p>
        </w:tc>
        <w:tc>
          <w:tcPr>
            <w:tcW w:type="dxa" w:w="3798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Решение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return_equipment содержит 16 ветвей: просрочка, три состояния техники, разные коэффициенты ущерба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CC = 16</w:t>
            </w:r>
          </w:p>
        </w:tc>
        <w:tc>
          <w:tcPr>
            <w:tcW w:type="dxa" w:w="379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правила начисления штрафов (fines.py) и таблица соответствия состояний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create_request смешивает валидацию периода, проверку доступности, бронирование и расчёт стоимости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CC = 11</w:t>
            </w:r>
          </w:p>
        </w:tc>
        <w:tc>
          <w:tcPr>
            <w:tcW w:type="dxa" w:w="379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сценарий RequestDesk и отдельные проверки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build_report собирает отчёт ветвлениями в сервисе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CC = 11</w:t>
            </w:r>
          </w:p>
        </w:tc>
        <w:tc>
          <w:tcPr>
            <w:tcW w:type="dxa" w:w="379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класс RentalReport со статистикой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Скидки и штрафы зашиты в условия, названия категорий — в коде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CC, V</w:t>
            </w:r>
          </w:p>
        </w:tc>
        <w:tc>
          <w:tcPr>
            <w:tcW w:type="dxa" w:w="379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правила DiscountRule и FineRule, коэффициенты в данных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Сервис на 323 строки: бизнес-логика, JSON, уведомления, отчёт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MI = 3,1</w:t>
            </w:r>
          </w:p>
        </w:tc>
        <w:tc>
          <w:tcPr>
            <w:tcW w:type="dxa" w:w="379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фасад + сценарии + реестр + репозиторий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Модуль domain.py на 310 строк, строковые статусы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MI = 5,8</w:t>
            </w:r>
          </w:p>
        </w:tc>
        <w:tc>
          <w:tcPr>
            <w:tcW w:type="dxa" w:w="379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разбиение на 8 модулей, перечисления Enum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Глубина наследования Technician = 3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DIT = 3</w:t>
            </w:r>
          </w:p>
        </w:tc>
        <w:tc>
          <w:tcPr>
            <w:tcW w:type="dxa" w:w="379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класс Employee с ролью UserRole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Ошибка в load_state: все выдачи ссылались на первую заявку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тесты</w:t>
            </w:r>
          </w:p>
        </w:tc>
        <w:tc>
          <w:tcPr>
            <w:tcW w:type="dxa" w:w="379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сериализация вынесена в пакет, добавлены тесты ссылочной целостности</w:t>
            </w:r>
          </w:p>
        </w:tc>
      </w:tr>
    </w:tbl>
    <w:p>
      <w:pPr>
        <w:spacing w:after="0"/>
      </w:pPr>
    </w:p>
    <w:p>
      <w:pPr>
        <w:keepNext/>
        <w:spacing w:before="280" w:after="160"/>
        <w:ind w:firstLine="0"/>
        <w:jc w:val="left"/>
      </w:pPr>
      <w:r>
        <w:rPr>
          <w:rFonts w:ascii="Times New Roman" w:hAnsi="Times New Roman"/>
          <w:b/>
          <w:sz w:val="26"/>
        </w:rPr>
        <w:t>6.1 Скидки: правила вместо ветвлений</w:t>
      </w:r>
    </w:p>
    <w:p>
      <w:pPr>
        <w:keepNext/>
        <w:spacing w:before="120" w:after="40"/>
        <w:ind w:firstLine="0"/>
        <w:jc w:val="left"/>
      </w:pPr>
      <w:r>
        <w:rPr>
          <w:rFonts w:ascii="Times New Roman" w:hAnsi="Times New Roman"/>
          <w:i/>
          <w:sz w:val="24"/>
        </w:rPr>
        <w:t>Листинг 3 — Расчёт стоимости до рефакторинга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val="clear" w:color="auto" w:fill="F5F6F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/>
                <w:sz w:val="18"/>
              </w:rPr>
              <w:t># v2.0-черновик: estimate_cost, CC = 8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role = user.get_role()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if role == "student":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base = base * 0.90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elif role == "teacher":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base = base * 0.95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if days &gt; 14: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base = base * 0.90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elif days &gt; 7: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base = base * 0.95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if len(units) &gt;= 3: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base = base * 0.97</w:t>
            </w:r>
          </w:p>
        </w:tc>
      </w:tr>
    </w:tbl>
    <w:p>
      <w:pPr>
        <w:spacing w:after="0"/>
      </w:pPr>
    </w:p>
    <w:p>
      <w:pPr>
        <w:keepNext/>
        <w:spacing w:before="120" w:after="40"/>
        <w:ind w:firstLine="0"/>
        <w:jc w:val="left"/>
      </w:pPr>
      <w:r>
        <w:rPr>
          <w:rFonts w:ascii="Times New Roman" w:hAnsi="Times New Roman"/>
          <w:i/>
          <w:sz w:val="24"/>
        </w:rPr>
        <w:t>Листинг 4 — Расчёт стоимости после рефакторинга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val="clear" w:color="auto" w:fill="F5F6F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/>
                <w:sz w:val="18"/>
              </w:rPr>
              <w:t># v2.0: каждое правило — отдельный класс с одним методом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class RoleDiscount: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name = "Скидка по роли"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def discount(self, context):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 ROLE_DISCOUNTS.get(context.role, 0.0)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class LongRentalDiscount: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def discount(self, context):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for threshold, rate in LONG_RENTAL_DISCOUNTS: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if context.days &gt; threshold: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return rate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 0.0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class PriceCalculator: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def calculate(self, units, user, days):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subtotal = self.subtotal(units, days)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multiplier = 1.0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for rule in self._rules: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multiplier *= 1.0 - rule.discount(context)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 PriceBreakdown(subtotal, round(subtotal * multiplier, 2))</w:t>
            </w:r>
          </w:p>
        </w:tc>
      </w:tr>
    </w:tbl>
    <w:p>
      <w:pPr>
        <w:spacing w:after="0"/>
      </w:pPr>
    </w:p>
    <w:p>
      <w:pPr>
        <w:keepNext/>
        <w:spacing w:before="280" w:after="160"/>
        <w:ind w:firstLine="0"/>
        <w:jc w:val="left"/>
      </w:pPr>
      <w:r>
        <w:rPr>
          <w:rFonts w:ascii="Times New Roman" w:hAnsi="Times New Roman"/>
          <w:b/>
          <w:sz w:val="26"/>
        </w:rPr>
        <w:t>6.2 Штрафы: правила и таблица состояний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черновике метод возврата содержал ветвление по состоянию техники и зашитые названия категорий («Проекторы», «Фототехника»). В итоговой версии основания штрафа оформлены правилами, коэффициент ущерба перенесён в категорию техники, а соответствие «результат возврата → новое состояние единицы» задано таблицей.</w:t>
      </w:r>
    </w:p>
    <w:p>
      <w:pPr>
        <w:keepNext/>
        <w:spacing w:before="120" w:after="40"/>
        <w:ind w:firstLine="0"/>
        <w:jc w:val="left"/>
      </w:pPr>
      <w:r>
        <w:rPr>
          <w:rFonts w:ascii="Times New Roman" w:hAnsi="Times New Roman"/>
          <w:i/>
          <w:sz w:val="24"/>
        </w:rPr>
        <w:t>Листинг 5 — Правило штрафа за повреждение и таблица состояний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val="clear" w:color="auto" w:fill="F5F6F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/>
                <w:sz w:val="18"/>
              </w:rPr>
              <w:t>class DamageRule: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reason = FineReason.DAMAGE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def amount(self, context):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context.condition is not ReturnCondition.DAMAGED: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return 0.0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 round(sum(unit.model.daily_rate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         * unit.model.category.damage_coefficient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         for unit in context.request.units), 2)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RETURN_UNIT_STATUS = {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ReturnCondition.GOOD: UnitStatus.AVAILABLE,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ReturnCondition.DAMAGED: UnitStatus.IN_REPAIR,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ReturnCondition.LOST: UnitStatus.WRITTEN_OFF,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before="280" w:after="160"/>
        <w:ind w:firstLine="0"/>
        <w:jc w:val="left"/>
      </w:pPr>
      <w:r>
        <w:rPr>
          <w:rFonts w:ascii="Times New Roman" w:hAnsi="Times New Roman"/>
          <w:b/>
          <w:sz w:val="26"/>
        </w:rPr>
        <w:t>6.3 Статусы: перечисления и допустимые переходы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Строковые статусы («На рассмотрении», «Одобрена» и т. д.) не позволяли контролировать переходы: заявку можно было закрыть без выдачи. В итоговой версии статус — перечисление, а допустимые переходы заданы таблицей, проверка выполняет один метод.</w:t>
      </w:r>
    </w:p>
    <w:p>
      <w:pPr>
        <w:keepNext/>
        <w:spacing w:before="120" w:after="40"/>
        <w:ind w:firstLine="0"/>
        <w:jc w:val="left"/>
      </w:pPr>
      <w:r>
        <w:rPr>
          <w:rFonts w:ascii="Times New Roman" w:hAnsi="Times New Roman"/>
          <w:i/>
          <w:sz w:val="24"/>
        </w:rPr>
        <w:t>Листинг 6 — Допустимые переходы статусов заявки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val="clear" w:color="auto" w:fill="F5F6F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/>
                <w:sz w:val="18"/>
              </w:rPr>
              <w:t>ALLOWED_TRANSITIONS = {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RequestStatus.PENDING: (RequestStatus.APPROVED, RequestStatus.REJECTED),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RequestStatus.APPROVED: (RequestStatus.ISSUED,),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RequestStatus.ISSUED: (RequestStatus.CLOSED,),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RequestStatus.REJECTED: (),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RequestStatus.CLOSED: (),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transition(self, target):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target not in ALLOWED_TRANSITIONS[self._status]: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raise InvalidTransition(...)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self._status = target</w:t>
            </w:r>
          </w:p>
        </w:tc>
      </w:tr>
    </w:tbl>
    <w:p>
      <w:pPr>
        <w:spacing w:after="0"/>
      </w:pPr>
    </w:p>
    <w:p>
      <w:pPr>
        <w:keepNext/>
        <w:spacing w:before="280" w:after="160"/>
        <w:ind w:firstLine="0"/>
        <w:jc w:val="left"/>
      </w:pPr>
      <w:r>
        <w:rPr>
          <w:rFonts w:ascii="Times New Roman" w:hAnsi="Times New Roman"/>
          <w:b/>
          <w:sz w:val="26"/>
        </w:rPr>
        <w:t>6.4 Разделение сервиса: фасад и сценарии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Сервис разделён на фасад RentalService (151 строка, MI 23,8) и два сценария: RequestDesk (заявки) и IssueDesk (выдача и возврат). Общие данные хранит реестр RentalRegistry, проверка прав вынесена в функцию require_staff. Фасад только делегирует вызовы, поэтому его методы имеют CC = 1…2.</w:t>
      </w:r>
    </w:p>
    <w:p>
      <w:pPr>
        <w:keepNext/>
        <w:spacing w:before="120" w:after="40"/>
        <w:ind w:firstLine="0"/>
        <w:jc w:val="left"/>
      </w:pPr>
      <w:r>
        <w:rPr>
          <w:rFonts w:ascii="Times New Roman" w:hAnsi="Times New Roman"/>
          <w:i/>
          <w:sz w:val="24"/>
        </w:rPr>
        <w:t>Листинг 7 — Фасад сервиса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val="clear" w:color="auto" w:fill="F5F6F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/>
                <w:sz w:val="18"/>
              </w:rPr>
              <w:t>class RentalService: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def __init__(self, pricing=None, fines=None, journal=None, registry=None):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self._pricing = pricing or PriceCalculator()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self._journal = journal or NotificationJournal()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self._registry = registry or RentalRegistry()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self._request_desk = RequestDesk(self._registry, self._pricing,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                         self._journal)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self._issue_desk = IssueDesk(self._registry, self._pricing,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                     fines or FineCalculator(),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                     self._journal)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def create_request(self, user, units, start_date, end_date):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 self._request_desk.create(user, units, start_date, end_date)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def issue_equipment(self, request, employee, issue_date):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 self._issue_desk.issue(request, employee, issue_date)</w:t>
            </w:r>
          </w:p>
        </w:tc>
      </w:tr>
    </w:tbl>
    <w:p>
      <w:pPr>
        <w:spacing w:after="0"/>
      </w:pPr>
    </w:p>
    <w:p>
      <w:pPr>
        <w:keepNext/>
        <w:spacing w:before="280" w:after="160"/>
        <w:ind w:firstLine="0"/>
        <w:jc w:val="left"/>
      </w:pPr>
      <w:r>
        <w:rPr>
          <w:rFonts w:ascii="Times New Roman" w:hAnsi="Times New Roman"/>
          <w:b/>
          <w:sz w:val="26"/>
        </w:rPr>
        <w:t>6.5 Иерархия пользователей: роль вместо наследования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версии 1.0 иерархия Person → Administrator → Technician имела глубину 3, а класс Technician не добавлял ни полей, ни методов. Административные и технические роли вынесены в перечисление UserRole, сотрудники описываются классом Employee: глубина наследования снизилась до 2, дублирование исчезло, а проверка прав стала единой (require_staff).</w:t>
      </w:r>
    </w:p>
    <w:p>
      <w:pPr>
        <w:keepNext/>
        <w:spacing w:before="120" w:after="40"/>
        <w:ind w:firstLine="0"/>
        <w:jc w:val="left"/>
      </w:pPr>
      <w:r>
        <w:rPr>
          <w:rFonts w:ascii="Times New Roman" w:hAnsi="Times New Roman"/>
          <w:i/>
          <w:sz w:val="24"/>
        </w:rPr>
        <w:t>Листинг 8 — Единый класс сотрудника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val="clear" w:color="auto" w:fill="F5F6F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/>
                <w:sz w:val="18"/>
              </w:rPr>
              <w:t>class Employee(Person):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def __init__(self, id, fio, email, phone, employee_id,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 role=UserRole.ADMINISTRATOR):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role not in (UserRole.ADMINISTRATOR, UserRole.TECHNICIAN):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raise ValidationError(f"Роль «{role}» не является ролью сотрудника")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super().__init__(id, fio, email, phone, role)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self._employee_id = employee_id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@property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def can_manage(self):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 True</w:t>
            </w:r>
          </w:p>
        </w:tc>
      </w:tr>
    </w:tbl>
    <w:p>
      <w:pPr>
        <w:spacing w:after="0"/>
      </w:pPr>
    </w:p>
    <w:p>
      <w:pPr>
        <w:keepNext/>
        <w:spacing w:before="280" w:after="160"/>
        <w:ind w:firstLine="0"/>
        <w:jc w:val="left"/>
      </w:pPr>
      <w:r>
        <w:rPr>
          <w:rFonts w:ascii="Times New Roman" w:hAnsi="Times New Roman"/>
          <w:b/>
          <w:sz w:val="26"/>
        </w:rPr>
        <w:t>6.6 Разбиение модулей и вынос инфраструктуры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Монолитные модули разделены по зонам ответственности: domain.py (293 строки) превратился в пакет из восьми модулей (enums, errors, people, equipment, request, issue, fine, notification), а сервисный модуль — в фасад, сценарии и реестр. Сериализация вынесена в пакет serialization (5 модулей), хранилище — в repository.py с интерфейсом RentalRepository. Дополнительно исправлена ошибка восстановления состояния: в черновике все выдачи ссылались на первую заявку, теперь ссылки восстанавливаются по индексам и проверяются тестом.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Тесты переписаны: вместо одного неработоспособного файла — семь модулей тестов (56 тестов), покрывающих предметную область, расчёт стоимости, штрафы, сервис, сериализацию, отчёты и сам анализатор метрик. Все тесты проходят.</w:t>
      </w:r>
    </w:p>
    <w:p>
      <w:pPr>
        <w:keepNext/>
        <w:spacing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7. РЕЗУЛЬТАТЫ ПОСЛЕ ОПТИМИЗАЦИИ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После рефакторинга метрики перестроены тем же инструментом с теми же порогами. Нарушений правил не осталось ни одного.</w:t>
      </w:r>
    </w:p>
    <w:p>
      <w:pPr>
        <w:keepNext/>
        <w:spacing w:before="160" w:after="80"/>
        <w:ind w:firstLine="0"/>
        <w:jc w:val="left"/>
      </w:pPr>
      <w:r>
        <w:rPr>
          <w:rFonts w:ascii="Times New Roman" w:hAnsi="Times New Roman"/>
          <w:i/>
          <w:sz w:val="24"/>
        </w:rPr>
        <w:t>Таблица 11 — Сравнение метрик трёх версий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1757"/>
        <w:gridCol w:w="1757"/>
        <w:gridCol w:w="1757"/>
      </w:tblGrid>
      <w:tr>
        <w:trPr>
          <w:tblHeader w:val="true"/>
        </w:trPr>
        <w:tc>
          <w:tcPr>
            <w:tcW w:type="dxa" w:w="3969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Показатель</w:t>
            </w:r>
          </w:p>
        </w:tc>
        <w:tc>
          <w:tcPr>
            <w:tcW w:type="dxa" w:w="1757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v1.0 (ЛР2)</w:t>
            </w:r>
          </w:p>
        </w:tc>
        <w:tc>
          <w:tcPr>
            <w:tcW w:type="dxa" w:w="1757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v2.0 черновик</w:t>
            </w:r>
          </w:p>
        </w:tc>
        <w:tc>
          <w:tcPr>
            <w:tcW w:type="dxa" w:w="1757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v2.0 итог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Модулей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29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Классов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13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13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46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Методов и функций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36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88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194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SLOC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435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740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2655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Строк исполняемого кода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105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373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679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Суммарная CC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59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185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390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Максимальная CC метода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Средняя CC метода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1,14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1,9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1,62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Методов со CC больше 10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Максимальная связанность класса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Максимальная глубина наследования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Минимальный MI модуля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13,7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3,1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21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Минимальный MI метода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52,2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35,7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43,1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Методов в красной зоне MI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Нарушений правил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</w:tr>
    </w:tbl>
    <w:p>
      <w:pPr>
        <w:spacing w:after="0"/>
      </w:pPr>
    </w:p>
    <w:p>
      <w:pPr>
        <w:spacing w:before="12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Динамика ключевых показателей приведена на рисунках 1 и 2: минимальный индекс сопровождаемости вырос с 13,7 до 21,0, все модули перешли в зелёную зону, максимальная цикломатическая сложность метода снизилась с 16 до 9, а число нарушений — с шести до нуля.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maintain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/>
          <w:i/>
          <w:sz w:val="24"/>
        </w:rPr>
        <w:t>Рисунок 1 — Сопровождаемость кода по версиям проекта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7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complex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/>
          <w:i/>
          <w:sz w:val="24"/>
        </w:rPr>
        <w:t>Рисунок 2 — Сложность и нарушения правил по версиям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Метрики итоговой версии по модулям приведены в таблице 12: все 29 модулей находятся в зелёной зоне, максимальная связанность класса (16) не превышает порог 20 и относится к фасаду сервиса, который по определению агрегирует типы предметной области.</w:t>
      </w:r>
    </w:p>
    <w:p>
      <w:pPr>
        <w:keepNext/>
        <w:spacing w:before="160" w:after="80"/>
        <w:ind w:firstLine="0"/>
        <w:jc w:val="left"/>
      </w:pPr>
      <w:r>
        <w:rPr>
          <w:rFonts w:ascii="Times New Roman" w:hAnsi="Times New Roman"/>
          <w:i/>
          <w:sz w:val="24"/>
        </w:rPr>
        <w:t>Таблица 12 — Метрики итоговой версии 2.0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742"/>
        <w:gridCol w:w="794"/>
        <w:gridCol w:w="680"/>
        <w:gridCol w:w="680"/>
        <w:gridCol w:w="794"/>
        <w:gridCol w:w="680"/>
        <w:gridCol w:w="850"/>
        <w:gridCol w:w="1134"/>
      </w:tblGrid>
      <w:tr>
        <w:trPr>
          <w:tblHeader w:val="true"/>
        </w:trPr>
        <w:tc>
          <w:tcPr>
            <w:tcW w:type="dxa" w:w="3742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Модуль</w:t>
            </w:r>
          </w:p>
        </w:tc>
        <w:tc>
          <w:tcPr>
            <w:tcW w:type="dxa" w:w="794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SLOC</w:t>
            </w:r>
          </w:p>
        </w:tc>
        <w:tc>
          <w:tcPr>
            <w:tcW w:type="dxa" w:w="680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EL</w:t>
            </w:r>
          </w:p>
        </w:tc>
        <w:tc>
          <w:tcPr>
            <w:tcW w:type="dxa" w:w="680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CC</w:t>
            </w:r>
          </w:p>
        </w:tc>
        <w:tc>
          <w:tcPr>
            <w:tcW w:type="dxa" w:w="794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Связ.</w:t>
            </w:r>
          </w:p>
        </w:tc>
        <w:tc>
          <w:tcPr>
            <w:tcW w:type="dxa" w:w="680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DIT</w:t>
            </w:r>
          </w:p>
        </w:tc>
        <w:tc>
          <w:tcPr>
            <w:tcW w:type="dxa" w:w="850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MI</w:t>
            </w:r>
          </w:p>
        </w:tc>
        <w:tc>
          <w:tcPr>
            <w:tcW w:type="dxa" w:w="1134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Зона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__init__.py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99,9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cli.py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105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30,3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demo.py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111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50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11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28,9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description.py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88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57,5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domain/__init__.py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58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41,4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domain/enums.py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70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40,0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domain/equipment.py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166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37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28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23,7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domain/errors.py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33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51,1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domain/fine.py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61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38,9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domain/issue.py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86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25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13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33,6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domain/notification.py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54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41,2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domain/people.py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195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42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31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21,0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domain/request.py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109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17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29,5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fines.py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140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34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24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25,6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issues.py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121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45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15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15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27,9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main.py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34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47,7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notifications.py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63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36,6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permissions.py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25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52,5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pricing.py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161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44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27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23,3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registry.py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107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27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29,0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reports.py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122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23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26,6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repository.py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84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18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33,5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requests.py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135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46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23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25,6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serialization/__init__.py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44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45,2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serialization/equipment.py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46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41,4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serialization/persons.py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99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25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29,9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serialization/rental.py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120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17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27,1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serialization/state.py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67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21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17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34,0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19"/>
              </w:rPr>
              <w:t>service.py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151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34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25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68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19"/>
              </w:rPr>
              <w:t>23,8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19"/>
              </w:rPr>
              <w:t>зелёная</w:t>
            </w:r>
          </w:p>
        </w:tc>
      </w:tr>
    </w:tbl>
    <w:p>
      <w:pPr>
        <w:spacing w:after="0"/>
      </w:pPr>
    </w:p>
    <w:p>
      <w:pPr>
        <w:spacing w:before="12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Сопоставление ключевых методов, которые нарушали порог в черновике, показано в таблице 13. Сложность снизилась за счёт выделения правил и сценариев: каждый метод теперь отвечает за одну операцию.</w:t>
      </w:r>
    </w:p>
    <w:p>
      <w:pPr>
        <w:keepNext/>
        <w:spacing w:before="160" w:after="80"/>
        <w:ind w:firstLine="0"/>
        <w:jc w:val="left"/>
      </w:pPr>
      <w:r>
        <w:rPr>
          <w:rFonts w:ascii="Times New Roman" w:hAnsi="Times New Roman"/>
          <w:i/>
          <w:sz w:val="24"/>
        </w:rPr>
        <w:t>Таблица 13 — Цикломатическая сложность ключевых методов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2381"/>
        <w:gridCol w:w="2438"/>
      </w:tblGrid>
      <w:tr>
        <w:trPr>
          <w:tblHeader w:val="true"/>
        </w:trPr>
        <w:tc>
          <w:tcPr>
            <w:tcW w:type="dxa" w:w="4535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Операция</w:t>
            </w:r>
          </w:p>
        </w:tc>
        <w:tc>
          <w:tcPr>
            <w:tcW w:type="dxa" w:w="2381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CC в черновике</w:t>
            </w:r>
          </w:p>
        </w:tc>
        <w:tc>
          <w:tcPr>
            <w:tcW w:type="dxa" w:w="2438"/>
            <w:shd w:val="clear" w:color="auto" w:fill="E8EDF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CC в итоговой версии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Расчёт стоимости аренды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Создание заявки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21"/>
              </w:rPr>
              <w:t>11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Выдача техники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Возврат техники со штрафами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21"/>
              </w:rPr>
              <w:t>16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Построение отчёта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21"/>
              </w:rPr>
              <w:t>11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/>
                <w:sz w:val="21"/>
              </w:rPr>
              <w:t>2</w:t>
            </w:r>
          </w:p>
        </w:tc>
      </w:tr>
    </w:tbl>
    <w:p>
      <w:pPr>
        <w:spacing w:after="0"/>
      </w:pPr>
    </w:p>
    <w:p>
      <w:pPr>
        <w:spacing w:before="12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Остаточные ограничения: метод RentalReport.statistics имеет CC = 9 (близко к порогу) и может быть разделён на два метода; функция state_from_dict имеет CC = 8 и MI 51,9 — её планируется упростить за счёт фабрик по видам объектов. Эти задачи зафиксированы как план версии 2.1.</w:t>
      </w:r>
    </w:p>
    <w:p>
      <w:pPr>
        <w:keepNext/>
        <w:spacing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8. ВЫВОДЫ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лабораторной работы: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/>
          <w:sz w:val="28"/>
        </w:rPr>
        <w:t>– освоены метрики программного кода (MI, CC, DIT, Class Coupling, SLOC, Executable Lines, Halstead Volume) и правила их пороговой проверки CA1501/CA1502/CA1505/CA1506;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/>
          <w:sz w:val="28"/>
        </w:rPr>
        <w:t>– для Python-проекта реализован анализатор метрик, повторяющий формулы Visual Studio и формат отчёта Metrics.exe, с настраиваемыми порогами в файле CodeMetricsConfig.txt;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/>
          <w:sz w:val="28"/>
        </w:rPr>
        <w:t>– измерения выполнены для трёх состояний проекта (v1.0, v2.0-черновик, v2.0-итог), что позволило отделить «естественный» рост сложности при добавлении функциональности от деградации архитектуры;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/>
          <w:sz w:val="28"/>
        </w:rPr>
        <w:t>– по результатам анализа проведён рефакторинг: бизнес-правила вынесены в правила (скидки, штрафы), сценарии — в отдельные классы, монолитные модули разбиты, строковые статусы заменены перечислениями, иерархия наследования уплощена;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/>
          <w:sz w:val="28"/>
        </w:rPr>
        <w:t>– метрики перестроены после оптимизации: нарушений порогов стало 0 вместо 6, максимальная CC метода снизилась с 16 до 9, минимальный MI модуля вырос с 3,1 до 21,0, все 29 модулей находятся в зелёной зоне;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/>
          <w:sz w:val="28"/>
        </w:rPr>
        <w:t>– подтверждено, что метрики полезны как инструмент поиска проблемных мест, но требуют интерпретации: MI чувствителен к размеру файла, а Class Coupling не учитывает связанность через строковые константы — поэтому метрики использовались вместе с анализом кода и тестами.</w:t>
      </w:r>
    </w:p>
    <w:p>
      <w:pPr>
        <w:spacing w:before="12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Практический результат работы — не только отчёт, но и работающая версия 2.0 проекта: 56 модульных тестов, интерфейс командной строки, JSON-хранилище и обновлённая документация Doxygen.</w:t>
      </w:r>
    </w:p>
    <w:p>
      <w:pPr>
        <w:keepNext/>
        <w:spacing w:before="360" w:after="160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/>
        <w:ind w:left="0" w:firstLine="709"/>
        <w:jc w:val="both"/>
      </w:pPr>
      <w:r>
        <w:rPr>
          <w:rFonts w:ascii="Times New Roman" w:hAnsi="Times New Roman"/>
          <w:sz w:val="24"/>
        </w:rPr>
        <w:t>1. Методические указания к лабораторной работе №3 «Метрики программного кода» по дисциплине «Технологии разработки программного обеспечения». — М.: НИУ ВШЭ, 2023.</w:t>
      </w:r>
    </w:p>
    <w:p>
      <w:pPr>
        <w:spacing w:line="360" w:lineRule="auto"/>
        <w:ind w:left="0" w:firstLine="709"/>
        <w:jc w:val="both"/>
      </w:pPr>
      <w:r>
        <w:rPr>
          <w:rFonts w:ascii="Times New Roman" w:hAnsi="Times New Roman"/>
          <w:sz w:val="24"/>
        </w:rPr>
        <w:t>2. Значения метрик кода. Документация Microsoft. URL: https://learn.microsoft.com/ru-ru/visualstudio/code-quality/code-metrics-values</w:t>
      </w:r>
    </w:p>
    <w:p>
      <w:pPr>
        <w:spacing w:line="360" w:lineRule="auto"/>
        <w:ind w:left="0" w:firstLine="709"/>
        <w:jc w:val="both"/>
      </w:pPr>
      <w:r>
        <w:rPr>
          <w:rFonts w:ascii="Times New Roman" w:hAnsi="Times New Roman"/>
          <w:sz w:val="24"/>
        </w:rPr>
        <w:t>3. Правила метрик кода (CA1501, CA1502, CA1505, CA1506). Документация Microsoft. URL: https://learn.microsoft.com/ru-ru/dotnet/fundamentals/code-analysis/quality-rules/</w:t>
      </w:r>
    </w:p>
    <w:p>
      <w:pPr>
        <w:spacing w:line="360" w:lineRule="auto"/>
        <w:ind w:left="0" w:firstLine="709"/>
        <w:jc w:val="both"/>
      </w:pPr>
      <w:r>
        <w:rPr>
          <w:rFonts w:ascii="Times New Roman" w:hAnsi="Times New Roman"/>
          <w:sz w:val="24"/>
        </w:rPr>
        <w:t>4. Индекс удобства обслуживания (Maintainability Index): диапазон и значение. Документация Microsoft. URL: https://learn.microsoft.com/ru-ru/visualstudio/code-quality/code-metrics-maintainability-index-range-and-meaning</w:t>
      </w:r>
    </w:p>
    <w:p>
      <w:pPr>
        <w:spacing w:line="360" w:lineRule="auto"/>
        <w:ind w:left="0" w:firstLine="709"/>
        <w:jc w:val="both"/>
      </w:pPr>
      <w:r>
        <w:rPr>
          <w:rFonts w:ascii="Times New Roman" w:hAnsi="Times New Roman"/>
          <w:sz w:val="24"/>
        </w:rPr>
        <w:t>5. Halstead M. H. Elements of Software Science. — New York: Elsevier, 1977.</w:t>
      </w:r>
    </w:p>
    <w:p>
      <w:pPr>
        <w:spacing w:line="360" w:lineRule="auto"/>
        <w:ind w:left="0" w:firstLine="709"/>
        <w:jc w:val="both"/>
      </w:pPr>
      <w:r>
        <w:rPr>
          <w:rFonts w:ascii="Times New Roman" w:hAnsi="Times New Roman"/>
          <w:sz w:val="24"/>
        </w:rPr>
        <w:t>6. ГОСТ 19.402-78. Единая система программной документации. Описание программы.</w:t>
      </w:r>
    </w:p>
    <w:p>
      <w:pPr>
        <w:spacing w:line="360" w:lineRule="auto"/>
        <w:ind w:left="0" w:firstLine="709"/>
        <w:jc w:val="both"/>
      </w:pPr>
      <w:r>
        <w:rPr>
          <w:rFonts w:ascii="Times New Roman" w:hAnsi="Times New Roman"/>
          <w:sz w:val="24"/>
        </w:rPr>
        <w:t>7. Официальная документация Python (модули ast, tokenize). URL: https://docs.python.org/3/library/ast.html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