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418BC">
      <w:pPr>
        <w:rPr>
          <w:highlight w:val="none"/>
        </w:rPr>
      </w:pPr>
      <w:r>
        <w:t>单片机类</w:t>
      </w:r>
    </w:p>
    <w:p w14:paraId="43278EDA">
      <w:pPr>
        <w:rPr>
          <w:highlight w:val="none"/>
        </w:rPr>
      </w:pPr>
      <w:r>
        <w:rPr>
          <w:highlight w:val="none"/>
        </w:rPr>
        <w:t>8省赛1</w:t>
      </w:r>
    </w:p>
    <w:p w14:paraId="711840E7">
      <w:pPr>
        <w:rPr>
          <w:highlight w:val="none"/>
        </w:rPr>
      </w:pPr>
      <w:r>
        <w:drawing>
          <wp:inline distT="0" distB="0" distL="0" distR="0">
            <wp:extent cx="6645910" cy="11010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C58B">
      <w:pPr>
        <w:rPr>
          <w:highlight w:val="none"/>
        </w:rPr>
      </w:pPr>
      <w:r>
        <w:rPr>
          <w:highlight w:val="none"/>
        </w:rPr>
        <w:t>手册定时器区   有写定时器0                2^16=65536</w:t>
      </w:r>
    </w:p>
    <w:p w14:paraId="77B6E601">
      <w:pPr>
        <w:rPr>
          <w:highlight w:val="none"/>
        </w:rPr>
      </w:pPr>
      <w:r>
        <w:rPr>
          <w:highlight w:val="none"/>
        </w:rPr>
        <w:t>8省赛6</w:t>
      </w:r>
    </w:p>
    <w:p w14:paraId="094D6049">
      <w:pPr>
        <w:rPr>
          <w:highlight w:val="none"/>
        </w:rPr>
      </w:pPr>
      <w:r>
        <w:drawing>
          <wp:inline distT="0" distB="0" distL="0" distR="0">
            <wp:extent cx="6645910" cy="13430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3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4E84">
      <w:r>
        <w:rPr>
          <w:highlight w:val="none"/>
        </w:rPr>
        <w:t>手册中断结构图</w:t>
      </w:r>
    </w:p>
    <w:p w14:paraId="48A7FB0E">
      <w:pPr>
        <w:rPr>
          <w:highlight w:val="none"/>
        </w:rPr>
      </w:pPr>
      <w:r>
        <w:t>8省赛7</w:t>
      </w:r>
      <w:r>
        <w:drawing>
          <wp:inline distT="0" distB="0" distL="0" distR="0">
            <wp:extent cx="6645910" cy="11137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9A3C">
      <w:pPr>
        <w:rPr>
          <w:highlight w:val="none"/>
        </w:rPr>
      </w:pPr>
      <w:r>
        <w:rPr>
          <w:highlight w:val="none"/>
        </w:rPr>
        <w:t>存储器扩充 P0地址L+数据  P2地址H</w:t>
      </w:r>
    </w:p>
    <w:p w14:paraId="42BEC149">
      <w:pPr>
        <w:rPr>
          <w:highlight w:val="none"/>
        </w:rPr>
      </w:pPr>
      <w:r>
        <w:rPr>
          <w:highlight w:val="none"/>
        </w:rPr>
        <w:t>8省赛8</w:t>
      </w:r>
    </w:p>
    <w:p w14:paraId="0CA5704C">
      <w:pPr>
        <w:rPr>
          <w:highlight w:val="none"/>
        </w:rPr>
      </w:pPr>
      <w:r>
        <w:drawing>
          <wp:inline distT="0" distB="0" distL="0" distR="0">
            <wp:extent cx="6645910" cy="22117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2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1B33">
      <w:pPr>
        <w:rPr>
          <w:highlight w:val="none"/>
        </w:rPr>
      </w:pPr>
      <w:r>
        <w:rPr>
          <w:highlight w:val="none"/>
        </w:rPr>
        <w:t>0xff消影</w:t>
      </w:r>
    </w:p>
    <w:p w14:paraId="2A5DCA1B">
      <w:pPr>
        <w:rPr>
          <w:highlight w:val="none"/>
        </w:rPr>
      </w:pPr>
      <w:r>
        <w:rPr>
          <w:highlight w:val="none"/>
        </w:rPr>
        <w:t>8省赛10</w:t>
      </w:r>
    </w:p>
    <w:p w14:paraId="42988B54">
      <w:pPr>
        <w:rPr>
          <w:highlight w:val="none"/>
        </w:rPr>
      </w:pPr>
      <w:r>
        <w:drawing>
          <wp:inline distT="0" distB="0" distL="0" distR="0">
            <wp:extent cx="6645910" cy="14725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4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8F5">
      <w:pPr>
        <w:rPr>
          <w:highlight w:val="none"/>
        </w:rPr>
      </w:pPr>
      <w:r>
        <w:rPr>
          <w:highlight w:val="none"/>
        </w:rPr>
        <w:t>A-&gt;特殊寄存器复位值</w:t>
      </w:r>
    </w:p>
    <w:p w14:paraId="7ABABF6F">
      <w:pPr>
        <w:rPr>
          <w:highlight w:val="none"/>
        </w:rPr>
      </w:pPr>
      <w:r>
        <w:rPr>
          <w:highlight w:val="none"/>
        </w:rPr>
        <w:t>B-&gt;利用Pwm模式实现DAC</w:t>
      </w:r>
    </w:p>
    <w:p w14:paraId="668F2F55">
      <w:pPr>
        <w:rPr>
          <w:highlight w:val="none"/>
        </w:rPr>
      </w:pPr>
      <w:r>
        <w:rPr>
          <w:highlight w:val="none"/>
        </w:rPr>
        <w:t>C-&gt;时钟区有专门介绍</w:t>
      </w:r>
    </w:p>
    <w:p w14:paraId="4AA6B4AD">
      <w:pPr>
        <w:rPr>
          <w:highlight w:val="none"/>
        </w:rPr>
      </w:pPr>
      <w:r>
        <w:rPr>
          <w:highlight w:val="none"/>
        </w:rPr>
        <w:t>D-&gt;复位 掉电复位属于冷启动     还有热启动（软件复位 IAP_CONTR输入60H）</w:t>
      </w:r>
    </w:p>
    <w:p w14:paraId="71F020BB">
      <w:pPr>
        <w:rPr>
          <w:highlight w:val="none"/>
        </w:rPr>
      </w:pPr>
      <w:r>
        <w:rPr>
          <w:highlight w:val="none"/>
        </w:rPr>
        <w:t>10届2</w:t>
      </w:r>
    </w:p>
    <w:p w14:paraId="3D41220C">
      <w:pPr>
        <w:rPr>
          <w:highlight w:val="none"/>
        </w:rPr>
      </w:pPr>
      <w:r>
        <w:drawing>
          <wp:inline distT="0" distB="0" distL="0" distR="0">
            <wp:extent cx="6645910" cy="6927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6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8950">
      <w:pPr>
        <w:rPr>
          <w:highlight w:val="none"/>
        </w:rPr>
      </w:pPr>
      <w:r>
        <w:rPr>
          <w:highlight w:val="none"/>
        </w:rPr>
        <w:t>手册RAM</w:t>
      </w:r>
    </w:p>
    <w:p w14:paraId="43813A9E">
      <w:pPr>
        <w:rPr>
          <w:highlight w:val="none"/>
        </w:rPr>
      </w:pPr>
      <w:r>
        <w:rPr>
          <w:highlight w:val="none"/>
        </w:rPr>
        <w:t>10届3</w:t>
      </w:r>
    </w:p>
    <w:p w14:paraId="3197EFED">
      <w:pPr>
        <w:rPr>
          <w:highlight w:val="none"/>
        </w:rPr>
      </w:pPr>
      <w:r>
        <w:drawing>
          <wp:inline distT="0" distB="0" distL="0" distR="0">
            <wp:extent cx="6645910" cy="6343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63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5C69">
      <w:pPr>
        <w:rPr>
          <w:highlight w:val="none"/>
        </w:rPr>
      </w:pPr>
      <w:r>
        <w:rPr>
          <w:highlight w:val="none"/>
        </w:rPr>
        <w:t>定时器/计数器 现场查</w:t>
      </w:r>
    </w:p>
    <w:p w14:paraId="3ECA66D2">
      <w:pPr>
        <w:rPr>
          <w:highlight w:val="none"/>
        </w:rPr>
      </w:pPr>
      <w:r>
        <w:rPr>
          <w:highlight w:val="none"/>
        </w:rPr>
        <w:t>10届4</w:t>
      </w:r>
    </w:p>
    <w:p w14:paraId="4228987E">
      <w:pPr>
        <w:rPr>
          <w:highlight w:val="none"/>
        </w:rPr>
      </w:pPr>
      <w:r>
        <w:drawing>
          <wp:inline distT="0" distB="0" distL="0" distR="0">
            <wp:extent cx="6645910" cy="5270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5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8167">
      <w:pPr>
        <w:rPr>
          <w:highlight w:val="none"/>
        </w:rPr>
      </w:pPr>
      <w:r>
        <w:rPr>
          <w:highlight w:val="none"/>
        </w:rPr>
        <w:t>2^12x16    8x1024 8KB</w:t>
      </w:r>
    </w:p>
    <w:p w14:paraId="50EF69F2">
      <w:pPr>
        <w:rPr>
          <w:highlight w:val="none"/>
        </w:rPr>
      </w:pPr>
      <w:r>
        <w:rPr>
          <w:highlight w:val="none"/>
        </w:rPr>
        <w:t>10届6</w:t>
      </w:r>
    </w:p>
    <w:p w14:paraId="56ADB5F9">
      <w:pPr>
        <w:rPr>
          <w:highlight w:val="none"/>
        </w:rPr>
      </w:pPr>
      <w:r>
        <w:drawing>
          <wp:inline distT="0" distB="0" distL="0" distR="0">
            <wp:extent cx="6645910" cy="15081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0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30F2">
      <w:pPr>
        <w:rPr>
          <w:highlight w:val="none"/>
        </w:rPr>
      </w:pPr>
    </w:p>
    <w:p w14:paraId="5135271E">
      <w:pPr>
        <w:rPr>
          <w:highlight w:val="none"/>
        </w:rPr>
      </w:pPr>
    </w:p>
    <w:p w14:paraId="2E69DEAD">
      <w:pPr>
        <w:rPr>
          <w:highlight w:val="none"/>
        </w:rPr>
      </w:pPr>
      <w:r>
        <w:rPr>
          <w:highlight w:val="none"/>
        </w:rPr>
        <w:t>10届10</w:t>
      </w:r>
      <w:r>
        <w:drawing>
          <wp:inline distT="0" distB="0" distL="0" distR="0">
            <wp:extent cx="6645910" cy="1924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2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946">
      <w:pPr>
        <w:rPr>
          <w:highlight w:val="none"/>
        </w:rPr>
      </w:pPr>
      <w:r>
        <w:rPr>
          <w:highlight w:val="none"/>
        </w:rPr>
        <w:t>A-&gt;实现过</w:t>
      </w:r>
    </w:p>
    <w:p w14:paraId="45A5D90B">
      <w:pPr>
        <w:rPr>
          <w:highlight w:val="none"/>
        </w:rPr>
      </w:pPr>
      <w:r>
        <w:rPr>
          <w:highlight w:val="none"/>
        </w:rPr>
        <w:t>B-&gt;俩都可以</w:t>
      </w:r>
    </w:p>
    <w:p w14:paraId="3D5746D3">
      <w:pPr>
        <w:rPr>
          <w:highlight w:val="none"/>
        </w:rPr>
      </w:pPr>
      <w:r>
        <w:rPr>
          <w:highlight w:val="none"/>
        </w:rPr>
        <w:t>C-&gt;找iic.c代码</w:t>
      </w:r>
    </w:p>
    <w:p w14:paraId="52E9C354">
      <w:pPr>
        <w:rPr>
          <w:highlight w:val="none"/>
        </w:rPr>
      </w:pPr>
      <w:r>
        <w:rPr>
          <w:highlight w:val="none"/>
        </w:rPr>
        <w:t>D-&gt;都是单片机发命令</w:t>
      </w:r>
    </w:p>
    <w:p w14:paraId="792A1D2D">
      <w:pPr>
        <w:rPr>
          <w:highlight w:val="none"/>
        </w:rPr>
      </w:pPr>
      <w:r>
        <w:rPr>
          <w:highlight w:val="none"/>
        </w:rPr>
        <w:t>11届第二场2</w:t>
      </w:r>
    </w:p>
    <w:p w14:paraId="31C3EE34">
      <w:pPr>
        <w:rPr>
          <w:highlight w:val="none"/>
        </w:rPr>
      </w:pPr>
      <w:r>
        <w:drawing>
          <wp:inline distT="0" distB="0" distL="0" distR="0">
            <wp:extent cx="6645910" cy="113411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47BB">
      <w:pPr>
        <w:rPr>
          <w:highlight w:val="none"/>
        </w:rPr>
      </w:pPr>
      <w:r>
        <w:rPr>
          <w:highlight w:val="none"/>
        </w:rPr>
        <w:t>手册io口</w:t>
      </w:r>
    </w:p>
    <w:p w14:paraId="407AD6EF">
      <w:pPr>
        <w:rPr>
          <w:highlight w:val="none"/>
        </w:rPr>
      </w:pPr>
      <w:r>
        <w:drawing>
          <wp:inline distT="0" distB="0" distL="0" distR="0">
            <wp:extent cx="3764280" cy="41795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398" cy="417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C0C2">
      <w:pPr>
        <w:rPr>
          <w:highlight w:val="none"/>
        </w:rPr>
      </w:pPr>
      <w:r>
        <w:rPr>
          <w:highlight w:val="none"/>
        </w:rPr>
        <w:t>11届第二场4</w:t>
      </w:r>
    </w:p>
    <w:p w14:paraId="496C6AE8">
      <w:pPr>
        <w:rPr>
          <w:highlight w:val="none"/>
        </w:rPr>
      </w:pPr>
      <w:r>
        <w:drawing>
          <wp:inline distT="0" distB="0" distL="0" distR="0">
            <wp:extent cx="6645910" cy="9963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9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ABB6">
      <w:pPr>
        <w:rPr>
          <w:highlight w:val="none"/>
        </w:rPr>
      </w:pPr>
      <w:r>
        <w:rPr>
          <w:highlight w:val="none"/>
        </w:rPr>
        <w:t>特殊寄存器SFR 尾号0/8</w:t>
      </w:r>
    </w:p>
    <w:p w14:paraId="7947515F">
      <w:pPr>
        <w:rPr>
          <w:highlight w:val="none"/>
        </w:rPr>
      </w:pPr>
      <w:r>
        <w:rPr>
          <w:highlight w:val="none"/>
        </w:rPr>
        <w:t>11届第二场6</w:t>
      </w:r>
    </w:p>
    <w:p w14:paraId="02C86894">
      <w:pPr>
        <w:rPr>
          <w:highlight w:val="none"/>
        </w:rPr>
      </w:pPr>
      <w:r>
        <w:drawing>
          <wp:inline distT="0" distB="0" distL="0" distR="0">
            <wp:extent cx="6645910" cy="10744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07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3489">
      <w:pPr>
        <w:rPr>
          <w:highlight w:val="none"/>
        </w:rPr>
      </w:pPr>
      <w:r>
        <w:rPr>
          <w:highlight w:val="none"/>
        </w:rPr>
        <w:t>TR TimerReady</w:t>
      </w:r>
    </w:p>
    <w:p w14:paraId="3A48624F">
      <w:pPr>
        <w:rPr>
          <w:highlight w:val="none"/>
        </w:rPr>
      </w:pPr>
      <w:r>
        <w:rPr>
          <w:highlight w:val="none"/>
        </w:rPr>
        <w:t>11届第二场9</w:t>
      </w:r>
    </w:p>
    <w:p w14:paraId="7F66F484">
      <w:pPr>
        <w:rPr>
          <w:highlight w:val="none"/>
        </w:rPr>
      </w:pPr>
      <w:r>
        <w:drawing>
          <wp:inline distT="0" distB="0" distL="0" distR="0">
            <wp:extent cx="6645910" cy="17653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76DB">
      <w:pPr>
        <w:rPr>
          <w:highlight w:val="none"/>
        </w:rPr>
      </w:pPr>
      <w:r>
        <w:rPr>
          <w:highlight w:val="none"/>
        </w:rPr>
        <w:t>手册复位</w:t>
      </w:r>
    </w:p>
    <w:p w14:paraId="07DFAF9F">
      <w:pPr>
        <w:rPr>
          <w:highlight w:val="none"/>
        </w:rPr>
      </w:pPr>
      <w:r>
        <w:rPr>
          <w:highlight w:val="none"/>
        </w:rPr>
        <w:t>11届第二场10</w:t>
      </w:r>
    </w:p>
    <w:p w14:paraId="2FC6A886">
      <w:pPr>
        <w:rPr>
          <w:highlight w:val="none"/>
        </w:rPr>
      </w:pPr>
      <w:r>
        <w:drawing>
          <wp:inline distT="0" distB="0" distL="0" distR="0">
            <wp:extent cx="6645910" cy="18516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8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1BC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核心概念</w:t>
      </w:r>
      <w:r>
        <w:rPr>
          <w:rFonts w:ascii="Arial" w:hAnsi="Arial" w:eastAsia="Arial" w:cs="Arial"/>
          <w:color w:val="000000"/>
          <w:sz w:val="24"/>
        </w:rPr>
        <w:t>：全双工（Full-Duplex）通信的本质特征是</w:t>
      </w:r>
      <w:r>
        <w:rPr>
          <w:rFonts w:ascii="Arial" w:hAnsi="Arial" w:eastAsia="Arial" w:cs="Arial"/>
          <w:b/>
          <w:color w:val="000000"/>
          <w:sz w:val="24"/>
        </w:rPr>
        <w:t>数据的发送和接收可以同时进行</w:t>
      </w:r>
      <w:r>
        <w:rPr>
          <w:rFonts w:ascii="Arial" w:hAnsi="Arial" w:eastAsia="Arial" w:cs="Arial"/>
          <w:color w:val="000000"/>
          <w:sz w:val="24"/>
        </w:rPr>
        <w:t>，二者在物理通道或逻辑上相互独立，互不干扰。这是区分全双工与半双工、单工通信的关键。</w:t>
      </w:r>
    </w:p>
    <w:p w14:paraId="1ECBA319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选项逐一分析</w:t>
      </w:r>
    </w:p>
    <w:p w14:paraId="169FD3F4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A</w:t>
      </w:r>
      <w:r>
        <w:rPr>
          <w:rFonts w:ascii="Arial" w:hAnsi="Arial" w:eastAsia="Arial" w:cs="Arial"/>
          <w:color w:val="000000"/>
          <w:sz w:val="24"/>
        </w:rPr>
        <w:t>：有发送和接收引脚是单片机串行通信的硬件基础，半双工通信同样具备独立引脚（如 51 单片机的 TXD 和 RXD），但半双工无法同时收发，因此不能作为全双工的定义。</w:t>
      </w:r>
    </w:p>
    <w:p w14:paraId="0904C302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B</w:t>
      </w:r>
      <w:r>
        <w:rPr>
          <w:rFonts w:ascii="Arial" w:hAnsi="Arial" w:eastAsia="Arial" w:cs="Arial"/>
          <w:color w:val="000000"/>
          <w:sz w:val="24"/>
        </w:rPr>
        <w:t>：传输速度、启停位可编程是串行通信（UART）的通用配置特性，与通信双工模式无关，单工、半双工通信也支持该配置。</w:t>
      </w:r>
    </w:p>
    <w:p w14:paraId="3E4B2343">
      <w:pPr>
        <w:pStyle w:val="189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D</w:t>
      </w:r>
      <w:r>
        <w:rPr>
          <w:rFonts w:ascii="Arial" w:hAnsi="Arial" w:eastAsia="Arial" w:cs="Arial"/>
          <w:color w:val="000000"/>
          <w:sz w:val="24"/>
        </w:rPr>
        <w:t>：通信由主机发起是主从通信的协议特征，和双工模式无关联，全双工通信可用于对等通信场景，无需固定主机。</w:t>
      </w:r>
    </w:p>
    <w:p w14:paraId="0DDBB6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left="709" w:right="0" w:firstLine="0"/>
        <w:rPr>
          <w:rFonts w:ascii="Arial" w:hAnsi="Arial" w:eastAsia="Arial" w:cs="Arial"/>
          <w:sz w:val="24"/>
          <w:szCs w:val="24"/>
        </w:rPr>
      </w:pPr>
    </w:p>
    <w:p w14:paraId="135B6E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12届第一场</w:t>
      </w:r>
    </w:p>
    <w:p w14:paraId="293720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2522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43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left="709" w:right="0" w:firstLine="0"/>
        <w:rPr>
          <w:rFonts w:ascii="Arial" w:hAnsi="Arial" w:eastAsia="Arial" w:cs="Arial"/>
          <w:sz w:val="24"/>
          <w:szCs w:val="24"/>
        </w:rPr>
      </w:pPr>
    </w:p>
    <w:p w14:paraId="07E1A859">
      <w:pPr>
        <w:rPr>
          <w:highlight w:val="none"/>
        </w:rPr>
      </w:pPr>
      <w:r>
        <w:rPr>
          <w:highlight w:val="none"/>
        </w:rPr>
        <w:t>IE interrupt Enable</w:t>
      </w:r>
    </w:p>
    <w:p w14:paraId="776DD69C">
      <w:pPr>
        <w:rPr>
          <w:highlight w:val="none"/>
        </w:rPr>
      </w:pPr>
      <w:r>
        <w:drawing>
          <wp:inline distT="0" distB="0" distL="0" distR="0">
            <wp:extent cx="6645910" cy="10795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0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2B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Arial" w:hAnsi="Arial" w:eastAsia="Arial" w:cs="Arial"/>
          <w:color w:val="000000"/>
          <w:sz w:val="24"/>
        </w:rPr>
        <w:t>1. **核心概念**：波特率（Baud rate）是串口通信中描述**信号传输速率**的核心指标，它的定义是**每秒传输的码元符号数**，在二进制通信中，1个码元对应1个比特位，因此波特率的单位是**位/秒（bit/s，常写作 bps）**。</w:t>
      </w:r>
    </w:p>
    <w:p w14:paraId="758044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Arial" w:hAnsi="Arial" w:eastAsia="Arial" w:cs="Arial"/>
          <w:color w:val="000000"/>
          <w:sz w:val="24"/>
        </w:rPr>
        <w:t>2. **选项逐一分析**</w:t>
      </w:r>
    </w:p>
    <w:p w14:paraId="5376AE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Arial" w:hAnsi="Arial" w:eastAsia="Arial" w:cs="Arial"/>
          <w:color w:val="000000"/>
          <w:sz w:val="24"/>
        </w:rPr>
        <w:t xml:space="preserve">    - **A**：字节/秒（Byte/s）是描述**数据吞吐量**的单位，它和波特率的换算关系为：`数据速率(Byte/s) = 波特率(bps) / (每字节位数)`，并非波特率本身的单位。</w:t>
      </w:r>
    </w:p>
    <w:p w14:paraId="35CFF9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rFonts w:ascii="Arial" w:hAnsi="Arial" w:eastAsia="Arial" w:cs="Arial"/>
          <w:color w:val="000000"/>
          <w:sz w:val="24"/>
        </w:rPr>
        <w:t xml:space="preserve">    - **C**：帧/秒（Frame/s）是视频、图像传输领域的速率单位，与串口通信的波特率无关。</w:t>
      </w:r>
    </w:p>
    <w:p w14:paraId="2B836E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    - **D**：字/秒（Word/s）是计算机体系结构中描述数据块传输速率的单位，也不是波特率的单</w:t>
      </w:r>
      <w:r>
        <w:rPr>
          <w:rFonts w:ascii="Arial" w:hAnsi="Arial" w:eastAsia="Arial" w:cs="Arial"/>
          <w:sz w:val="24"/>
        </w:rPr>
        <w:t>位</w:t>
      </w:r>
    </w:p>
    <w:p w14:paraId="741E60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</w:p>
    <w:p w14:paraId="246F8D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7729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CDD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A在时钟区</w:t>
      </w:r>
    </w:p>
    <w:p w14:paraId="142F59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B在中断图</w:t>
      </w:r>
    </w:p>
    <w:p w14:paraId="1B3101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C串口通讯</w:t>
      </w:r>
    </w:p>
    <w:p w14:paraId="4291BA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DSRam 开头介绍5-35Mhz</w:t>
      </w:r>
    </w:p>
    <w:p w14:paraId="57E715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5779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9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手册750页套公式 10bit/8bit两种答案</w:t>
      </w:r>
    </w:p>
    <w:p w14:paraId="1D673A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11届国赛</w:t>
      </w:r>
    </w:p>
    <w:p w14:paraId="37FD17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96710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9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101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9239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92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290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86118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86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8C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RS232接口</w:t>
      </w:r>
    </w:p>
    <w:p w14:paraId="3B5B06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15951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A8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20078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2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CE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12届国赛</w:t>
      </w:r>
    </w:p>
    <w:p w14:paraId="0F19D5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2255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22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DA6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78H-120</w:t>
      </w:r>
    </w:p>
    <w:p w14:paraId="418E4F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ECH-236</w:t>
      </w:r>
    </w:p>
    <w:p w14:paraId="5010F3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81673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8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CC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中断优先级</w:t>
      </w:r>
    </w:p>
    <w:p w14:paraId="787039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6700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6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4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drawing>
          <wp:inline distT="0" distB="0" distL="0" distR="0">
            <wp:extent cx="6645910" cy="19018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0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9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A 5.5-3.8V</w:t>
      </w:r>
    </w:p>
    <w:p w14:paraId="092FB0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BIo区309页</w:t>
      </w:r>
    </w:p>
    <w:p w14:paraId="2059D6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C 有AD 没DAC</w:t>
      </w:r>
    </w:p>
    <w:p w14:paraId="3ED7A6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>D有串口</w:t>
      </w:r>
    </w:p>
    <w:p w14:paraId="5ED0C9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09728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09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90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rPr>
          <w:highlight w:val="none"/>
        </w:rPr>
        <w:t>手册UART区有     15系列没有独立的波特率发生器</w:t>
      </w:r>
    </w:p>
    <w:p w14:paraId="7E1940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18935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97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声压</w:t>
      </w:r>
    </w:p>
    <w:p w14:paraId="36340D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1728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69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P2    0100      P42翻转了</w:t>
      </w:r>
    </w:p>
    <w:p w14:paraId="7E038E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09093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0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2D9D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A. USB</w:t>
      </w:r>
      <w:r>
        <w:rPr>
          <w:rFonts w:ascii="Arial" w:hAnsi="Arial" w:eastAsia="Arial" w:cs="Arial"/>
          <w:color w:val="000000"/>
          <w:sz w:val="24"/>
        </w:rPr>
        <w:t>：采用差分信号传输（D+、D- 两根线），抗干扰能力强，适合高速数据传输。</w:t>
      </w:r>
    </w:p>
    <w:p w14:paraId="33761E19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B. RS232</w:t>
      </w:r>
      <w:r>
        <w:rPr>
          <w:rFonts w:ascii="Arial" w:hAnsi="Arial" w:eastAsia="Arial" w:cs="Arial"/>
          <w:color w:val="000000"/>
          <w:sz w:val="24"/>
        </w:rPr>
        <w:t>：采用单端非平衡传输，以对地电压表示逻辑电平，抗干扰能力弱，传输距离较短。</w:t>
      </w:r>
    </w:p>
    <w:p w14:paraId="36703146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C. RS485</w:t>
      </w:r>
      <w:r>
        <w:rPr>
          <w:rFonts w:ascii="Arial" w:hAnsi="Arial" w:eastAsia="Arial" w:cs="Arial"/>
          <w:color w:val="000000"/>
          <w:sz w:val="24"/>
        </w:rPr>
        <w:t>：典型的差分传输标准（A、B 两根线），通过两根线的电压差来表示信号，抗干扰能力强，适合远距离、多节点通信。</w:t>
      </w:r>
    </w:p>
    <w:p w14:paraId="124CDE2E">
      <w:pPr>
        <w:pStyle w:val="189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after="0" w:line="360" w:lineRule="atLeast"/>
        <w:ind w:right="0"/>
      </w:pPr>
      <w:r>
        <w:rPr>
          <w:rFonts w:ascii="Arial" w:hAnsi="Arial" w:eastAsia="Arial" w:cs="Arial"/>
          <w:b/>
          <w:color w:val="000000"/>
          <w:sz w:val="24"/>
        </w:rPr>
        <w:t>D. 1-Wire</w:t>
      </w:r>
      <w:r>
        <w:rPr>
          <w:rFonts w:ascii="Arial" w:hAnsi="Arial" w:eastAsia="Arial" w:cs="Arial"/>
          <w:color w:val="000000"/>
          <w:sz w:val="24"/>
        </w:rPr>
        <w:t>：单总线协议，仅使用一根数据线（外加地线）进行半双工通信，属于单端传输，并非差分方式。</w:t>
      </w:r>
    </w:p>
    <w:p w14:paraId="0B13A4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ascii="Arial" w:hAnsi="Arial" w:eastAsia="Arial" w:cs="Arial"/>
          <w:sz w:val="24"/>
          <w:szCs w:val="24"/>
        </w:rPr>
      </w:pPr>
    </w:p>
    <w:p w14:paraId="1E73C9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24599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4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5D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全双工—同时发送和接收且互不影响</w:t>
      </w:r>
    </w:p>
    <w:p w14:paraId="72FD12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并非需要两条线</w:t>
      </w:r>
    </w:p>
    <w:p w14:paraId="03A8D1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222821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2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14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A  IO区</w:t>
      </w:r>
    </w:p>
    <w:p w14:paraId="46CCEB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B指令系统 寻址方式</w:t>
      </w:r>
    </w:p>
    <w:p w14:paraId="0D8FFD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C复位</w:t>
      </w:r>
    </w:p>
    <w:p w14:paraId="12E566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DAD转换 8个通道 最高10位精度</w:t>
      </w:r>
    </w:p>
    <w:p w14:paraId="7731A1D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10届省赛</w:t>
      </w:r>
    </w:p>
    <w:p w14:paraId="613B8C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407785" cy="343090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8299" cy="343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2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fldChar w:fldCharType="begin"/>
      </w:r>
      <w:r>
        <w:instrText xml:space="preserve"> HYPERLINK "https://www.bilibili.com/video/BV1fv411h7KL?spm_id_from=333.788.player.switch&amp;vd_source=140ed101cee13b4e56929b18879f0e60&amp;p=12" \o "https://www.bilibili.com/video/BV1fv411h7KL?spm_id_from=333.788.player.switch&amp;vd_source=140ed101cee13b4e56929b18879f0e60&amp;p=12" </w:instrText>
      </w:r>
      <w:r>
        <w:fldChar w:fldCharType="separate"/>
      </w:r>
      <w:r>
        <w:rPr>
          <w:rStyle w:val="35"/>
          <w:rFonts w:ascii="Times New Roman" w:hAnsi="Times New Roman" w:eastAsia="Times New Roman" w:cs="Times New Roman"/>
          <w:color w:val="0000EE"/>
          <w:sz w:val="24"/>
          <w:u w:val="single"/>
        </w:rPr>
        <w:t>第4章 《电路与模拟电子技术》（第1部分）运算放大器（第4节）2019年第10届真题解析_哔哩哔哩_bilibili</w:t>
      </w:r>
      <w:r>
        <w:rPr>
          <w:rStyle w:val="35"/>
          <w:rFonts w:ascii="Times New Roman" w:hAnsi="Times New Roman" w:eastAsia="Times New Roman" w:cs="Times New Roman"/>
          <w:color w:val="0000EE"/>
          <w:sz w:val="24"/>
          <w:u w:val="single"/>
        </w:rPr>
        <w:fldChar w:fldCharType="end"/>
      </w:r>
    </w:p>
    <w:p w14:paraId="0D59A5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4176395" cy="211772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6728" cy="21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9BD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12届省赛第二场</w:t>
      </w:r>
    </w:p>
    <w:p w14:paraId="6FFC7E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4968240" cy="260096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07" cy="26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48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fldChar w:fldCharType="begin"/>
      </w:r>
      <w:r>
        <w:instrText xml:space="preserve"> HYPERLINK "https://www.bilibili.com/video/BV1fv411h7KL?spm_id_from=333.788.player.switch&amp;vd_source=140ed101cee13b4e56929b18879f0e60&amp;p=13" \o "https://www.bilibili.com/video/BV1fv411h7KL?spm_id_from=333.788.player.switch&amp;vd_source=140ed101cee13b4e56929b18879f0e60&amp;p=13" </w:instrText>
      </w:r>
      <w:r>
        <w:fldChar w:fldCharType="separate"/>
      </w:r>
      <w:r>
        <w:rPr>
          <w:rStyle w:val="35"/>
          <w:rFonts w:ascii="Times New Roman" w:hAnsi="Times New Roman" w:eastAsia="Times New Roman" w:cs="Times New Roman"/>
          <w:color w:val="0000EE"/>
          <w:sz w:val="24"/>
          <w:u w:val="single"/>
        </w:rPr>
        <w:t>第4章 《电路与模拟电子技术》（第1部分）运算放大器类-真题模拟题解析（第9节）2021年第12届省赛第二场真题_哔哩哔哩_bilibili</w:t>
      </w:r>
      <w:r>
        <w:rPr>
          <w:rStyle w:val="35"/>
          <w:rFonts w:ascii="Times New Roman" w:hAnsi="Times New Roman" w:eastAsia="Times New Roman" w:cs="Times New Roman"/>
          <w:color w:val="0000EE"/>
          <w:sz w:val="24"/>
          <w:u w:val="single"/>
        </w:rPr>
        <w:fldChar w:fldCharType="end"/>
      </w:r>
    </w:p>
    <w:p w14:paraId="4D3488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324739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2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11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 xml:space="preserve"> 第9届</w:t>
      </w:r>
    </w:p>
    <w:p w14:paraId="08398A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53797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CA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模电</w:t>
      </w:r>
    </w:p>
    <w:p w14:paraId="17F46A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19189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6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模电 硬背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4674"/>
      </w:tblGrid>
      <w:tr w14:paraId="36BDB9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C4E62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电路类型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33386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输入电阻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D326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输出电阻</w:t>
            </w:r>
          </w:p>
        </w:tc>
        <w:tc>
          <w:tcPr>
            <w:tcW w:w="46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A067A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适合场景</w:t>
            </w:r>
          </w:p>
        </w:tc>
      </w:tr>
      <w:tr w14:paraId="3EF61CD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D903F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共射电路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C15FA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中等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76682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中等</w:t>
            </w:r>
          </w:p>
        </w:tc>
        <w:tc>
          <w:tcPr>
            <w:tcW w:w="46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4BD2D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通用电压放大</w:t>
            </w:r>
          </w:p>
        </w:tc>
      </w:tr>
      <w:tr w14:paraId="02127E5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70F2E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共基电路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DFD7D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小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70531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大</w:t>
            </w:r>
          </w:p>
        </w:tc>
        <w:tc>
          <w:tcPr>
            <w:tcW w:w="46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8D1B5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高频、宽频带放大</w:t>
            </w:r>
          </w:p>
        </w:tc>
      </w:tr>
      <w:tr w14:paraId="658F2A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B0B97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共集电路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60C98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大</w:t>
            </w:r>
          </w:p>
        </w:tc>
        <w:tc>
          <w:tcPr>
            <w:tcW w:w="15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C47A9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小</w:t>
            </w:r>
          </w:p>
        </w:tc>
        <w:tc>
          <w:tcPr>
            <w:tcW w:w="46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DD556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阻抗变换、缓冲、驱动低阻负载</w:t>
            </w:r>
          </w:p>
        </w:tc>
      </w:tr>
    </w:tbl>
    <w:p w14:paraId="6B7C10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p w14:paraId="754719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11届第二场</w:t>
      </w:r>
    </w:p>
    <w:p w14:paraId="582D4A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223583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2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307276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0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22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AC正确答案</w:t>
      </w:r>
    </w:p>
    <w:p w14:paraId="457DD2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12届第一场</w:t>
      </w:r>
    </w:p>
    <w:p w14:paraId="1884F3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144081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44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DE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开环——无反馈</w:t>
      </w:r>
    </w:p>
    <w:p w14:paraId="6BCF66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drawing>
          <wp:inline distT="0" distB="0" distL="0" distR="0">
            <wp:extent cx="6645910" cy="208153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0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87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highlight w:val="none"/>
        </w:rPr>
      </w:pPr>
      <w:r>
        <w:rPr>
          <w:highlight w:val="none"/>
        </w:rPr>
        <w:t>对数</w:t>
      </w:r>
    </w:p>
    <w:p w14:paraId="35AA8B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39407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39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9E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13届第一场</w:t>
      </w:r>
    </w:p>
    <w:p w14:paraId="2E7EB6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31025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3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301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88976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8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7B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第10届国赛</w:t>
      </w:r>
    </w:p>
    <w:p w14:paraId="13355E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61607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6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01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10299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1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01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逻辑代数基础</w:t>
      </w:r>
    </w:p>
    <w:p w14:paraId="1B9C76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54838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5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B7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</w:p>
    <w:p w14:paraId="71C809C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12届第一场</w:t>
      </w:r>
    </w:p>
    <w:p w14:paraId="721F8F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48869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4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CF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99453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6A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逻辑运算只有 真1和假0  </w:t>
      </w:r>
    </w:p>
    <w:p w14:paraId="58D3A5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D C或真=真</w:t>
      </w:r>
    </w:p>
    <w:p w14:paraId="4D1509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64655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6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76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译码器 2^4=16</w:t>
      </w:r>
    </w:p>
    <w:p w14:paraId="7885BCA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4290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4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7D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0000-1111    0-F需要4个触发器砍断不同状态</w:t>
      </w:r>
    </w:p>
    <w:p w14:paraId="19EA18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11届国赛</w:t>
      </w:r>
    </w:p>
    <w:p w14:paraId="78E347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78117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16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62902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62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69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233870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233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0E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时序逻辑电路</w:t>
      </w:r>
    </w:p>
    <w:p w14:paraId="62A661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59600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5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08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11届第二场</w:t>
      </w:r>
    </w:p>
    <w:p w14:paraId="66A2AA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9113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9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2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374586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7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BC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第8届国赛</w:t>
      </w:r>
    </w:p>
    <w:p w14:paraId="09512F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6645910" cy="149542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49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F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rPr>
          <w:b/>
          <w:bCs/>
          <w:highlight w:val="none"/>
        </w:rPr>
        <w:t>13届省赛第一场</w:t>
      </w:r>
    </w:p>
    <w:p w14:paraId="61F354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b/>
          <w:bCs/>
          <w:highlight w:val="none"/>
        </w:rPr>
      </w:pPr>
      <w:r>
        <w:drawing>
          <wp:inline distT="0" distB="0" distL="0" distR="0">
            <wp:extent cx="5416550" cy="144970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16837" cy="14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5D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0" distR="0">
            <wp:extent cx="6645910" cy="158877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94E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42FD70A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第8届</w:t>
      </w:r>
    </w:p>
    <w:p w14:paraId="3F4DEFC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6636385" cy="3624580"/>
            <wp:effectExtent l="0" t="0" r="5715" b="7620"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78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33845" cy="3658870"/>
            <wp:effectExtent l="0" t="0" r="8255" b="11430"/>
            <wp:docPr id="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82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第8届国赛</w:t>
      </w:r>
    </w:p>
    <w:p w14:paraId="18F2EA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5610225" cy="2334260"/>
            <wp:effectExtent l="0" t="0" r="3175" b="2540"/>
            <wp:docPr id="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51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第一个空AC</w:t>
      </w:r>
    </w:p>
    <w:p w14:paraId="738656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第二个空D</w:t>
      </w:r>
    </w:p>
    <w:p w14:paraId="74C8AA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40830" cy="1445260"/>
            <wp:effectExtent l="0" t="0" r="1270" b="2540"/>
            <wp:docPr id="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90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/>
          <w:lang w:val="en-US" w:eastAsia="zh-CN"/>
        </w:rPr>
      </w:pPr>
    </w:p>
    <w:p w14:paraId="276CF8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0000H-FFFFH 0-65535</w:t>
      </w:r>
    </w:p>
    <w:p w14:paraId="563655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第9届</w:t>
      </w:r>
    </w:p>
    <w:p w14:paraId="366FEBB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5593715" cy="2515870"/>
            <wp:effectExtent l="0" t="0" r="6985" b="11430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AD2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33845" cy="3801110"/>
            <wp:effectExtent l="0" t="0" r="8255" b="8890"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04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常用头文件</w:t>
      </w:r>
    </w:p>
    <w:p w14:paraId="7E82F0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36385" cy="1487805"/>
            <wp:effectExtent l="0" t="0" r="5715" b="10795"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D1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42735" cy="1455420"/>
            <wp:effectExtent l="0" t="0" r="12065" b="5080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48F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结构体</w:t>
      </w:r>
    </w:p>
    <w:p w14:paraId="7535CE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26225" cy="3064510"/>
            <wp:effectExtent l="0" t="0" r="3175" b="8890"/>
            <wp:docPr id="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D3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686425" cy="1895475"/>
            <wp:effectExtent l="0" t="0" r="3175" b="9525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B9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</w:p>
    <w:p w14:paraId="3A95AF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Data最快</w:t>
      </w:r>
    </w:p>
    <w:p w14:paraId="3EF625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13届模拟1</w:t>
      </w:r>
    </w:p>
    <w:p w14:paraId="0408185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37655" cy="1875790"/>
            <wp:effectExtent l="0" t="0" r="4445" b="3810"/>
            <wp:docPr id="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69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手册可以查到</w:t>
      </w:r>
    </w:p>
    <w:p w14:paraId="02863C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35750" cy="2145030"/>
            <wp:effectExtent l="0" t="0" r="6350" b="1270"/>
            <wp:docPr id="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2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A. 与非门</w:t>
      </w:r>
      <w:r>
        <w:rPr>
          <w:color w:val="000000"/>
          <w:sz w:val="16"/>
          <w:szCs w:val="16"/>
          <w:bdr w:val="none" w:color="auto" w:sz="0" w:space="0"/>
        </w:rPr>
        <w:t>：逻辑门，只能实现单向逻辑运算，无双向传输能力。</w:t>
      </w:r>
    </w:p>
    <w:p w14:paraId="28CA5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B. 或非门</w:t>
      </w:r>
      <w:r>
        <w:rPr>
          <w:color w:val="000000"/>
          <w:sz w:val="16"/>
          <w:szCs w:val="16"/>
          <w:bdr w:val="none" w:color="auto" w:sz="0" w:space="0"/>
        </w:rPr>
        <w:t>：逻辑门，仅单向输出，不支持双向数据传输。</w:t>
      </w:r>
    </w:p>
    <w:p w14:paraId="7692B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C. 同或门</w:t>
      </w:r>
      <w:r>
        <w:rPr>
          <w:color w:val="000000"/>
          <w:sz w:val="16"/>
          <w:szCs w:val="16"/>
          <w:bdr w:val="none" w:color="auto" w:sz="0" w:space="0"/>
        </w:rPr>
        <w:t>：逻辑门，用于比较输入是否相同，为单向输出结构。</w:t>
      </w:r>
    </w:p>
    <w:p w14:paraId="0F837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D. 三态门</w:t>
      </w:r>
      <w:r>
        <w:rPr>
          <w:color w:val="000000"/>
          <w:sz w:val="16"/>
          <w:szCs w:val="16"/>
          <w:bdr w:val="none" w:color="auto" w:sz="0" w:space="0"/>
        </w:rPr>
        <w:t>：具有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高电平、低电平、高阻态</w:t>
      </w:r>
      <w:r>
        <w:rPr>
          <w:color w:val="000000"/>
          <w:sz w:val="16"/>
          <w:szCs w:val="16"/>
          <w:bdr w:val="none" w:color="auto" w:sz="0" w:space="0"/>
        </w:rPr>
        <w:t>三种输出状态。当处于高阻态时，输出端与总线断开，允许多个设备共享同一总线并实现</w:t>
      </w:r>
      <w:r>
        <w:rPr>
          <w:rStyle w:val="31"/>
          <w:b/>
          <w:bCs/>
          <w:color w:val="000000"/>
          <w:sz w:val="16"/>
          <w:szCs w:val="16"/>
          <w:bdr w:val="none" w:color="auto" w:sz="0" w:space="0"/>
        </w:rPr>
        <w:t>双向数据收发</w:t>
      </w:r>
      <w:r>
        <w:rPr>
          <w:color w:val="000000"/>
          <w:sz w:val="16"/>
          <w:szCs w:val="16"/>
          <w:bdr w:val="none" w:color="auto" w:sz="0" w:space="0"/>
        </w:rPr>
        <w:t>，是实现双向数据传输的核心门电路。</w:t>
      </w:r>
    </w:p>
    <w:p w14:paraId="61A7CE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default"/>
          <w:lang w:val="en-US" w:eastAsia="zh-CN"/>
        </w:rPr>
      </w:pPr>
    </w:p>
    <w:p w14:paraId="520DEB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3860165" cy="2707005"/>
            <wp:effectExtent l="0" t="0" r="635" b="10795"/>
            <wp:docPr id="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B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default" w:asciiTheme="minorHAnsi" w:hAnsiTheme="minorHAnsi" w:eastAsiaTheme="minorHAnsi" w:cstheme="minorBidi"/>
          <w:color w:val="000000"/>
          <w:sz w:val="16"/>
          <w:szCs w:val="16"/>
          <w:lang w:val="zh-CN" w:eastAsia="en-US" w:bidi="ar-SA"/>
        </w:rPr>
      </w:pPr>
      <w:r>
        <w:rPr>
          <w:rFonts w:ascii="Symbol" w:hAnsi="Symbol" w:eastAsia="Symbol" w:cs="Symbol"/>
          <w:sz w:val="24"/>
          <w:szCs w:val="22"/>
          <w:lang w:val="zh-CN" w:eastAsia="en-US" w:bidi="ar-SA"/>
        </w:rPr>
        <w:t>·</w:t>
      </w:r>
      <w:r>
        <w:rPr>
          <w:rFonts w:hint="eastAsia"/>
          <w:sz w:val="24"/>
          <w:szCs w:val="22"/>
          <w:lang w:val="zh-CN" w:eastAsia="en-US" w:bidi="ar-SA"/>
        </w:rPr>
        <w:t xml:space="preserve">  </w:t>
      </w:r>
      <w:r>
        <w:rPr>
          <w:sz w:val="24"/>
          <w:szCs w:val="22"/>
          <w:lang w:val="zh-CN" w:eastAsia="en-US" w:bidi="ar-SA"/>
        </w:rPr>
        <w:t>A. 带阻滤波器：</w:t>
      </w:r>
      <w:r>
        <w:rPr>
          <w:sz w:val="16"/>
          <w:szCs w:val="16"/>
          <w:bdr w:val="none" w:color="auto" w:sz="0" w:space="0"/>
          <w:lang w:val="zh-CN" w:eastAsia="en-US" w:bidi="ar-SA"/>
        </w:rPr>
        <w:t>会抑制特定频段的信号，会将 40KHz 的有用信号滤除，不符合要求。</w:t>
      </w:r>
    </w:p>
    <w:p w14:paraId="26CDF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default" w:asciiTheme="minorHAnsi" w:hAnsiTheme="minorHAnsi" w:eastAsiaTheme="minorHAnsi" w:cstheme="minorBidi"/>
          <w:color w:val="000000"/>
          <w:sz w:val="16"/>
          <w:szCs w:val="16"/>
          <w:lang w:val="zh-CN" w:eastAsia="en-US" w:bidi="ar-SA"/>
        </w:rPr>
      </w:pPr>
      <w:r>
        <w:rPr>
          <w:rFonts w:hint="default" w:ascii="Symbol" w:hAnsi="Symbol" w:eastAsia="Symbol" w:cs="Symbol"/>
          <w:sz w:val="24"/>
          <w:szCs w:val="22"/>
          <w:lang w:val="zh-CN" w:eastAsia="en-US" w:bidi="ar-SA"/>
        </w:rPr>
        <w:t>·</w:t>
      </w:r>
      <w:r>
        <w:rPr>
          <w:rFonts w:hint="eastAsia"/>
          <w:sz w:val="24"/>
          <w:szCs w:val="22"/>
          <w:lang w:val="zh-CN" w:eastAsia="en-US" w:bidi="ar-SA"/>
        </w:rPr>
        <w:t xml:space="preserve">  </w:t>
      </w:r>
      <w:r>
        <w:rPr>
          <w:sz w:val="24"/>
          <w:szCs w:val="22"/>
          <w:lang w:val="zh-CN" w:eastAsia="en-US" w:bidi="ar-SA"/>
        </w:rPr>
        <w:t>B. 低通滤波器：</w:t>
      </w:r>
      <w:r>
        <w:rPr>
          <w:sz w:val="16"/>
          <w:szCs w:val="16"/>
          <w:bdr w:val="none" w:color="auto" w:sz="0" w:space="0"/>
          <w:lang w:val="zh-CN" w:eastAsia="en-US" w:bidi="ar-SA"/>
        </w:rPr>
        <w:t>仅允许低于某一截止频率的信号通过，若截止频率高于 40KHz 则会保留大量低频干扰，若低于则会直接滤除目标信号。</w:t>
      </w:r>
    </w:p>
    <w:p w14:paraId="0B75A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default" w:asciiTheme="minorHAnsi" w:hAnsiTheme="minorHAnsi" w:eastAsiaTheme="minorHAnsi" w:cstheme="minorBidi"/>
          <w:color w:val="000000"/>
          <w:sz w:val="16"/>
          <w:szCs w:val="16"/>
          <w:lang w:val="zh-CN" w:eastAsia="en-US" w:bidi="ar-SA"/>
        </w:rPr>
      </w:pPr>
      <w:r>
        <w:rPr>
          <w:rFonts w:hint="default" w:ascii="Symbol" w:hAnsi="Symbol" w:eastAsia="Symbol" w:cs="Symbol"/>
          <w:sz w:val="24"/>
          <w:szCs w:val="22"/>
          <w:lang w:val="zh-CN" w:eastAsia="en-US" w:bidi="ar-SA"/>
        </w:rPr>
        <w:t>·</w:t>
      </w:r>
      <w:r>
        <w:rPr>
          <w:rFonts w:hint="eastAsia"/>
          <w:sz w:val="24"/>
          <w:szCs w:val="22"/>
          <w:lang w:val="zh-CN" w:eastAsia="en-US" w:bidi="ar-SA"/>
        </w:rPr>
        <w:t xml:space="preserve">  </w:t>
      </w:r>
      <w:r>
        <w:rPr>
          <w:sz w:val="24"/>
          <w:szCs w:val="22"/>
          <w:lang w:val="zh-CN" w:eastAsia="en-US" w:bidi="ar-SA"/>
        </w:rPr>
        <w:t>C. 高通滤波器：</w:t>
      </w:r>
      <w:r>
        <w:rPr>
          <w:sz w:val="16"/>
          <w:szCs w:val="16"/>
          <w:bdr w:val="none" w:color="auto" w:sz="0" w:space="0"/>
          <w:lang w:val="zh-CN" w:eastAsia="en-US" w:bidi="ar-SA"/>
        </w:rPr>
        <w:t>仅允许高于某一截止频率的信号通过，会保留所有高于截止频率的干扰，无法精准提取 40KHz 信号。</w:t>
      </w:r>
    </w:p>
    <w:p w14:paraId="4F2B2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sz w:val="16"/>
          <w:szCs w:val="16"/>
          <w:bdr w:val="none" w:color="auto" w:sz="0" w:space="0"/>
          <w:lang w:val="zh-CN" w:eastAsia="en-US" w:bidi="ar-SA"/>
        </w:rPr>
      </w:pPr>
      <w:r>
        <w:rPr>
          <w:rFonts w:hint="default" w:ascii="Symbol" w:hAnsi="Symbol" w:eastAsia="Symbol" w:cs="Symbol"/>
          <w:sz w:val="24"/>
          <w:szCs w:val="22"/>
          <w:lang w:val="zh-CN" w:eastAsia="en-US" w:bidi="ar-SA"/>
        </w:rPr>
        <w:t>·</w:t>
      </w:r>
      <w:r>
        <w:rPr>
          <w:rFonts w:hint="eastAsia"/>
          <w:sz w:val="24"/>
          <w:szCs w:val="22"/>
          <w:lang w:val="zh-CN" w:eastAsia="en-US" w:bidi="ar-SA"/>
        </w:rPr>
        <w:t xml:space="preserve">  </w:t>
      </w:r>
      <w:r>
        <w:rPr>
          <w:sz w:val="24"/>
          <w:szCs w:val="22"/>
          <w:lang w:val="zh-CN" w:eastAsia="en-US" w:bidi="ar-SA"/>
        </w:rPr>
        <w:t>D. 带通滤波器：</w:t>
      </w:r>
      <w:r>
        <w:rPr>
          <w:sz w:val="16"/>
          <w:szCs w:val="16"/>
          <w:bdr w:val="none" w:color="auto" w:sz="0" w:space="0"/>
          <w:lang w:val="zh-CN" w:eastAsia="en-US" w:bidi="ar-SA"/>
        </w:rPr>
        <w:t>仅允许特定频段（包含 40KHz）的信号通过，能精准提取目标频率的有用信号，同时抑制频段外的噪声干扰，是固定频率信号处理的最优选择。</w:t>
      </w:r>
    </w:p>
    <w:tbl>
      <w:tblPr>
        <w:tblW w:w="506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3"/>
        <w:gridCol w:w="4068"/>
        <w:gridCol w:w="4709"/>
      </w:tblGrid>
      <w:tr w14:paraId="04CF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105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滤波器类型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799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21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1EB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典型应用场景</w:t>
            </w:r>
          </w:p>
        </w:tc>
      </w:tr>
      <w:tr w14:paraId="2E6C4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7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D9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保留低频，滤除高频</w:t>
            </w:r>
          </w:p>
        </w:tc>
        <w:tc>
          <w:tcPr>
            <w:tcW w:w="21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C9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电源纹波抑制、音频低频增强</w:t>
            </w:r>
          </w:p>
        </w:tc>
      </w:tr>
      <w:tr w14:paraId="0A799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D9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19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保留高频，滤除低频</w:t>
            </w:r>
          </w:p>
        </w:tc>
        <w:tc>
          <w:tcPr>
            <w:tcW w:w="21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79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信号耦合、去除直流漂移</w:t>
            </w:r>
          </w:p>
        </w:tc>
      </w:tr>
      <w:tr w14:paraId="0E8CB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DC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9E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保留特定频段，滤除其他</w:t>
            </w:r>
          </w:p>
        </w:tc>
        <w:tc>
          <w:tcPr>
            <w:tcW w:w="21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4C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固定频率通信、射频接收</w:t>
            </w:r>
          </w:p>
        </w:tc>
      </w:tr>
      <w:tr w14:paraId="7EC9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66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23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滤除特定频段，保留其他</w:t>
            </w:r>
          </w:p>
        </w:tc>
        <w:tc>
          <w:tcPr>
            <w:tcW w:w="21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0E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抗干扰（如滤除工频干扰）</w:t>
            </w:r>
          </w:p>
        </w:tc>
      </w:tr>
    </w:tbl>
    <w:p w14:paraId="289CF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</w:pPr>
      <w:r>
        <w:drawing>
          <wp:inline distT="0" distB="0" distL="114300" distR="114300">
            <wp:extent cx="6637020" cy="3832860"/>
            <wp:effectExtent l="0" t="0" r="5080" b="2540"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F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</w:pPr>
      <w:r>
        <w:drawing>
          <wp:inline distT="0" distB="0" distL="114300" distR="114300">
            <wp:extent cx="3221355" cy="2144395"/>
            <wp:effectExtent l="0" t="0" r="4445" b="1905"/>
            <wp:docPr id="7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8980" cy="1023620"/>
            <wp:effectExtent l="0" t="0" r="7620" b="5080"/>
            <wp:docPr id="8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1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</w:t>
      </w:r>
      <w:r>
        <w:drawing>
          <wp:inline distT="0" distB="0" distL="114300" distR="114300">
            <wp:extent cx="2874010" cy="711200"/>
            <wp:effectExtent l="0" t="0" r="8890" b="0"/>
            <wp:docPr id="8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A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default"/>
          <w:lang w:val="zh-CN" w:eastAsia="en-US"/>
        </w:rPr>
      </w:pPr>
    </w:p>
    <w:p w14:paraId="7327181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4730115" cy="2372995"/>
            <wp:effectExtent l="0" t="0" r="6985" b="1905"/>
            <wp:docPr id="8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71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40195" cy="5318760"/>
            <wp:effectExtent l="0" t="0" r="1905" b="2540"/>
            <wp:docPr id="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2F0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43370" cy="4277360"/>
            <wp:effectExtent l="0" t="0" r="11430" b="2540"/>
            <wp:docPr id="8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98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4598035" cy="3387725"/>
            <wp:effectExtent l="0" t="0" r="12065" b="3175"/>
            <wp:docPr id="8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F1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  <w:r>
        <w:drawing>
          <wp:inline distT="0" distB="0" distL="114300" distR="114300">
            <wp:extent cx="6640830" cy="3482975"/>
            <wp:effectExtent l="0" t="0" r="1270" b="9525"/>
            <wp:docPr id="8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54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5个字符+1个\0</w:t>
      </w:r>
    </w:p>
    <w:p w14:paraId="777F52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6640830" cy="3354070"/>
            <wp:effectExtent l="0" t="0" r="1270" b="11430"/>
            <wp:docPr id="8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22B9F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default" w:eastAsia="宋体"/>
          <w:lang w:val="en-US" w:eastAsia="zh-CN"/>
        </w:rPr>
      </w:pPr>
    </w:p>
    <w:p w14:paraId="6D0158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</w:pPr>
    </w:p>
    <w:p w14:paraId="228D82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0" w:right="0" w:firstLine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F0063"/>
    <w:multiLevelType w:val="multilevel"/>
    <w:tmpl w:val="260F0063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nsid w:val="723B530C"/>
    <w:multiLevelType w:val="multilevel"/>
    <w:tmpl w:val="723B530C"/>
    <w:lvl w:ilvl="0" w:tentative="0">
      <w:start w:val="1"/>
      <w:numFmt w:val="bullet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73793"/>
    <w:rsid w:val="0B5229BE"/>
    <w:rsid w:val="22D86BB8"/>
    <w:rsid w:val="296050F4"/>
    <w:rsid w:val="2AA76E09"/>
    <w:rsid w:val="2DAB617C"/>
    <w:rsid w:val="302B1693"/>
    <w:rsid w:val="303D7627"/>
    <w:rsid w:val="30C01DB3"/>
    <w:rsid w:val="344C308D"/>
    <w:rsid w:val="392B2AB6"/>
    <w:rsid w:val="392B54D9"/>
    <w:rsid w:val="3C67655A"/>
    <w:rsid w:val="3F8E51D3"/>
    <w:rsid w:val="3F9D458A"/>
    <w:rsid w:val="3FC91153"/>
    <w:rsid w:val="47D1745E"/>
    <w:rsid w:val="48B87C5F"/>
    <w:rsid w:val="4C862390"/>
    <w:rsid w:val="4DE70CF9"/>
    <w:rsid w:val="4E1A470D"/>
    <w:rsid w:val="599B6280"/>
    <w:rsid w:val="5FD73541"/>
    <w:rsid w:val="606328E9"/>
    <w:rsid w:val="654A3332"/>
    <w:rsid w:val="66384DD9"/>
    <w:rsid w:val="67AB7CBE"/>
    <w:rsid w:val="6E61565F"/>
    <w:rsid w:val="776B3C7C"/>
    <w:rsid w:val="7BE11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1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12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8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100"/>
    </w:pPr>
  </w:style>
  <w:style w:type="paragraph" w:styleId="20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1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26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table" w:styleId="29">
    <w:name w:val="Table Grid"/>
    <w:basedOn w:val="2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ndnote reference"/>
    <w:basedOn w:val="30"/>
    <w:semiHidden/>
    <w:unhideWhenUsed/>
    <w:qFormat/>
    <w:uiPriority w:val="99"/>
    <w:rPr>
      <w:vertAlign w:val="superscript"/>
    </w:rPr>
  </w:style>
  <w:style w:type="character" w:styleId="33">
    <w:name w:val="FollowedHyperlink"/>
    <w:basedOn w:val="3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Emphasis"/>
    <w:basedOn w:val="30"/>
    <w:qFormat/>
    <w:uiPriority w:val="20"/>
    <w:rPr>
      <w:i/>
      <w:iCs/>
    </w:rPr>
  </w:style>
  <w:style w:type="character" w:styleId="35">
    <w:name w:val="Hyperlink"/>
    <w:basedOn w:val="3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footnote reference"/>
    <w:basedOn w:val="30"/>
    <w:semiHidden/>
    <w:unhideWhenUsed/>
    <w:qFormat/>
    <w:uiPriority w:val="99"/>
    <w:rPr>
      <w:vertAlign w:val="superscript"/>
    </w:rPr>
  </w:style>
  <w:style w:type="table" w:customStyle="1" w:styleId="37">
    <w:name w:val="Table Grid Light"/>
    <w:basedOn w:val="28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28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2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28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28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28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28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28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28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28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28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28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28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28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28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28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28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28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28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28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1EB" w:themeColor="accent1" w:themeTint="75" w:fill="B3D1EB" w:themeFill="accent1" w:themeFillTint="75"/>
      </w:tcPr>
    </w:tblStylePr>
    <w:tblStylePr w:type="band2Vert">
      <w:tblPr/>
    </w:tblStylePr>
    <w:tblStylePr w:type="band1Horz">
      <w:tblPr/>
      <w:tcPr>
        <w:shd w:val="clear" w:color="B3D1EB" w:themeColor="accent1" w:themeTint="75" w:fill="B3D1EB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28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3" w:themeColor="accent5" w:themeTint="75" w:fill="A9BEE3" w:themeFill="accent5" w:themeFillTint="75"/>
      </w:tcPr>
    </w:tblStylePr>
    <w:tblStylePr w:type="band2Vert">
      <w:tblPr/>
    </w:tblStylePr>
    <w:tblStylePr w:type="band1Horz">
      <w:tblPr/>
      <w:tcPr>
        <w:shd w:val="clear" w:color="A9BEE3" w:themeColor="accent5" w:themeTint="75" w:fill="A9BEE3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28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28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28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28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28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28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28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28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28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28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2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28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28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/>
    </w:tblStylePr>
    <w:tblStylePr w:type="lastCol">
      <w:rPr>
        <w:b/>
        <w:color w:val="245B8C" w:themeColor="accent1" w:themeShade="94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28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28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28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28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30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30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30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30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30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30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30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30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30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30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30"/>
    <w:link w:val="21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30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30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30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30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3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30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30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30"/>
    <w:link w:val="18"/>
    <w:qFormat/>
    <w:uiPriority w:val="99"/>
  </w:style>
  <w:style w:type="character" w:customStyle="1" w:styleId="183">
    <w:name w:val="Footer Char"/>
    <w:basedOn w:val="30"/>
    <w:link w:val="17"/>
    <w:qFormat/>
    <w:uiPriority w:val="99"/>
  </w:style>
  <w:style w:type="character" w:customStyle="1" w:styleId="184">
    <w:name w:val="Footnote Text Char"/>
    <w:basedOn w:val="30"/>
    <w:link w:val="22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30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30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numbering" Target="numbering.xml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1349</Words>
  <Characters>1679</Characters>
  <TotalTime>0</TotalTime>
  <ScaleCrop>false</ScaleCrop>
  <LinksUpToDate>false</LinksUpToDate>
  <CharactersWithSpaces>1791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2026-03-01T02:56:38Z</dcterms:created>
  <dc:creator>朱健军</dc:creator>
  <cp:lastModifiedBy>朱健军</cp:lastModifiedBy>
  <dcterms:modified xsi:type="dcterms:W3CDTF">2026-03-01T06:19:28Z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eyJoZGlkIjoiZjUzMTgxMDA1ZGYxNzRmYTgwNzQyZThiMjFhYjMwOGUiLCJ1c2VySWQiOiIxNzI1NzY3NTMwIn0=</vt:lpwstr>
  </property>
  <property fmtid="{D5CDD505-2E9C-101B-9397-08002B2CF9AE}" pid="3" name="KSOProductBuildVer">
    <vt:lpwstr>2052-12.1.0.25225</vt:lpwstr>
  </property>
  <property fmtid="{D5CDD505-2E9C-101B-9397-08002B2CF9AE}" pid="4" name="ICV">
    <vt:lpwstr>1173753A81874CDEB02AF72741CEB5F6_12</vt:lpwstr>
  </property>
</Properties>
</file>