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Senior Analyst Role Criteria</w:t>
      </w:r>
    </w:p>
    <w:p>
      <w:r>
        <w:t>This synthetic DOCX describes intake clarity, evidence review, stakeholder communication, SQL analysis, and human-review guidance.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Focus area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Requirements clarity</w:t>
            </w:r>
          </w:p>
        </w:tc>
        <w:tc>
          <w:tcPr>
            <w:tcW w:type="dxa" w:w="4320"/>
          </w:tcPr>
          <w:p>
            <w:r>
              <w:t>Synthetic advisory workflow criteria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