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PCI</w:t>
      </w:r>
      <w:r>
        <w:t xml:space="preserve"> и </w:t>
      </w:r>
      <w:r w:rsidRPr="00661AC6">
        <w:t>PCI Express</w:t>
      </w:r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8D7DD8" w:rsidRPr="008D7DD8" w:rsidRDefault="008D7DD8" w:rsidP="008308DF">
      <w:pPr>
        <w:pStyle w:val="1408"/>
      </w:pPr>
      <w:r w:rsidRPr="008D7DD8">
        <w:t xml:space="preserve">Шина </w:t>
      </w:r>
      <w:r>
        <w:rPr>
          <w:lang w:val="en-US"/>
        </w:rPr>
        <w:t>PCI</w:t>
      </w:r>
      <w:r w:rsidRPr="008D7DD8">
        <w:t xml:space="preserve"> </w:t>
      </w:r>
      <w:r>
        <w:t xml:space="preserve">являлась промежуточной шиной между </w:t>
      </w:r>
      <w:r>
        <w:rPr>
          <w:lang w:val="en-US"/>
        </w:rPr>
        <w:t>ISA</w:t>
      </w:r>
      <w:r w:rsidRPr="008D7DD8">
        <w:t xml:space="preserve"> </w:t>
      </w:r>
      <w:r>
        <w:t xml:space="preserve">и </w:t>
      </w:r>
      <w:r w:rsidRPr="00661AC6">
        <w:t>PCI Express</w:t>
      </w:r>
      <w:r>
        <w:t xml:space="preserve">. С точки зрения программного управления шина </w:t>
      </w:r>
      <w:r w:rsidRPr="00661AC6">
        <w:t>PCI Express</w:t>
      </w:r>
      <w:r>
        <w:t xml:space="preserve"> полностью </w:t>
      </w:r>
      <w:r w:rsidRPr="008D7DD8">
        <w:t xml:space="preserve"> </w:t>
      </w:r>
      <w:r>
        <w:t xml:space="preserve">аналогична шине </w:t>
      </w:r>
      <w:r>
        <w:rPr>
          <w:lang w:val="en-US"/>
        </w:rPr>
        <w:t>PCI</w:t>
      </w:r>
      <w:r>
        <w:t xml:space="preserve">, однако, физическая реализация принципиально отличается. </w:t>
      </w:r>
      <w:r w:rsidRPr="008D7DD8">
        <w:t xml:space="preserve"> </w:t>
      </w:r>
    </w:p>
    <w:p w:rsidR="00751F63" w:rsidRPr="00807B36" w:rsidRDefault="00751F63" w:rsidP="00E90191">
      <w:pPr>
        <w:pStyle w:val="1408"/>
      </w:pPr>
      <w:r w:rsidRPr="00E90191">
        <w:t>PCI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 xml:space="preserve">инения периферийных </w:t>
      </w:r>
      <w:proofErr w:type="gramStart"/>
      <w:r w:rsidR="00E90191" w:rsidRPr="00E90191">
        <w:t>компонентов.</w:t>
      </w:r>
      <w:r w:rsidRPr="00E90191">
        <w:t>.</w:t>
      </w:r>
      <w:proofErr w:type="gramEnd"/>
      <w:r w:rsidRPr="00E90191">
        <w:t xml:space="preserve"> Она разрабатывалась в расчете на платформу Intel Pentium,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864060">
        <w:t>последовательно-параллельной</w:t>
      </w:r>
      <w:r w:rsidR="00E90191" w:rsidRPr="00E90191">
        <w:t xml:space="preserve">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PCI Express</w:t>
      </w:r>
      <w:r w:rsidR="00864060">
        <w:t xml:space="preserve">. Для сохранения преемственности  программный доступ к шине   </w:t>
      </w:r>
      <w:r w:rsidR="00864060" w:rsidRPr="00E90191">
        <w:t>PCI Express</w:t>
      </w:r>
      <w:r w:rsidR="00864060">
        <w:t xml:space="preserve"> аналогичен доступу к шине </w:t>
      </w:r>
      <w:r w:rsidR="00864060" w:rsidRPr="00E90191">
        <w:t>PCI</w:t>
      </w:r>
      <w:r w:rsidR="00864060">
        <w:t xml:space="preserve">. </w:t>
      </w:r>
    </w:p>
    <w:p w:rsidR="00ED4A3B" w:rsidRPr="00ED4A3B" w:rsidRDefault="00ED4A3B" w:rsidP="00E90191">
      <w:pPr>
        <w:pStyle w:val="1408"/>
      </w:pPr>
      <w:r>
        <w:t xml:space="preserve">Устройствами на шине </w:t>
      </w:r>
      <w:r>
        <w:rPr>
          <w:lang w:val="en-US"/>
        </w:rPr>
        <w:t>PCI</w:t>
      </w:r>
      <w:r w:rsidRPr="00ED4A3B">
        <w:t xml:space="preserve"> </w:t>
      </w:r>
      <w:r>
        <w:t xml:space="preserve">являются: контроллеры ввода-вывода, системные контроллеры, мосты, к которым могли подключаться дополнительные шины </w:t>
      </w:r>
      <w:r>
        <w:rPr>
          <w:lang w:val="en-US"/>
        </w:rPr>
        <w:t>PCI</w:t>
      </w:r>
      <w:r>
        <w:t>.</w:t>
      </w:r>
    </w:p>
    <w:p w:rsidR="00751F63" w:rsidRDefault="00864060" w:rsidP="00E90191">
      <w:pPr>
        <w:pStyle w:val="1408"/>
      </w:pPr>
      <w:r>
        <w:t>Вначале</w:t>
      </w:r>
      <w:r w:rsidR="00751F63" w:rsidRPr="00661AC6">
        <w:t xml:space="preserve"> ш</w:t>
      </w:r>
      <w:r w:rsidR="003E4BCC">
        <w:t>ина PCI вводилась как  дополнение</w:t>
      </w:r>
      <w:r w:rsidR="00751F63" w:rsidRPr="00661AC6">
        <w:t xml:space="preserve"> </w:t>
      </w:r>
      <w:r w:rsidR="00AB3B47">
        <w:t xml:space="preserve"> </w:t>
      </w:r>
      <w:r w:rsidR="00751F63"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="00751F63" w:rsidRPr="00661AC6">
        <w:t>ввода-вывода (ISA), а также локальная ISA-подобная шина X-BUS и интерфейс LPC, к кот</w:t>
      </w:r>
      <w:r w:rsidR="008D7DD8">
        <w:t>орым подключались</w:t>
      </w:r>
      <w:r w:rsidR="00751F63" w:rsidRPr="00661AC6">
        <w:t xml:space="preserve"> микросхемы системной платы (ROM BIOS, контроллеры пре</w:t>
      </w:r>
      <w:r w:rsidR="0086056B">
        <w:t xml:space="preserve">рываний, клавиатуры, DMA, порты </w:t>
      </w:r>
      <w:r w:rsidR="00F63893">
        <w:t xml:space="preserve">СОМ и </w:t>
      </w:r>
      <w:r w:rsidR="00F63893">
        <w:rPr>
          <w:lang w:val="en-US"/>
        </w:rPr>
        <w:t>USB</w:t>
      </w:r>
      <w:r w:rsidR="00F63893">
        <w:t>, НЖ</w:t>
      </w:r>
      <w:r w:rsidR="00751F63" w:rsidRPr="00661AC6">
        <w:t>МД и</w:t>
      </w:r>
      <w:r w:rsidR="00E90191">
        <w:t xml:space="preserve"> др.</w:t>
      </w:r>
      <w:r w:rsidR="00751F63" w:rsidRPr="00661AC6">
        <w:t>), подключаются к шине PCI через &lt;южный&gt; мост</w:t>
      </w:r>
      <w:r w:rsidR="00E90191">
        <w:t>(рис.1)</w:t>
      </w:r>
      <w:r w:rsidR="00751F63"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lastRenderedPageBreak/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повышение частоты до 66 МГц при поддержке всех устройств на шине 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132 Мбайт/с для 32-битной шины и 264 Мбайт/с для 64-битной; при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устройств способности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 xml:space="preserve">. Каждая шина имеет свой номер шины (PCI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</w:t>
      </w:r>
      <w:proofErr w:type="gramStart"/>
      <w:r w:rsidR="007B2C73">
        <w:t xml:space="preserve">шине, </w:t>
      </w:r>
      <w:r>
        <w:t xml:space="preserve"> </w:t>
      </w:r>
      <w:r w:rsidR="007B2C73">
        <w:t>доступны</w:t>
      </w:r>
      <w:proofErr w:type="gramEnd"/>
      <w:r w:rsidR="007B2C73">
        <w:t xml:space="preserve"> </w:t>
      </w:r>
      <w:r>
        <w:t xml:space="preserve"> для операций считывания и </w:t>
      </w:r>
      <w:r>
        <w:lastRenderedPageBreak/>
        <w:t xml:space="preserve">записи </w:t>
      </w:r>
      <w:r w:rsidR="007B2C73">
        <w:t xml:space="preserve">,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>В этих операциях устройства выбираются по индивидуальным сигналам IDSEL и сообщают о потребностях в</w:t>
      </w:r>
      <w:r w:rsidR="006C7196">
        <w:t xml:space="preserve"> 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>конфигурирования (</w:t>
      </w:r>
      <w:hyperlink r:id="rId6" w:tooltip="BIOS" w:history="1">
        <w:r w:rsidR="002C62D4" w:rsidRPr="001031C2">
          <w:rPr>
            <w:rStyle w:val="a3"/>
            <w:color w:val="auto"/>
            <w:u w:val="none"/>
          </w:rPr>
          <w:t>BIOS</w:t>
        </w:r>
      </w:hyperlink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POST</w:t>
      </w:r>
      <w:r w:rsidR="001031C2">
        <w:t xml:space="preserve"> </w:t>
      </w:r>
      <w:r w:rsidR="002C62D4">
        <w:t>(</w:t>
      </w:r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r w:rsidR="001031C2" w:rsidRPr="001031C2">
        <w:rPr>
          <w:i/>
          <w:iCs/>
        </w:rPr>
        <w:t xml:space="preserve"> </w:t>
      </w:r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С1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>-порт данных Р</w:t>
      </w:r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r>
        <w:rPr>
          <w:lang w:val="en-US"/>
        </w:rPr>
        <w:t xml:space="preserve">Mov Dx,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, Dx</w:t>
      </w:r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AB5DC0">
        <w:t>,</w:t>
      </w:r>
      <w:r w:rsidR="00D01123" w:rsidRPr="00D01123">
        <w:t xml:space="preserve"> </w:t>
      </w:r>
      <w:r w:rsidR="00AB5DC0">
        <w:t xml:space="preserve">на языке ассемблера, </w:t>
      </w:r>
      <w:r w:rsidR="00DA2FF2">
        <w:t>может выглядеть</w:t>
      </w:r>
      <w:r>
        <w:t xml:space="preserve"> следующим образом:</w:t>
      </w:r>
    </w:p>
    <w:p w:rsidR="00AB5DC0" w:rsidRPr="00D01123" w:rsidRDefault="00AB5DC0" w:rsidP="00833148">
      <w:pPr>
        <w:pStyle w:val="1408"/>
      </w:pP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mov dx,0x0CF8</w:t>
      </w:r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mov EAX,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out </w:t>
      </w:r>
      <w:proofErr w:type="spellStart"/>
      <w:proofErr w:type="gramStart"/>
      <w:r w:rsidRPr="000168C4">
        <w:rPr>
          <w:color w:val="000000"/>
          <w:lang w:val="en-US"/>
        </w:rPr>
        <w:t>dx,EAX</w:t>
      </w:r>
      <w:proofErr w:type="spellEnd"/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mov dx,0CFCh</w:t>
      </w:r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r w:rsidRPr="00D01123">
        <w:rPr>
          <w:color w:val="000000"/>
          <w:lang w:val="en-US"/>
        </w:rPr>
        <w:t xml:space="preserve">in </w:t>
      </w:r>
      <w:proofErr w:type="spellStart"/>
      <w:proofErr w:type="gramStart"/>
      <w:r w:rsidRPr="00D01123">
        <w:rPr>
          <w:color w:val="000000"/>
          <w:lang w:val="en-US"/>
        </w:rPr>
        <w:t>eax,dx</w:t>
      </w:r>
      <w:proofErr w:type="spellEnd"/>
      <w:proofErr w:type="gram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mov </w:t>
      </w:r>
      <w:proofErr w:type="spellStart"/>
      <w:proofErr w:type="gram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  <w:proofErr w:type="gram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.386p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mov</w:t>
      </w:r>
      <w:proofErr w:type="gramEnd"/>
      <w:r w:rsidRPr="000168C4">
        <w:rPr>
          <w:lang w:val="en-US"/>
        </w:rPr>
        <w:t xml:space="preserve"> dx,0CF8h</w:t>
      </w:r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mov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lastRenderedPageBreak/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mov</w:t>
      </w:r>
      <w:proofErr w:type="gramEnd"/>
      <w:r w:rsidRPr="00D01123">
        <w:rPr>
          <w:lang w:val="en-US"/>
        </w:rPr>
        <w:t xml:space="preserve"> </w:t>
      </w:r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r>
        <w:rPr>
          <w:lang w:val="en-US"/>
        </w:rPr>
        <w:t>asm</w:t>
      </w:r>
      <w:proofErr w:type="spellEnd"/>
      <w:r w:rsidRPr="00C3295B">
        <w:t xml:space="preserve"> </w:t>
      </w:r>
      <w:r>
        <w:rPr>
          <w:color w:val="000000"/>
          <w:lang w:val="en-US"/>
        </w:rPr>
        <w:t>mov</w:t>
      </w:r>
      <w:r w:rsidRPr="00C3295B">
        <w:rPr>
          <w:color w:val="000000"/>
        </w:rPr>
        <w:t xml:space="preserve"> </w:t>
      </w:r>
      <w:proofErr w:type="gramStart"/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  <w:proofErr w:type="gramEnd"/>
      <w:r w:rsidR="00AB5DC0">
        <w:rPr>
          <w:color w:val="000000"/>
        </w:rPr>
        <w:t>.</w:t>
      </w:r>
    </w:p>
    <w:p w:rsidR="00AB5DC0" w:rsidRPr="00AB5DC0" w:rsidRDefault="00AB5DC0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C9719A" w:rsidRDefault="00C9719A" w:rsidP="00833148">
      <w:pPr>
        <w:pStyle w:val="1408"/>
      </w:pPr>
      <w:r w:rsidRPr="00C9719A">
        <w:t>Результат  чтения находится в переменной Res.</w:t>
      </w:r>
      <w:r>
        <w:t xml:space="preserve"> </w:t>
      </w:r>
    </w:p>
    <w:p w:rsidR="00C9719A" w:rsidRDefault="00C9719A" w:rsidP="00833148">
      <w:pPr>
        <w:pStyle w:val="1408"/>
      </w:pPr>
      <w:r>
        <w:t>Пример команд обращения к портам на языке С приведен в разделе «Порядок выполнения работы»</w:t>
      </w:r>
    </w:p>
    <w:p w:rsidR="000F3201" w:rsidRDefault="00AB5DC0" w:rsidP="00833148">
      <w:pPr>
        <w:pStyle w:val="1408"/>
      </w:pPr>
      <w:r>
        <w:t xml:space="preserve">Команды обращения к </w:t>
      </w:r>
      <w:r w:rsidR="00C9719A">
        <w:t xml:space="preserve">портам на </w:t>
      </w:r>
      <w:r w:rsidR="00D01123" w:rsidRPr="00C3295B">
        <w:tab/>
      </w:r>
      <w:r w:rsidR="000F3201">
        <w:t>Адрес</w:t>
      </w:r>
      <w:r w:rsidR="000F3201" w:rsidRPr="00D01123">
        <w:t xml:space="preserve"> </w:t>
      </w:r>
      <w:r w:rsidR="000F3201"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 w:rsidR="000F3201"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 w:rsidR="000F3201"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Pr="003739C3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 xml:space="preserve">». </w:t>
      </w:r>
      <w:r w:rsidRPr="003739C3">
        <w:t>(</w:t>
      </w:r>
      <w:r w:rsidRPr="00C9719A">
        <w:rPr>
          <w:b/>
          <w:lang w:val="en-US"/>
        </w:rPr>
        <w:t>PCI</w:t>
      </w:r>
      <w:r w:rsidRPr="003739C3">
        <w:rPr>
          <w:b/>
        </w:rPr>
        <w:t xml:space="preserve"> </w:t>
      </w:r>
      <w:r w:rsidRPr="00C9719A">
        <w:rPr>
          <w:b/>
          <w:lang w:val="en-US"/>
        </w:rPr>
        <w:t>SIG</w:t>
      </w:r>
      <w:r w:rsidRPr="003739C3">
        <w:rPr>
          <w:b/>
        </w:rPr>
        <w:t xml:space="preserve"> /</w:t>
      </w:r>
      <w:r w:rsidRPr="00C9719A">
        <w:rPr>
          <w:b/>
          <w:lang w:val="en-US"/>
        </w:rPr>
        <w:t>www</w:t>
      </w:r>
      <w:r w:rsidRPr="003739C3">
        <w:rPr>
          <w:b/>
        </w:rPr>
        <w:t>.</w:t>
      </w:r>
      <w:proofErr w:type="spellStart"/>
      <w:r w:rsidRPr="00C9719A">
        <w:rPr>
          <w:b/>
          <w:lang w:val="en-US"/>
        </w:rPr>
        <w:t>pcisig</w:t>
      </w:r>
      <w:proofErr w:type="spellEnd"/>
      <w:r w:rsidRPr="003739C3">
        <w:rPr>
          <w:b/>
        </w:rPr>
        <w:t>.</w:t>
      </w:r>
      <w:r w:rsidRPr="00C9719A">
        <w:rPr>
          <w:b/>
          <w:lang w:val="en-US"/>
        </w:rPr>
        <w:t>com</w:t>
      </w:r>
      <w:r w:rsidR="003739C3">
        <w:rPr>
          <w:b/>
        </w:rPr>
        <w:t xml:space="preserve"> а конкретно в</w:t>
      </w:r>
      <w:r w:rsidR="003739C3" w:rsidRPr="003739C3">
        <w:rPr>
          <w:b/>
        </w:rPr>
        <w:t xml:space="preserve"> </w:t>
      </w:r>
      <w:hyperlink r:id="rId9" w:history="1">
        <w:r w:rsidR="003739C3" w:rsidRPr="0030714A">
          <w:rPr>
            <w:rStyle w:val="a3"/>
            <w:b/>
            <w:lang w:val="en-US"/>
          </w:rPr>
          <w:t>http</w:t>
        </w:r>
        <w:r w:rsidR="003739C3" w:rsidRPr="0030714A">
          <w:rPr>
            <w:rStyle w:val="a3"/>
            <w:b/>
          </w:rPr>
          <w:t>://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-</w:t>
        </w:r>
        <w:r w:rsidR="003739C3" w:rsidRPr="0030714A">
          <w:rPr>
            <w:rStyle w:val="a3"/>
            <w:b/>
            <w:lang w:val="en-US"/>
          </w:rPr>
          <w:t>ids</w:t>
        </w:r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ucw</w:t>
        </w:r>
        <w:proofErr w:type="spellEnd"/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cz</w:t>
        </w:r>
        <w:proofErr w:type="spellEnd"/>
        <w:r w:rsidR="003739C3" w:rsidRPr="0030714A">
          <w:rPr>
            <w:rStyle w:val="a3"/>
            <w:b/>
          </w:rPr>
          <w:t>/</w:t>
        </w:r>
        <w:r w:rsidR="003739C3" w:rsidRPr="0030714A">
          <w:rPr>
            <w:rStyle w:val="a3"/>
            <w:b/>
            <w:lang w:val="en-US"/>
          </w:rPr>
          <w:t>v</w:t>
        </w:r>
        <w:r w:rsidR="003739C3" w:rsidRPr="0030714A">
          <w:rPr>
            <w:rStyle w:val="a3"/>
            <w:b/>
          </w:rPr>
          <w:t>2.2/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.</w:t>
        </w:r>
        <w:r w:rsidR="003739C3" w:rsidRPr="0030714A">
          <w:rPr>
            <w:rStyle w:val="a3"/>
            <w:b/>
            <w:lang w:val="en-US"/>
          </w:rPr>
          <w:t>ids</w:t>
        </w:r>
      </w:hyperlink>
      <w:r w:rsidR="003739C3">
        <w:rPr>
          <w:b/>
        </w:rPr>
        <w:t xml:space="preserve"> </w:t>
      </w:r>
      <w:r w:rsidRPr="003739C3">
        <w:t>).</w:t>
      </w:r>
    </w:p>
    <w:p w:rsidR="000E51F8" w:rsidRPr="000E51F8" w:rsidRDefault="000E51F8" w:rsidP="008308DF">
      <w:pPr>
        <w:pStyle w:val="1408"/>
      </w:pPr>
      <w:proofErr w:type="gramStart"/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proofErr w:type="gramEnd"/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Line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(RW)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Системное программное обеспечение работает по следующему алгоритму:</w:t>
      </w:r>
    </w:p>
    <w:p w:rsidR="000F3201" w:rsidRPr="00660EC9" w:rsidRDefault="00E450E3" w:rsidP="00E450E3">
      <w:pPr>
        <w:pStyle w:val="1408"/>
        <w:rPr>
          <w:b/>
        </w:rPr>
      </w:pPr>
      <w:r w:rsidRPr="00660EC9">
        <w:rPr>
          <w:b/>
        </w:rPr>
        <w:t>1.</w:t>
      </w:r>
      <w:r w:rsidR="000F3201" w:rsidRPr="00660EC9">
        <w:rPr>
          <w:b/>
        </w:rPr>
        <w:t xml:space="preserve">Записать в </w:t>
      </w:r>
      <w:r w:rsidR="000F3201" w:rsidRPr="00660EC9">
        <w:rPr>
          <w:b/>
          <w:lang w:val="en-US"/>
        </w:rPr>
        <w:t>BAR</w:t>
      </w:r>
      <w:r w:rsidR="000F3201" w:rsidRPr="00660EC9">
        <w:rPr>
          <w:b/>
        </w:rPr>
        <w:t xml:space="preserve"> все единицы </w:t>
      </w:r>
      <w:proofErr w:type="spellStart"/>
      <w:r w:rsidR="000F3201" w:rsidRPr="00660EC9">
        <w:rPr>
          <w:b/>
          <w:lang w:val="en-US"/>
        </w:rPr>
        <w:t>OxFFFFFFFF</w:t>
      </w:r>
      <w:proofErr w:type="spellEnd"/>
      <w:r w:rsidR="000F3201"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2.Считать значение </w:t>
      </w:r>
      <w:r w:rsidRPr="00660EC9">
        <w:rPr>
          <w:b/>
          <w:lang w:val="en-US"/>
        </w:rPr>
        <w:t>BAR</w:t>
      </w:r>
      <w:r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3.Определить сколько нулей содержится в считанном значении и вы</w:t>
      </w:r>
      <w:r w:rsidRPr="00660EC9">
        <w:rPr>
          <w:b/>
        </w:rPr>
        <w:softHyphen/>
        <w:t>числить размер памяти</w:t>
      </w:r>
      <w:r w:rsidR="002C69E3" w:rsidRPr="00660EC9">
        <w:rPr>
          <w:b/>
        </w:rPr>
        <w:t xml:space="preserve">  и адреса портов ввода вывода, требующих</w:t>
      </w:r>
      <w:r w:rsidRPr="00660EC9">
        <w:rPr>
          <w:b/>
        </w:rPr>
        <w:t>ся устройству (2</w:t>
      </w:r>
      <w:r w:rsidRPr="00660EC9">
        <w:rPr>
          <w:b/>
          <w:vertAlign w:val="superscript"/>
        </w:rPr>
        <w:t>(число</w:t>
      </w:r>
      <w:r w:rsidRPr="00660EC9">
        <w:rPr>
          <w:b/>
        </w:rPr>
        <w:t xml:space="preserve"> </w:t>
      </w:r>
      <w:proofErr w:type="spellStart"/>
      <w:r w:rsidRPr="00660EC9">
        <w:rPr>
          <w:b/>
          <w:vertAlign w:val="superscript"/>
        </w:rPr>
        <w:t>нулеи</w:t>
      </w:r>
      <w:proofErr w:type="spellEnd"/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+</w:t>
      </w:r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4)</w:t>
      </w:r>
      <w:r w:rsidRPr="00660EC9">
        <w:rPr>
          <w:b/>
        </w:rPr>
        <w:t>).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4.Выделить системное адресное пространство </w:t>
      </w:r>
      <w:r w:rsidR="002C69E3" w:rsidRPr="00660EC9">
        <w:rPr>
          <w:b/>
        </w:rPr>
        <w:t xml:space="preserve"> и адреса портов </w:t>
      </w:r>
      <w:r w:rsidRPr="00660EC9">
        <w:rPr>
          <w:b/>
        </w:rPr>
        <w:t>устройству.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5.Записать в </w:t>
      </w:r>
      <w:r w:rsidRPr="00660EC9">
        <w:rPr>
          <w:b/>
          <w:lang w:val="en-US"/>
        </w:rPr>
        <w:t>BAR</w:t>
      </w:r>
      <w:r w:rsidRPr="00660EC9">
        <w:rPr>
          <w:b/>
        </w:rPr>
        <w:t xml:space="preserve"> начальный адрес этого адресного пространства. (Инициализация старших битов </w:t>
      </w:r>
      <w:proofErr w:type="spellStart"/>
      <w:r w:rsidRPr="00660EC9">
        <w:rPr>
          <w:b/>
          <w:lang w:val="en-US"/>
        </w:rPr>
        <w:t>BARa</w:t>
      </w:r>
      <w:proofErr w:type="spellEnd"/>
      <w:r w:rsidRPr="00660EC9">
        <w:rPr>
          <w:b/>
        </w:rPr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r w:rsidRPr="00E450E3">
        <w:t>ROM  Base</w:t>
      </w:r>
      <w:r w:rsidRPr="00E450E3">
        <w:rPr>
          <w:b/>
        </w:rPr>
        <w:t xml:space="preserve"> </w:t>
      </w:r>
      <w:r w:rsidRPr="00E450E3">
        <w:t>Address-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r w:rsidR="006B4B80" w:rsidRPr="006B4B80">
        <w:rPr>
          <w:lang w:val="en-US"/>
        </w:rPr>
        <w:t>Prefetchable</w:t>
      </w:r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ID (производитель) и Device ID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 xml:space="preserve">4.2. 16-разрядный </w:t>
      </w:r>
      <w:r w:rsidR="00807B36">
        <w:t>код производителя (в шестнадцатеричной системе</w:t>
      </w:r>
      <w:r w:rsidRPr="002B0519">
        <w:t>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</w:t>
      </w:r>
      <w:r w:rsidR="00807B36">
        <w:t>в шестнадцатеричной системе</w:t>
      </w:r>
      <w:r w:rsidRPr="002B0519">
        <w:t>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Line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787C40" w:rsidRDefault="008664B7" w:rsidP="008664B7">
      <w:pPr>
        <w:jc w:val="both"/>
        <w:rPr>
          <w:sz w:val="28"/>
          <w:szCs w:val="28"/>
        </w:rPr>
      </w:pPr>
      <w:r w:rsidRPr="002A2D0C">
        <w:tab/>
      </w:r>
      <w:r w:rsidRPr="00787C40">
        <w:rPr>
          <w:sz w:val="28"/>
          <w:szCs w:val="28"/>
        </w:rPr>
        <w:t>При сдаче работы дать информацию о назначении соответствующих полей конфигурационного пространства.</w:t>
      </w:r>
    </w:p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DB5ACB" w:rsidRPr="000C745F" w:rsidRDefault="00016D82" w:rsidP="00660EC9">
      <w:pPr>
        <w:jc w:val="both"/>
        <w:rPr>
          <w:b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DB5ACB" w:rsidRDefault="00DB5ACB" w:rsidP="00BA76EE">
      <w:pPr>
        <w:pStyle w:val="1408"/>
        <w:rPr>
          <w:rFonts w:ascii="Courier New" w:hAnsi="Courier New" w:cs="Courier New"/>
          <w:noProof/>
          <w:sz w:val="20"/>
        </w:rPr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к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rPr>
          <w:sz w:val="28"/>
          <w:szCs w:val="28"/>
        </w:rPr>
        <w:t xml:space="preserve">При использовании ОС Linux для доступа к этим портам можно использовать команды </w:t>
      </w:r>
    </w:p>
    <w:p w:rsidR="00BA76EE" w:rsidRDefault="00BA76EE" w:rsidP="00DB5ACB">
      <w:pPr>
        <w:pStyle w:val="2"/>
      </w:pPr>
    </w:p>
    <w:p w:rsidR="00DB5ACB" w:rsidRDefault="00DB5ACB" w:rsidP="00DB5ACB">
      <w:pPr>
        <w:pStyle w:val="2"/>
      </w:pPr>
      <w:r>
        <w:t xml:space="preserve">NAME         </w:t>
      </w:r>
      <w:hyperlink r:id="rId20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lastRenderedPageBreak/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hyperlink r:id="rId21" w:anchor="top_of_page" w:history="1">
        <w:r w:rsidRPr="001F09E1">
          <w:rPr>
            <w:rStyle w:val="top-link"/>
            <w:color w:val="0000FF"/>
            <w:u w:val="single"/>
            <w:lang w:val="en-US"/>
          </w:rPr>
          <w:t>top</w:t>
        </w:r>
      </w:hyperlink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int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int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int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int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int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int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int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int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BA76EE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>Например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>)</w:t>
      </w:r>
      <w:r w:rsidR="00BA76EE">
        <w:rPr>
          <w:sz w:val="28"/>
          <w:szCs w:val="28"/>
        </w:rPr>
        <w:t>.</w:t>
      </w:r>
    </w:p>
    <w:p w:rsidR="00660EC9" w:rsidRDefault="00660EC9" w:rsidP="00DB5ACB">
      <w:pPr>
        <w:rPr>
          <w:sz w:val="28"/>
          <w:szCs w:val="28"/>
        </w:rPr>
      </w:pPr>
    </w:p>
    <w:p w:rsidR="00DB5ACB" w:rsidRDefault="00DB5ACB" w:rsidP="00DB5ACB">
      <w:pPr>
        <w:rPr>
          <w:sz w:val="28"/>
          <w:szCs w:val="28"/>
        </w:rPr>
      </w:pPr>
      <w:r w:rsidRPr="00006A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r w:rsidRPr="00547311">
        <w:rPr>
          <w:lang w:val="en-US"/>
        </w:rPr>
        <w:t>io</w:t>
      </w:r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int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lab3\n\n");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 xml:space="preserve">int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660EC9" w:rsidRDefault="00DB5ACB" w:rsidP="00DB5ACB">
      <w:pPr>
        <w:rPr>
          <w:b/>
          <w:lang w:val="en-US"/>
        </w:rPr>
      </w:pPr>
      <w:r w:rsidRPr="00547311">
        <w:rPr>
          <w:lang w:val="en-US"/>
        </w:rPr>
        <w:tab/>
      </w:r>
      <w:r w:rsidRPr="00660EC9">
        <w:rPr>
          <w:b/>
          <w:lang w:val="en-US"/>
        </w:rPr>
        <w:t>if(</w:t>
      </w:r>
      <w:proofErr w:type="spellStart"/>
      <w:r w:rsidRPr="00660EC9">
        <w:rPr>
          <w:b/>
          <w:lang w:val="en-US"/>
        </w:rPr>
        <w:t>iopl</w:t>
      </w:r>
      <w:proofErr w:type="spellEnd"/>
      <w:r w:rsidRPr="00660EC9">
        <w:rPr>
          <w:b/>
          <w:lang w:val="en-US"/>
        </w:rPr>
        <w:t>(3)) //</w:t>
      </w:r>
      <w:r w:rsidRPr="00660EC9">
        <w:rPr>
          <w:b/>
        </w:rPr>
        <w:t>задание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уровня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приоритета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{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spellStart"/>
      <w:proofErr w:type="gramStart"/>
      <w:r w:rsidRPr="00660EC9">
        <w:rPr>
          <w:b/>
          <w:lang w:val="en-US"/>
        </w:rPr>
        <w:t>printf</w:t>
      </w:r>
      <w:proofErr w:type="spellEnd"/>
      <w:r w:rsidRPr="00660EC9">
        <w:rPr>
          <w:b/>
          <w:lang w:val="en-US"/>
        </w:rPr>
        <w:t>(</w:t>
      </w:r>
      <w:proofErr w:type="gramEnd"/>
      <w:r w:rsidRPr="00660EC9">
        <w:rPr>
          <w:b/>
          <w:lang w:val="en-US"/>
        </w:rPr>
        <w:t>"I/O Privilege level change error: %s\</w:t>
      </w:r>
      <w:proofErr w:type="spellStart"/>
      <w:r w:rsidRPr="00660EC9">
        <w:rPr>
          <w:b/>
          <w:lang w:val="en-US"/>
        </w:rPr>
        <w:t>nTry</w:t>
      </w:r>
      <w:proofErr w:type="spellEnd"/>
      <w:r w:rsidRPr="00660EC9">
        <w:rPr>
          <w:b/>
          <w:lang w:val="en-US"/>
        </w:rPr>
        <w:t xml:space="preserve"> running under ROOT user\n",(char *)</w:t>
      </w:r>
      <w:proofErr w:type="spellStart"/>
      <w:r w:rsidRPr="00660EC9">
        <w:rPr>
          <w:b/>
          <w:lang w:val="en-US"/>
        </w:rPr>
        <w:t>strerror</w:t>
      </w:r>
      <w:proofErr w:type="spellEnd"/>
      <w:r w:rsidRPr="00660EC9">
        <w:rPr>
          <w:b/>
          <w:lang w:val="en-US"/>
        </w:rPr>
        <w:t>(</w:t>
      </w:r>
      <w:proofErr w:type="spellStart"/>
      <w:r w:rsidRPr="00660EC9">
        <w:rPr>
          <w:b/>
          <w:lang w:val="en-US"/>
        </w:rPr>
        <w:t>errno</w:t>
      </w:r>
      <w:proofErr w:type="spellEnd"/>
      <w:r w:rsidRPr="00660EC9">
        <w:rPr>
          <w:b/>
          <w:lang w:val="en-US"/>
        </w:rPr>
        <w:t>));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  <w:t>return 1;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typedef struct _PCI_VENTABLE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lastRenderedPageBreak/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 xml:space="preserve">PCI_VENTABLE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{0x10, "Allied Telesis, Inc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{0x1c, "PEAK-System Technik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{0xa7,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{0x100,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>#define PCI_VENTABLE_LEN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(PCI_VENTABLE))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</w:t>
      </w:r>
      <w:proofErr w:type="spellStart"/>
      <w:r w:rsidRPr="00A945F8">
        <w:rPr>
          <w:b/>
          <w:lang w:val="en-US"/>
        </w:rPr>
        <w:t>i</w:t>
      </w:r>
      <w:proofErr w:type="spellEnd"/>
      <w:r w:rsidRPr="00A945F8">
        <w:rPr>
          <w:b/>
          <w:lang w:val="en-US"/>
        </w:rPr>
        <w:t>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Linux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 w:rsidRPr="00D463F5">
        <w:rPr>
          <w:b/>
          <w:color w:val="FF0000"/>
          <w:sz w:val="28"/>
          <w:szCs w:val="28"/>
        </w:rPr>
        <w:t>ls</w:t>
      </w:r>
      <w:proofErr w:type="spellEnd"/>
      <w:r w:rsidR="00D463F5" w:rsidRPr="00D463F5">
        <w:rPr>
          <w:b/>
          <w:color w:val="FF0000"/>
          <w:sz w:val="28"/>
          <w:szCs w:val="28"/>
        </w:rPr>
        <w:t xml:space="preserve"> </w:t>
      </w:r>
      <w:proofErr w:type="spellStart"/>
      <w:r w:rsidR="008664B7" w:rsidRPr="00D463F5">
        <w:rPr>
          <w:b/>
          <w:color w:val="FF0000"/>
          <w:sz w:val="28"/>
          <w:szCs w:val="28"/>
        </w:rPr>
        <w:t>pci</w:t>
      </w:r>
      <w:proofErr w:type="spellEnd"/>
      <w:r w:rsidR="003932B7" w:rsidRPr="00D463F5">
        <w:rPr>
          <w:color w:val="FF0000"/>
          <w:sz w:val="28"/>
          <w:szCs w:val="28"/>
        </w:rPr>
        <w:t xml:space="preserve"> </w:t>
      </w:r>
      <w:r w:rsidR="008D7DD8" w:rsidRPr="00D463F5">
        <w:rPr>
          <w:color w:val="FF0000"/>
          <w:sz w:val="28"/>
          <w:szCs w:val="28"/>
        </w:rPr>
        <w:t xml:space="preserve"> </w:t>
      </w:r>
      <w:r w:rsidR="008D7DD8">
        <w:rPr>
          <w:sz w:val="28"/>
          <w:szCs w:val="28"/>
        </w:rPr>
        <w:t>с различными ключами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lastRenderedPageBreak/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PCI,U</w:t>
      </w:r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0543BC" w:rsidP="00B73F7F">
      <w:pPr>
        <w:shd w:val="clear" w:color="auto" w:fill="FFFFFF"/>
        <w:spacing w:before="62"/>
        <w:ind w:left="408"/>
        <w:rPr>
          <w:color w:val="000000"/>
        </w:rPr>
      </w:pPr>
      <w:r>
        <w:rPr>
          <w:color w:val="000000"/>
        </w:rPr>
        <w:t>Лекция «Эволюция архитектуры персонального компьютера»</w:t>
      </w: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ED4A3B" w:rsidRDefault="00ED4A3B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Обобщенная архитектура компьютера. Процессор, шины, контроллеры ввода-вывода. </w:t>
      </w:r>
      <w:r w:rsidRPr="0069175D">
        <w:rPr>
          <w:color w:val="FF0000"/>
        </w:rPr>
        <w:t>Понятие порта ввода-вывода, три способа адресации портов ввода-вывода</w:t>
      </w:r>
      <w:r>
        <w:t>.</w:t>
      </w:r>
    </w:p>
    <w:p w:rsidR="00ED4A3B" w:rsidRPr="0069175D" w:rsidRDefault="00ED4A3B" w:rsidP="00856186">
      <w:pPr>
        <w:pStyle w:val="a9"/>
        <w:numPr>
          <w:ilvl w:val="0"/>
          <w:numId w:val="3"/>
        </w:numPr>
        <w:shd w:val="clear" w:color="auto" w:fill="FFFFFF"/>
        <w:spacing w:before="62"/>
        <w:rPr>
          <w:color w:val="FF0000"/>
        </w:rPr>
      </w:pPr>
      <w:r w:rsidRPr="0069175D">
        <w:rPr>
          <w:color w:val="FF0000"/>
        </w:rPr>
        <w:t xml:space="preserve">Обобщенная архитектура процессора, последовательность выполнения инструкции. </w:t>
      </w:r>
    </w:p>
    <w:p w:rsidR="00856186" w:rsidRDefault="00856186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Арх</w:t>
      </w:r>
      <w:r w:rsidR="002E3DEE">
        <w:t>итектура компьютера с шиной ISA, Основные характеристики шины ISA.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2E3DEE" w:rsidRDefault="002E3DEE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Архитектура компьютера с шиной </w:t>
      </w:r>
      <w:r w:rsidRPr="002E3DEE">
        <w:rPr>
          <w:lang w:val="en-US"/>
        </w:rPr>
        <w:t>PCI</w:t>
      </w:r>
      <w:r>
        <w:t xml:space="preserve">. </w:t>
      </w:r>
      <w:r w:rsidR="00A07F20">
        <w:t xml:space="preserve">Основные характеристики шины </w:t>
      </w:r>
      <w:r w:rsidR="00A07F20" w:rsidRPr="002E3DEE">
        <w:rPr>
          <w:lang w:val="en-US"/>
        </w:rPr>
        <w:t>PCI</w:t>
      </w:r>
      <w:r w:rsidR="00A07F20">
        <w:t>. Организация прерываний, ПДП, типы адресных пространств.</w:t>
      </w:r>
      <w:r w:rsidR="00A07F20" w:rsidRPr="00A07F20">
        <w:t xml:space="preserve"> </w:t>
      </w:r>
      <w:r w:rsidR="00644D79" w:rsidRPr="00644D79">
        <w:t>М</w:t>
      </w:r>
      <w:r w:rsidR="00644D79">
        <w:t>осты шины PCI</w:t>
      </w:r>
      <w:r w:rsidR="00A07F20">
        <w:t xml:space="preserve"> 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r w:rsidRPr="002E3DEE">
        <w:rPr>
          <w:lang w:val="en-US"/>
        </w:rPr>
        <w:t>APIC</w:t>
      </w:r>
      <w:r w:rsidR="00A325BC">
        <w:t>, прерывания с помощью сообщений</w:t>
      </w:r>
      <w:r w:rsidR="002E3DEE">
        <w:t xml:space="preserve"> </w:t>
      </w:r>
      <w:r w:rsidR="002E3DEE" w:rsidRPr="002E3DEE">
        <w:t>(</w:t>
      </w:r>
      <w:r w:rsidR="002E3DEE">
        <w:rPr>
          <w:lang w:val="en-US"/>
        </w:rPr>
        <w:t>MSI</w:t>
      </w:r>
      <w:r w:rsidR="002E3DEE" w:rsidRPr="002E3DEE">
        <w:t>)</w:t>
      </w:r>
      <w:r w:rsidRPr="00644D79">
        <w:t>;</w:t>
      </w:r>
    </w:p>
    <w:p w:rsidR="002E3DEE" w:rsidRPr="002E3DEE" w:rsidRDefault="002E3DEE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Архитектура компьютера с шиной  </w:t>
      </w:r>
      <w:r w:rsidRPr="002E3DEE">
        <w:rPr>
          <w:lang w:val="en-US"/>
        </w:rPr>
        <w:t>PCI</w:t>
      </w:r>
      <w:r>
        <w:t>-Express.</w:t>
      </w:r>
      <w:r w:rsidRPr="002E3DEE">
        <w:t xml:space="preserve"> </w:t>
      </w:r>
      <w:r w:rsidR="00644D79">
        <w:t xml:space="preserve">Основные характеристики шины </w:t>
      </w:r>
      <w:r w:rsidR="00644D79" w:rsidRPr="002E3DEE">
        <w:rPr>
          <w:lang w:val="en-US"/>
        </w:rPr>
        <w:t>PCI</w:t>
      </w:r>
      <w:r w:rsidR="00644D79">
        <w:t xml:space="preserve">-Express. </w:t>
      </w:r>
    </w:p>
    <w:p w:rsidR="00644D79" w:rsidRPr="00644D79" w:rsidRDefault="00856186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Организация прерываний </w:t>
      </w:r>
      <w:r w:rsidRPr="002E3DEE">
        <w:rPr>
          <w:lang w:val="en-US"/>
        </w:rPr>
        <w:t>PCI</w:t>
      </w:r>
      <w:r>
        <w:t>-Express, типы адресных пространств</w:t>
      </w:r>
      <w:r w:rsidR="00644D79">
        <w:t>;</w:t>
      </w:r>
    </w:p>
    <w:p w:rsidR="00B41D58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 xml:space="preserve">-Express </w:t>
      </w:r>
      <w:r w:rsidR="00B41D58">
        <w:t>Формат пакета передачи данных.</w:t>
      </w:r>
    </w:p>
    <w:p w:rsidR="00644D79" w:rsidRDefault="00B41D58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М</w:t>
      </w:r>
      <w:r w:rsidR="00644D79">
        <w:t xml:space="preserve">асштабируемость  шин </w:t>
      </w:r>
      <w:r w:rsidR="00644D79" w:rsidRPr="00A07F20">
        <w:rPr>
          <w:lang w:val="en-US"/>
        </w:rPr>
        <w:t>PCI</w:t>
      </w:r>
      <w:r w:rsidR="00644D79">
        <w:t>-Express.</w:t>
      </w:r>
    </w:p>
    <w:p w:rsidR="00C1440C" w:rsidRDefault="002E3DEE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Понятие чипсета.</w:t>
      </w:r>
      <w:r w:rsidR="00660EC9">
        <w:t xml:space="preserve"> </w:t>
      </w:r>
      <w:r>
        <w:t>Назначение  северного и  южного мостов</w:t>
      </w:r>
      <w:r w:rsidR="00660EC9">
        <w:t xml:space="preserve">. 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256401409">
    <w:abstractNumId w:val="0"/>
  </w:num>
  <w:num w:numId="2" w16cid:durableId="1626303587">
    <w:abstractNumId w:val="2"/>
  </w:num>
  <w:num w:numId="3" w16cid:durableId="75027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201"/>
    <w:rsid w:val="00006A39"/>
    <w:rsid w:val="000168C4"/>
    <w:rsid w:val="00016D82"/>
    <w:rsid w:val="000313BF"/>
    <w:rsid w:val="000543BC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2E3DEE"/>
    <w:rsid w:val="00300BE3"/>
    <w:rsid w:val="00315E2A"/>
    <w:rsid w:val="00322B4C"/>
    <w:rsid w:val="00335B75"/>
    <w:rsid w:val="003574B6"/>
    <w:rsid w:val="003737F7"/>
    <w:rsid w:val="003739C3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60EC9"/>
    <w:rsid w:val="0069175D"/>
    <w:rsid w:val="006A022A"/>
    <w:rsid w:val="006A5C6C"/>
    <w:rsid w:val="006B4B80"/>
    <w:rsid w:val="006C7196"/>
    <w:rsid w:val="006F67D6"/>
    <w:rsid w:val="00751F63"/>
    <w:rsid w:val="00776286"/>
    <w:rsid w:val="00787C40"/>
    <w:rsid w:val="007A7CE5"/>
    <w:rsid w:val="007B2C73"/>
    <w:rsid w:val="007C1A21"/>
    <w:rsid w:val="007C7DF4"/>
    <w:rsid w:val="00807B36"/>
    <w:rsid w:val="00812C79"/>
    <w:rsid w:val="008308DF"/>
    <w:rsid w:val="00833148"/>
    <w:rsid w:val="008459DA"/>
    <w:rsid w:val="00856186"/>
    <w:rsid w:val="0086056B"/>
    <w:rsid w:val="0086154D"/>
    <w:rsid w:val="00863E96"/>
    <w:rsid w:val="00864060"/>
    <w:rsid w:val="008664B7"/>
    <w:rsid w:val="00882D7F"/>
    <w:rsid w:val="008B70E4"/>
    <w:rsid w:val="008D1306"/>
    <w:rsid w:val="008D7DD8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B5DC0"/>
    <w:rsid w:val="00AE6F3C"/>
    <w:rsid w:val="00B067C9"/>
    <w:rsid w:val="00B15E47"/>
    <w:rsid w:val="00B373F3"/>
    <w:rsid w:val="00B41D58"/>
    <w:rsid w:val="00B54AB3"/>
    <w:rsid w:val="00B648C6"/>
    <w:rsid w:val="00B6593B"/>
    <w:rsid w:val="00B7034A"/>
    <w:rsid w:val="00B73F7F"/>
    <w:rsid w:val="00B8457B"/>
    <w:rsid w:val="00BA76EE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9719A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463F5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D4A3B"/>
    <w:rsid w:val="00EF5EEB"/>
    <w:rsid w:val="00EF782D"/>
    <w:rsid w:val="00F04B35"/>
    <w:rsid w:val="00F138C8"/>
    <w:rsid w:val="00F33CB8"/>
    <w:rsid w:val="00F37645"/>
    <w:rsid w:val="00F63893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B77115-32C7-4B46-ABA6-1FC86FA7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yperlink" Target="http://man7.org/linux/man-pages/man2/inl.2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BIO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pci-ids.ucw.cz/v2.2/pci.ids" TargetMode="External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3532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23620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Никита Глушаченко</cp:lastModifiedBy>
  <cp:revision>7</cp:revision>
  <cp:lastPrinted>2014-10-15T07:04:00Z</cp:lastPrinted>
  <dcterms:created xsi:type="dcterms:W3CDTF">2022-10-17T02:03:00Z</dcterms:created>
  <dcterms:modified xsi:type="dcterms:W3CDTF">2022-11-23T12:58:00Z</dcterms:modified>
</cp:coreProperties>
</file>