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1E0"/>
      </w:tblPr>
      <w:tblGrid>
        <w:gridCol w:w="2860"/>
        <w:gridCol w:w="6428"/>
      </w:tblGrid>
      <w:tr w:rsidR="003007F4" w:rsidRPr="0066398F" w:rsidTr="003007F4"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Term</w:t>
            </w:r>
          </w:p>
        </w:tc>
        <w:tc>
          <w:tcPr>
            <w:tcW w:w="6428" w:type="dxa"/>
            <w:vAlign w:val="center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3007F4" w:rsidRPr="0066398F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Student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A learner, or who attends an educational institution.</w:t>
            </w:r>
          </w:p>
        </w:tc>
      </w:tr>
      <w:tr w:rsidR="003007F4" w:rsidRPr="0066398F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Statistics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both"/>
              <w:rPr>
                <w:sz w:val="28"/>
                <w:szCs w:val="28"/>
                <w:shd w:val="clear" w:color="auto" w:fill="FFFFFF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The study of the collection,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5" w:tooltip="Analysis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analysis</w:t>
              </w:r>
            </w:hyperlink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, interpretation, presentation, and organization of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6" w:tooltip="Data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data</w:t>
              </w:r>
            </w:hyperlink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3007F4" w:rsidRPr="0066398F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Information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pacing w:line="360" w:lineRule="exact"/>
              <w:ind w:left="259" w:firstLine="283"/>
              <w:jc w:val="both"/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That which informs, i.e. an answer to a question, as well as that from which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7" w:tooltip="Knowledge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knowledge</w:t>
              </w:r>
            </w:hyperlink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and</w:t>
            </w:r>
            <w:r w:rsidRPr="0066398F">
              <w:rPr>
                <w:rStyle w:val="apple-converted-space"/>
                <w:sz w:val="28"/>
                <w:szCs w:val="28"/>
                <w:shd w:val="clear" w:color="auto" w:fill="FFFFFF"/>
                <w:lang w:val="en-US"/>
              </w:rPr>
              <w:t> </w:t>
            </w:r>
            <w:hyperlink r:id="rId8" w:tooltip="Data" w:history="1">
              <w:r w:rsidRPr="0066398F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  <w:lang w:val="en-US"/>
                </w:rPr>
                <w:t>data</w:t>
              </w:r>
            </w:hyperlink>
            <w:r w:rsidRPr="0066398F">
              <w:rPr>
                <w:sz w:val="28"/>
                <w:szCs w:val="28"/>
                <w:lang w:val="en-US"/>
              </w:rPr>
              <w:t xml:space="preserve"> </w:t>
            </w: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can be derived.</w:t>
            </w:r>
          </w:p>
        </w:tc>
      </w:tr>
      <w:tr w:rsidR="003007F4" w:rsidRPr="0066398F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Note</w:t>
            </w:r>
          </w:p>
        </w:tc>
        <w:tc>
          <w:tcPr>
            <w:tcW w:w="6428" w:type="dxa"/>
          </w:tcPr>
          <w:p w:rsidR="003007F4" w:rsidRPr="0066398F" w:rsidRDefault="0066398F" w:rsidP="0066398F">
            <w:pPr>
              <w:spacing w:line="360" w:lineRule="exact"/>
              <w:ind w:left="259" w:firstLine="283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The easiest way to recording information captured from another source. By taking notes, the writer records the essence of the information, freeing their mind from having to recall everything.</w:t>
            </w:r>
          </w:p>
        </w:tc>
      </w:tr>
      <w:tr w:rsidR="003007F4" w:rsidRPr="0066398F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6428" w:type="dxa"/>
          </w:tcPr>
          <w:p w:rsidR="003007F4" w:rsidRPr="0066398F" w:rsidRDefault="0066398F" w:rsidP="003007F4">
            <w:pPr>
              <w:shd w:val="clear" w:color="auto" w:fill="FFFFFF"/>
              <w:spacing w:before="100" w:beforeAutospacing="1" w:after="24" w:line="336" w:lineRule="atLeast"/>
              <w:ind w:left="259" w:firstLine="283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Cutoff date when the task must be solved.</w:t>
            </w:r>
          </w:p>
        </w:tc>
      </w:tr>
      <w:tr w:rsidR="003007F4" w:rsidRPr="0066398F" w:rsidTr="003007F4">
        <w:trPr>
          <w:trHeight w:val="480"/>
        </w:trPr>
        <w:tc>
          <w:tcPr>
            <w:tcW w:w="2860" w:type="dxa"/>
            <w:vAlign w:val="center"/>
          </w:tcPr>
          <w:p w:rsidR="003007F4" w:rsidRPr="0066398F" w:rsidRDefault="0066398F" w:rsidP="003007F4">
            <w:pPr>
              <w:spacing w:line="360" w:lineRule="exact"/>
              <w:jc w:val="center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lang w:val="en-US"/>
              </w:rPr>
              <w:t>Mark</w:t>
            </w:r>
          </w:p>
        </w:tc>
        <w:tc>
          <w:tcPr>
            <w:tcW w:w="6428" w:type="dxa"/>
          </w:tcPr>
          <w:p w:rsidR="003007F4" w:rsidRPr="0066398F" w:rsidRDefault="0066398F" w:rsidP="0066398F">
            <w:pPr>
              <w:shd w:val="clear" w:color="auto" w:fill="FFFFFF"/>
              <w:spacing w:before="100" w:beforeAutospacing="1" w:after="24" w:line="336" w:lineRule="atLeast"/>
              <w:ind w:left="259"/>
              <w:jc w:val="both"/>
              <w:rPr>
                <w:sz w:val="28"/>
                <w:szCs w:val="28"/>
                <w:lang w:val="en-US"/>
              </w:rPr>
            </w:pPr>
            <w:r w:rsidRPr="0066398F">
              <w:rPr>
                <w:sz w:val="28"/>
                <w:szCs w:val="28"/>
                <w:shd w:val="clear" w:color="auto" w:fill="FFFFFF"/>
                <w:lang w:val="en-US"/>
              </w:rPr>
              <w:t>The result of the evaluation process, qualitative or quantitative evaluation of achievements of students in numbers, letters or otherwise.</w:t>
            </w:r>
          </w:p>
        </w:tc>
      </w:tr>
    </w:tbl>
    <w:p w:rsidR="00F7036A" w:rsidRPr="0066398F" w:rsidRDefault="00F7036A" w:rsidP="003007F4">
      <w:pPr>
        <w:jc w:val="both"/>
        <w:rPr>
          <w:sz w:val="28"/>
          <w:szCs w:val="28"/>
          <w:lang w:val="en-US"/>
        </w:rPr>
      </w:pPr>
    </w:p>
    <w:sectPr w:rsidR="00F7036A" w:rsidRPr="0066398F" w:rsidSect="00F7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D112B"/>
    <w:multiLevelType w:val="multilevel"/>
    <w:tmpl w:val="C52C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141"/>
  <w:characterSpacingControl w:val="doNotCompress"/>
  <w:compat/>
  <w:rsids>
    <w:rsidRoot w:val="003007F4"/>
    <w:rsid w:val="00050955"/>
    <w:rsid w:val="003007F4"/>
    <w:rsid w:val="0066398F"/>
    <w:rsid w:val="00F70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0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007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e-BY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007F4"/>
  </w:style>
  <w:style w:type="character" w:styleId="a4">
    <w:name w:val="Hyperlink"/>
    <w:basedOn w:val="a0"/>
    <w:uiPriority w:val="99"/>
    <w:semiHidden/>
    <w:unhideWhenUsed/>
    <w:rsid w:val="003007F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Knowled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ata" TargetMode="External"/><Relationship Id="rId5" Type="http://schemas.openxmlformats.org/officeDocument/2006/relationships/hyperlink" Target="https://en.wikipedia.org/wiki/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136</Words>
  <Characters>835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2015-10-05T17:57:00Z</dcterms:created>
  <dcterms:modified xsi:type="dcterms:W3CDTF">2015-10-11T21:21:00Z</dcterms:modified>
</cp:coreProperties>
</file>