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B4F8A"/>
          <w:sz w:val="52"/>
          <w:szCs w:val="52"/>
        </w:rPr>
        <w:t xml:space="preserve">ORBISAVE</w:t>
      </w:r>
    </w:p>
    <w:p>
      <w:pPr>
        <w:spacing w:after="80" w:before="0"/>
        <w:jc w:val="center"/>
      </w:pPr>
      <w:r>
        <w:rPr>
          <w:rFonts w:ascii="Arial" w:cs="Arial" w:eastAsia="Arial" w:hAnsi="Arial"/>
          <w:color w:val="555555"/>
          <w:sz w:val="20"/>
          <w:szCs w:val="20"/>
        </w:rPr>
        <w:t xml:space="preserve">A Product of Averis Systems Ltd</w:t>
      </w:r>
    </w:p>
    <w:p>
      <w:pPr>
        <w:spacing w:after="80" w:before="0"/>
        <w:jc w:val="center"/>
      </w:pPr>
      <w:r>
        <w:rPr>
          <w:rFonts w:ascii="Arial" w:cs="Arial" w:eastAsia="Arial" w:hAnsi="Arial"/>
          <w:b/>
          <w:bCs/>
          <w:color w:val="333333"/>
          <w:sz w:val="36"/>
          <w:szCs w:val="36"/>
        </w:rPr>
        <w:t xml:space="preserve">PRIVACY POLICY</w:t>
      </w:r>
    </w:p>
    <w:p>
      <w:pPr>
        <w:spacing w:after="60" w:before="0"/>
        <w:jc w:val="center"/>
      </w:pPr>
      <w:r>
        <w:rPr>
          <w:rFonts w:ascii="Arial" w:cs="Arial" w:eastAsia="Arial" w:hAnsi="Arial"/>
          <w:i/>
          <w:iCs/>
          <w:color w:val="555555"/>
          <w:sz w:val="18"/>
          <w:szCs w:val="18"/>
        </w:rPr>
        <w:t xml:space="preserve">Effective Date: 1 April 2026  |  Version 1.0</w:t>
      </w:r>
    </w:p>
    <w:p>
      <w:pPr>
        <w:spacing w:after="60" w:before="0"/>
        <w:jc w:val="center"/>
      </w:pPr>
      <w:r>
        <w:rPr>
          <w:rFonts w:ascii="Arial" w:cs="Arial" w:eastAsia="Arial" w:hAnsi="Arial"/>
          <w:i/>
          <w:iCs/>
          <w:color w:val="555555"/>
          <w:sz w:val="18"/>
          <w:szCs w:val="18"/>
        </w:rPr>
        <w:t xml:space="preserve">Last Reviewed: April 2026</w:t>
      </w:r>
    </w:p>
    <w:p>
      <w:pPr>
        <w:pBdr>
          <w:bottom w:val="single" w:color="1B4F8A" w:sz="8" w:space="1"/>
        </w:pBdr>
        <w:spacing w:after="200" w:before="200"/>
      </w:pPr>
    </w:p>
    <w:p>
      <w:pPr>
        <w:spacing w:after="200" w:before="0"/>
      </w:pPr>
    </w:p>
    <w:p>
      <w:pPr>
        <w:spacing w:after="120" w:before="80" w:line="300"/>
        <w:jc w:val="both"/>
      </w:pPr>
      <w:r>
        <w:rPr>
          <w:rFonts w:ascii="Arial" w:cs="Arial" w:eastAsia="Arial" w:hAnsi="Arial"/>
          <w:color w:val="222222"/>
          <w:sz w:val="20"/>
          <w:szCs w:val="20"/>
        </w:rPr>
        <w:t xml:space="preserve">This Privacy Policy (“Policy”) describes how Averis Systems Ltd (“Averis Systems”, “we”, “us”, or “our”), the developer and operator of the OrbiSave platform (“OrbiSave”, “Platform”, or “Service”), collects, uses, stores, shares, transfers, and protects your personal data. It applies to all users of the OrbiSave mobile application, web dashboard, USSD interface, and any related services offered by Averis Systems Ltd.</w:t>
      </w:r>
    </w:p>
    <w:p>
      <w:pPr>
        <w:spacing w:after="120" w:before="80" w:line="300"/>
        <w:jc w:val="both"/>
      </w:pPr>
      <w:r>
        <w:rPr>
          <w:rFonts w:ascii="Arial" w:cs="Arial" w:eastAsia="Arial" w:hAnsi="Arial"/>
          <w:color w:val="222222"/>
          <w:sz w:val="20"/>
          <w:szCs w:val="20"/>
        </w:rPr>
        <w:t xml:space="preserve">Averis Systems Ltd is incorporated and registered in Kenya, with its registered office at Mombasa, Kenya. OrbiSave is a digital financial infrastructure platform designed to modernise community savings groups—including chamas, Village Savings and Loan Associations (VSLAs), and cooperatives—across Kenya, Rwanda, Ghana, and other jurisdictions within sub-Saharan Africa.</w:t>
      </w:r>
    </w:p>
    <w:p>
      <w:pPr>
        <w:spacing w:after="120" w:before="80" w:line="300"/>
        <w:jc w:val="both"/>
      </w:pPr>
      <w:r>
        <w:rPr>
          <w:rFonts w:ascii="Arial" w:cs="Arial" w:eastAsia="Arial" w:hAnsi="Arial"/>
          <w:color w:val="222222"/>
          <w:sz w:val="20"/>
          <w:szCs w:val="20"/>
        </w:rPr>
        <w:t xml:space="preserve">By accessing or using the OrbiSave Platform, you acknowledge that you have read, understood, and agree to the collection and use of your information as described in this Policy. If you do not agree with this Policy, you must not access or use the Platform.</w:t>
      </w:r>
    </w:p>
    <w:p>
      <w:pPr>
        <w:spacing w:after="100" w:before="0"/>
      </w:pPr>
    </w:p>
    <w:p>
      <w:pPr>
        <w:pStyle w:val="Heading1"/>
        <w:spacing w:after="120" w:before="400"/>
      </w:pPr>
      <w:r>
        <w:rPr>
          <w:rFonts w:ascii="Arial" w:cs="Arial" w:eastAsia="Arial" w:hAnsi="Arial"/>
          <w:b/>
          <w:bCs/>
          <w:color w:val="1B4F8A"/>
          <w:sz w:val="30"/>
          <w:szCs w:val="30"/>
        </w:rPr>
        <w:t xml:space="preserve">1.  DEFINITIONS</w:t>
      </w:r>
    </w:p>
    <w:p>
      <w:pPr>
        <w:spacing w:after="120" w:before="80" w:line="300"/>
        <w:jc w:val="both"/>
      </w:pPr>
      <w:r>
        <w:rPr>
          <w:rFonts w:ascii="Arial" w:cs="Arial" w:eastAsia="Arial" w:hAnsi="Arial"/>
          <w:color w:val="222222"/>
          <w:sz w:val="20"/>
          <w:szCs w:val="20"/>
        </w:rPr>
        <w:t xml:space="preserve">The following terms carry the meanings set out below throughout this Policy: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22222"/>
                <w:sz w:val="18"/>
                <w:szCs w:val="18"/>
              </w:rPr>
              <w:t xml:space="preserve">Term</w:t>
            </w:r>
          </w:p>
        </w:tc>
        <w:tc>
          <w:tcPr>
            <w:tcW w:type="dxa" w:w="68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222222"/>
                <w:sz w:val="18"/>
                <w:szCs w:val="18"/>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Personal Data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Any information that relates to an identified or identifiable natural person, including financial, biometric, or transactional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Processing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Any operation performed on Personal Data, including collection, recording, storage, use, disclosure, transmission, or deletion.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Data Controller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Averis Systems Ltd, which determines the purposes and means of processing your Personal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Data Processor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 third-party entity that processes Personal Data on behalf of Averis Systems Ltd in accordance with our instructions.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User / You / Your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Any individual who accesses or uses the OrbiSave Platform, including group members, group administrators, agents, and partner representatives.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Group / Chama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 community savings group, VSLA, cooperative, or similar entity that uses the Platform to manage collective savings and loans.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KYC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Know Your Customer — identity verification procedures required by applicable financial regulations.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Mobile Money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Electronic money services including M-Pesa, MTN Mobile Money (MoMo), and Airtel Money used to facilitate contributions, payouts, and loan disbursements.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Trust Account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 regulated bank account maintained with a licensed partner bank (e.g., KCB, Equity Bank) that holds User funds; such accounts are entirely separate from Averis Systems Ltd's own operational accounts.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Sensitive Personal Data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 subset of Personal Data including biometric data, national identification numbers, financial account details, and health-related information, which warrants heightened protection under applicable law.</w:t>
            </w:r>
          </w:p>
        </w:tc>
      </w:tr>
    </w:tbl>
    <w:p>
      <w:pPr>
        <w:spacing w:after="160" w:before="0"/>
      </w:pPr>
    </w:p>
    <w:p>
      <w:pPr>
        <w:pStyle w:val="Heading1"/>
        <w:spacing w:after="120" w:before="400"/>
      </w:pPr>
      <w:r>
        <w:rPr>
          <w:rFonts w:ascii="Arial" w:cs="Arial" w:eastAsia="Arial" w:hAnsi="Arial"/>
          <w:b/>
          <w:bCs/>
          <w:color w:val="1B4F8A"/>
          <w:sz w:val="30"/>
          <w:szCs w:val="30"/>
        </w:rPr>
        <w:t xml:space="preserve">2.  LEGAL FRAMEWORK &amp; JURISDICTION</w:t>
      </w:r>
    </w:p>
    <w:p>
      <w:pPr>
        <w:spacing w:after="120" w:before="80" w:line="300"/>
        <w:jc w:val="both"/>
      </w:pPr>
      <w:r>
        <w:rPr>
          <w:rFonts w:ascii="Arial" w:cs="Arial" w:eastAsia="Arial" w:hAnsi="Arial"/>
          <w:color w:val="222222"/>
          <w:sz w:val="20"/>
          <w:szCs w:val="20"/>
        </w:rPr>
        <w:t xml:space="preserve">This Policy is governed by, and drafted in compliance with, the following legislative frameworks:</w:t>
      </w:r>
    </w:p>
    <w:p>
      <w:pPr>
        <w:spacing w:after="60" w:before="0"/>
      </w:pPr>
    </w:p>
    <w:p>
      <w:pPr>
        <w:pStyle w:val="Heading2"/>
        <w:spacing w:after="80" w:before="280"/>
      </w:pPr>
      <w:r>
        <w:rPr>
          <w:rFonts w:ascii="Arial" w:cs="Arial" w:eastAsia="Arial" w:hAnsi="Arial"/>
          <w:b/>
          <w:bCs/>
          <w:color w:val="1B4F8A"/>
          <w:sz w:val="24"/>
          <w:szCs w:val="24"/>
        </w:rPr>
        <w:t xml:space="preserve">2.1  Kenya — Primary Jurisdiction</w:t>
      </w:r>
    </w:p>
    <w:p>
      <w:pPr>
        <w:pStyle w:val="ListParagraph"/>
        <w:numPr>
          <w:ilvl w:val="0"/>
          <w:numId w:val="2"/>
        </w:numPr>
        <w:spacing w:after="40" w:before="40"/>
      </w:pPr>
      <w:r>
        <w:rPr>
          <w:rFonts w:ascii="Arial" w:cs="Arial" w:eastAsia="Arial" w:hAnsi="Arial"/>
          <w:color w:val="222222"/>
          <w:sz w:val="20"/>
          <w:szCs w:val="20"/>
        </w:rPr>
        <w:t xml:space="preserve">Kenya Data Protection Act, 2019 (DPA 2019) and its subsidiary legislation, including the Data Protection (General) Regulations, 2021 and the Data Protection (Registration of Data Controllers and Data Processors) Regulations, 2021.</w:t>
      </w:r>
    </w:p>
    <w:p>
      <w:pPr>
        <w:pStyle w:val="ListParagraph"/>
        <w:numPr>
          <w:ilvl w:val="0"/>
          <w:numId w:val="2"/>
        </w:numPr>
        <w:spacing w:after="40" w:before="40"/>
      </w:pPr>
      <w:r>
        <w:rPr>
          <w:rFonts w:ascii="Arial" w:cs="Arial" w:eastAsia="Arial" w:hAnsi="Arial"/>
          <w:color w:val="222222"/>
          <w:sz w:val="20"/>
          <w:szCs w:val="20"/>
        </w:rPr>
        <w:t xml:space="preserve">Central Bank of Kenya (CBK) Prudential Guidelines and the National Payment System Act, 2011 (as amended).</w:t>
      </w:r>
    </w:p>
    <w:p>
      <w:pPr>
        <w:pStyle w:val="ListParagraph"/>
        <w:numPr>
          <w:ilvl w:val="0"/>
          <w:numId w:val="2"/>
        </w:numPr>
        <w:spacing w:after="40" w:before="40"/>
      </w:pPr>
      <w:r>
        <w:rPr>
          <w:rFonts w:ascii="Arial" w:cs="Arial" w:eastAsia="Arial" w:hAnsi="Arial"/>
          <w:color w:val="222222"/>
          <w:sz w:val="20"/>
          <w:szCs w:val="20"/>
        </w:rPr>
        <w:t xml:space="preserve">Anti-Money Laundering and Combating the Financing of Terrorism (AML/CFT) requirements issued by the Financial Reporting Centre (FRC).</w:t>
      </w:r>
    </w:p>
    <w:p>
      <w:pPr>
        <w:pStyle w:val="ListParagraph"/>
        <w:numPr>
          <w:ilvl w:val="0"/>
          <w:numId w:val="2"/>
        </w:numPr>
        <w:spacing w:after="40" w:before="40"/>
      </w:pPr>
      <w:r>
        <w:rPr>
          <w:rFonts w:ascii="Arial" w:cs="Arial" w:eastAsia="Arial" w:hAnsi="Arial"/>
          <w:color w:val="222222"/>
          <w:sz w:val="20"/>
          <w:szCs w:val="20"/>
        </w:rPr>
        <w:t xml:space="preserve">Computer Misuse and Cybercrimes Act, 2018.</w:t>
      </w:r>
    </w:p>
    <w:p>
      <w:pPr>
        <w:spacing w:after="60" w:before="0"/>
      </w:pPr>
    </w:p>
    <w:p>
      <w:pPr>
        <w:pStyle w:val="Heading2"/>
        <w:spacing w:after="80" w:before="280"/>
      </w:pPr>
      <w:r>
        <w:rPr>
          <w:rFonts w:ascii="Arial" w:cs="Arial" w:eastAsia="Arial" w:hAnsi="Arial"/>
          <w:b/>
          <w:bCs/>
          <w:color w:val="1B4F8A"/>
          <w:sz w:val="24"/>
          <w:szCs w:val="24"/>
        </w:rPr>
        <w:t xml:space="preserve">2.2  Rwanda — Secondary Jurisdiction</w:t>
      </w:r>
    </w:p>
    <w:p>
      <w:pPr>
        <w:pStyle w:val="ListParagraph"/>
        <w:numPr>
          <w:ilvl w:val="0"/>
          <w:numId w:val="2"/>
        </w:numPr>
        <w:spacing w:after="40" w:before="40"/>
      </w:pPr>
      <w:r>
        <w:rPr>
          <w:rFonts w:ascii="Arial" w:cs="Arial" w:eastAsia="Arial" w:hAnsi="Arial"/>
          <w:color w:val="222222"/>
          <w:sz w:val="20"/>
          <w:szCs w:val="20"/>
        </w:rPr>
        <w:t xml:space="preserve">Rwanda Law No. 058/2021 of 13/10/2021 Relating to the Protection of Personal Data and Privacy.</w:t>
      </w:r>
    </w:p>
    <w:p>
      <w:pPr>
        <w:pStyle w:val="ListParagraph"/>
        <w:numPr>
          <w:ilvl w:val="0"/>
          <w:numId w:val="2"/>
        </w:numPr>
        <w:spacing w:after="40" w:before="40"/>
      </w:pPr>
      <w:r>
        <w:rPr>
          <w:rFonts w:ascii="Arial" w:cs="Arial" w:eastAsia="Arial" w:hAnsi="Arial"/>
          <w:color w:val="222222"/>
          <w:sz w:val="20"/>
          <w:szCs w:val="20"/>
        </w:rPr>
        <w:t xml:space="preserve">National Bank of Rwanda (BNR) Payment System Regulations and applicable fintech licensing requirements.</w:t>
      </w:r>
    </w:p>
    <w:p>
      <w:pPr>
        <w:pStyle w:val="ListParagraph"/>
        <w:numPr>
          <w:ilvl w:val="0"/>
          <w:numId w:val="2"/>
        </w:numPr>
        <w:spacing w:after="40" w:before="40"/>
      </w:pPr>
      <w:r>
        <w:rPr>
          <w:rFonts w:ascii="Arial" w:cs="Arial" w:eastAsia="Arial" w:hAnsi="Arial"/>
          <w:color w:val="222222"/>
          <w:sz w:val="20"/>
          <w:szCs w:val="20"/>
        </w:rPr>
        <w:t xml:space="preserve">Law No. 17/2018 of 13/04/2018 on Anti-Money Laundering and Combating the Financing of Terrorism.</w:t>
      </w:r>
    </w:p>
    <w:p>
      <w:pPr>
        <w:spacing w:after="60" w:before="0"/>
      </w:pPr>
    </w:p>
    <w:p>
      <w:pPr>
        <w:pStyle w:val="Heading2"/>
        <w:spacing w:after="80" w:before="280"/>
      </w:pPr>
      <w:r>
        <w:rPr>
          <w:rFonts w:ascii="Arial" w:cs="Arial" w:eastAsia="Arial" w:hAnsi="Arial"/>
          <w:b/>
          <w:bCs/>
          <w:color w:val="1B4F8A"/>
          <w:sz w:val="24"/>
          <w:szCs w:val="24"/>
        </w:rPr>
        <w:t xml:space="preserve">2.3  Ghana — Tertiary Jurisdiction</w:t>
      </w:r>
    </w:p>
    <w:p>
      <w:pPr>
        <w:pStyle w:val="ListParagraph"/>
        <w:numPr>
          <w:ilvl w:val="0"/>
          <w:numId w:val="2"/>
        </w:numPr>
        <w:spacing w:after="40" w:before="40"/>
      </w:pPr>
      <w:r>
        <w:rPr>
          <w:rFonts w:ascii="Arial" w:cs="Arial" w:eastAsia="Arial" w:hAnsi="Arial"/>
          <w:color w:val="222222"/>
          <w:sz w:val="20"/>
          <w:szCs w:val="20"/>
        </w:rPr>
        <w:t xml:space="preserve">Ghana Data Protection Act, 2012 (Act 843) and accompanying regulations.</w:t>
      </w:r>
    </w:p>
    <w:p>
      <w:pPr>
        <w:pStyle w:val="ListParagraph"/>
        <w:numPr>
          <w:ilvl w:val="0"/>
          <w:numId w:val="2"/>
        </w:numPr>
        <w:spacing w:after="40" w:before="40"/>
      </w:pPr>
      <w:r>
        <w:rPr>
          <w:rFonts w:ascii="Arial" w:cs="Arial" w:eastAsia="Arial" w:hAnsi="Arial"/>
          <w:color w:val="222222"/>
          <w:sz w:val="20"/>
          <w:szCs w:val="20"/>
        </w:rPr>
        <w:t xml:space="preserve">Bank of Ghana Payment Systems and Services Act, 2019 (Act 987) and fintech sandbox regulations.</w:t>
      </w:r>
    </w:p>
    <w:p>
      <w:pPr>
        <w:pStyle w:val="ListParagraph"/>
        <w:numPr>
          <w:ilvl w:val="0"/>
          <w:numId w:val="2"/>
        </w:numPr>
        <w:spacing w:after="40" w:before="40"/>
      </w:pPr>
      <w:r>
        <w:rPr>
          <w:rFonts w:ascii="Arial" w:cs="Arial" w:eastAsia="Arial" w:hAnsi="Arial"/>
          <w:color w:val="222222"/>
          <w:sz w:val="20"/>
          <w:szCs w:val="20"/>
        </w:rPr>
        <w:t xml:space="preserve">Anti-Money Laundering Act, 2020 (Act 1044).</w:t>
      </w:r>
    </w:p>
    <w:p>
      <w:pPr>
        <w:spacing w:after="60" w:before="0"/>
      </w:pPr>
    </w:p>
    <w:p>
      <w:pPr>
        <w:pStyle w:val="Heading2"/>
        <w:spacing w:after="80" w:before="280"/>
      </w:pPr>
      <w:r>
        <w:rPr>
          <w:rFonts w:ascii="Arial" w:cs="Arial" w:eastAsia="Arial" w:hAnsi="Arial"/>
          <w:b/>
          <w:bCs/>
          <w:color w:val="1B4F8A"/>
          <w:sz w:val="24"/>
          <w:szCs w:val="24"/>
        </w:rPr>
        <w:t xml:space="preserve">2.4  International Standards</w:t>
      </w:r>
    </w:p>
    <w:p>
      <w:pPr>
        <w:spacing w:after="120" w:before="80" w:line="300"/>
        <w:jc w:val="both"/>
      </w:pPr>
      <w:r>
        <w:rPr>
          <w:rFonts w:ascii="Arial" w:cs="Arial" w:eastAsia="Arial" w:hAnsi="Arial"/>
          <w:color w:val="222222"/>
          <w:sz w:val="20"/>
          <w:szCs w:val="20"/>
        </w:rPr>
        <w:t xml:space="preserve">Where applicable, we also observe the principles of the European Union General Data Protection Regulation (GDPR) (EU) 2016/679 as a benchmark for data protection best practice, particularly when processing data of individuals located in or connected to jurisdictions that recognise GDPR-equivalent standards. We observe the OECD Privacy Guidelines and the African Union Convention on Cyber Security and Personal Data Protection (Malabo Convention).</w:t>
      </w:r>
    </w:p>
    <w:p>
      <w:pPr>
        <w:spacing w:after="100" w:before="0"/>
      </w:pPr>
    </w:p>
    <w:p>
      <w:pPr>
        <w:pStyle w:val="Heading1"/>
        <w:spacing w:after="120" w:before="400"/>
      </w:pPr>
      <w:r>
        <w:rPr>
          <w:rFonts w:ascii="Arial" w:cs="Arial" w:eastAsia="Arial" w:hAnsi="Arial"/>
          <w:b/>
          <w:bCs/>
          <w:color w:val="1B4F8A"/>
          <w:sz w:val="30"/>
          <w:szCs w:val="30"/>
        </w:rPr>
        <w:t xml:space="preserve">3.  DATA CONTROLLER INFORMATION</w:t>
      </w:r>
    </w:p>
    <w:p>
      <w:pPr>
        <w:spacing w:after="120" w:before="80" w:line="300"/>
        <w:jc w:val="both"/>
      </w:pPr>
      <w:r>
        <w:rPr>
          <w:rFonts w:ascii="Arial" w:cs="Arial" w:eastAsia="Arial" w:hAnsi="Arial"/>
          <w:color w:val="222222"/>
          <w:sz w:val="20"/>
          <w:szCs w:val="20"/>
        </w:rPr>
        <w:t xml:space="preserve">The Data Controller responsible for your Personal Data is:</w:t>
      </w:r>
    </w:p>
    <w:p>
      <w:pPr>
        <w:spacing w:after="60" w:before="0"/>
      </w:pPr>
    </w:p>
    <w:p>
      <w:pPr>
        <w:spacing w:after="80" w:before="80"/>
      </w:pPr>
      <w:r>
        <w:rPr>
          <w:rFonts w:ascii="Arial" w:cs="Arial" w:eastAsia="Arial" w:hAnsi="Arial"/>
          <w:b/>
          <w:bCs/>
          <w:sz w:val="20"/>
          <w:szCs w:val="20"/>
        </w:rPr>
        <w:t xml:space="preserve">Averis Systems Ltd</w:t>
      </w:r>
    </w:p>
    <w:p>
      <w:pPr>
        <w:spacing w:after="40" w:before="0"/>
      </w:pPr>
      <w:r>
        <w:rPr>
          <w:rFonts w:ascii="Arial" w:cs="Arial" w:eastAsia="Arial" w:hAnsi="Arial"/>
          <w:sz w:val="20"/>
          <w:szCs w:val="20"/>
        </w:rPr>
        <w:t xml:space="preserve">Registered Office: Mombasa, Kenya</w:t>
      </w:r>
    </w:p>
    <w:p>
      <w:pPr>
        <w:spacing w:after="40" w:before="0"/>
      </w:pPr>
      <w:r>
        <w:rPr>
          <w:rFonts w:ascii="Arial" w:cs="Arial" w:eastAsia="Arial" w:hAnsi="Arial"/>
          <w:sz w:val="20"/>
          <w:szCs w:val="20"/>
        </w:rPr>
        <w:t xml:space="preserve">Platform: OrbiSave (orbisave.com)</w:t>
      </w:r>
    </w:p>
    <w:p>
      <w:pPr>
        <w:spacing w:after="40" w:before="0"/>
      </w:pPr>
      <w:r>
        <w:rPr>
          <w:rFonts w:ascii="Arial" w:cs="Arial" w:eastAsia="Arial" w:hAnsi="Arial"/>
          <w:sz w:val="20"/>
          <w:szCs w:val="20"/>
        </w:rPr>
        <w:t xml:space="preserve">Data Protection Enquiries: privacy@orbisave.com</w:t>
      </w:r>
    </w:p>
    <w:p>
      <w:pPr>
        <w:spacing w:after="40" w:before="0"/>
      </w:pPr>
      <w:r>
        <w:rPr>
          <w:rFonts w:ascii="Arial" w:cs="Arial" w:eastAsia="Arial" w:hAnsi="Arial"/>
          <w:sz w:val="20"/>
          <w:szCs w:val="20"/>
        </w:rPr>
        <w:t xml:space="preserve">General Contact: hello@orbisave.com</w:t>
      </w:r>
    </w:p>
    <w:p>
      <w:pPr>
        <w:spacing w:after="60" w:before="0"/>
      </w:pPr>
    </w:p>
    <w:p>
      <w:pPr>
        <w:spacing w:after="120" w:before="80" w:line="300"/>
        <w:jc w:val="both"/>
      </w:pPr>
      <w:r>
        <w:rPr>
          <w:rFonts w:ascii="Arial" w:cs="Arial" w:eastAsia="Arial" w:hAnsi="Arial"/>
          <w:color w:val="222222"/>
          <w:sz w:val="20"/>
          <w:szCs w:val="20"/>
        </w:rPr>
        <w:t xml:space="preserve">Averis Systems Ltd is registered as a Data Controller with the Office of the Data Protection Commissioner (ODPC) of Kenya as required under the Data Protection Act, 2019. Equivalent registrations or notifications are maintained (or in progress) in Rwanda and Ghana.</w:t>
      </w:r>
    </w:p>
    <w:p>
      <w:pPr>
        <w:spacing w:after="100" w:before="0"/>
      </w:pPr>
    </w:p>
    <w:p>
      <w:pPr>
        <w:pStyle w:val="Heading1"/>
        <w:spacing w:after="120" w:before="400"/>
      </w:pPr>
      <w:r>
        <w:rPr>
          <w:rFonts w:ascii="Arial" w:cs="Arial" w:eastAsia="Arial" w:hAnsi="Arial"/>
          <w:b/>
          <w:bCs/>
          <w:color w:val="1B4F8A"/>
          <w:sz w:val="30"/>
          <w:szCs w:val="30"/>
        </w:rPr>
        <w:t xml:space="preserve">4.  PERSONAL DATA WE COLLECT</w:t>
      </w:r>
    </w:p>
    <w:p>
      <w:pPr>
        <w:spacing w:after="120" w:before="80" w:line="300"/>
        <w:jc w:val="both"/>
      </w:pPr>
      <w:r>
        <w:rPr>
          <w:rFonts w:ascii="Arial" w:cs="Arial" w:eastAsia="Arial" w:hAnsi="Arial"/>
          <w:color w:val="222222"/>
          <w:sz w:val="20"/>
          <w:szCs w:val="20"/>
        </w:rPr>
        <w:t xml:space="preserve">We collect only the minimum Personal Data necessary to deliver our services and satisfy our legal and regulatory obligations. The categories of Personal Data we collect are described below.</w:t>
      </w:r>
    </w:p>
    <w:p>
      <w:pPr>
        <w:spacing w:after="60" w:before="0"/>
      </w:pPr>
    </w:p>
    <w:p>
      <w:pPr>
        <w:pStyle w:val="Heading2"/>
        <w:spacing w:after="80" w:before="280"/>
      </w:pPr>
      <w:r>
        <w:rPr>
          <w:rFonts w:ascii="Arial" w:cs="Arial" w:eastAsia="Arial" w:hAnsi="Arial"/>
          <w:b/>
          <w:bCs/>
          <w:color w:val="1B4F8A"/>
          <w:sz w:val="24"/>
          <w:szCs w:val="24"/>
        </w:rPr>
        <w:t xml:space="preserve">4.1  Identity &amp; KYC Data</w:t>
      </w:r>
    </w:p>
    <w:p>
      <w:pPr>
        <w:spacing w:after="120" w:before="80" w:line="300"/>
        <w:jc w:val="both"/>
      </w:pPr>
      <w:r>
        <w:rPr>
          <w:rFonts w:ascii="Arial" w:cs="Arial" w:eastAsia="Arial" w:hAnsi="Arial"/>
          <w:color w:val="222222"/>
          <w:sz w:val="20"/>
          <w:szCs w:val="20"/>
        </w:rPr>
        <w:t xml:space="preserve">Collected for account registration and Know Your Customer (KYC) compliance obligations:</w:t>
      </w:r>
    </w:p>
    <w:p>
      <w:pPr>
        <w:pStyle w:val="ListParagraph"/>
        <w:numPr>
          <w:ilvl w:val="0"/>
          <w:numId w:val="2"/>
        </w:numPr>
        <w:spacing w:after="40" w:before="40"/>
      </w:pPr>
      <w:r>
        <w:rPr>
          <w:rFonts w:ascii="Arial" w:cs="Arial" w:eastAsia="Arial" w:hAnsi="Arial"/>
          <w:color w:val="222222"/>
          <w:sz w:val="20"/>
          <w:szCs w:val="20"/>
        </w:rPr>
        <w:t xml:space="preserve">Full legal name (first name, middle name, last name)</w:t>
      </w:r>
    </w:p>
    <w:p>
      <w:pPr>
        <w:pStyle w:val="ListParagraph"/>
        <w:numPr>
          <w:ilvl w:val="0"/>
          <w:numId w:val="2"/>
        </w:numPr>
        <w:spacing w:after="40" w:before="40"/>
      </w:pPr>
      <w:r>
        <w:rPr>
          <w:rFonts w:ascii="Arial" w:cs="Arial" w:eastAsia="Arial" w:hAnsi="Arial"/>
          <w:color w:val="222222"/>
          <w:sz w:val="20"/>
          <w:szCs w:val="20"/>
        </w:rPr>
        <w:t xml:space="preserve">National identity card number, passport number, or other government-issued identification number</w:t>
      </w:r>
    </w:p>
    <w:p>
      <w:pPr>
        <w:pStyle w:val="ListParagraph"/>
        <w:numPr>
          <w:ilvl w:val="0"/>
          <w:numId w:val="2"/>
        </w:numPr>
        <w:spacing w:after="40" w:before="40"/>
      </w:pPr>
      <w:r>
        <w:rPr>
          <w:rFonts w:ascii="Arial" w:cs="Arial" w:eastAsia="Arial" w:hAnsi="Arial"/>
          <w:color w:val="222222"/>
          <w:sz w:val="20"/>
          <w:szCs w:val="20"/>
        </w:rPr>
        <w:t xml:space="preserve">Date of birth and gender</w:t>
      </w:r>
    </w:p>
    <w:p>
      <w:pPr>
        <w:pStyle w:val="ListParagraph"/>
        <w:numPr>
          <w:ilvl w:val="0"/>
          <w:numId w:val="2"/>
        </w:numPr>
        <w:spacing w:after="40" w:before="40"/>
      </w:pPr>
      <w:r>
        <w:rPr>
          <w:rFonts w:ascii="Arial" w:cs="Arial" w:eastAsia="Arial" w:hAnsi="Arial"/>
          <w:color w:val="222222"/>
          <w:sz w:val="20"/>
          <w:szCs w:val="20"/>
        </w:rPr>
        <w:t xml:space="preserve">Nationality and country of residence</w:t>
      </w:r>
    </w:p>
    <w:p>
      <w:pPr>
        <w:pStyle w:val="ListParagraph"/>
        <w:numPr>
          <w:ilvl w:val="0"/>
          <w:numId w:val="2"/>
        </w:numPr>
        <w:spacing w:after="40" w:before="40"/>
      </w:pPr>
      <w:r>
        <w:rPr>
          <w:rFonts w:ascii="Arial" w:cs="Arial" w:eastAsia="Arial" w:hAnsi="Arial"/>
          <w:color w:val="222222"/>
          <w:sz w:val="20"/>
          <w:szCs w:val="20"/>
        </w:rPr>
        <w:t xml:space="preserve">Photograph (selfie or portrait uploaded during onboarding, used for identity verification via Smile Identity and Prembly APIs)</w:t>
      </w:r>
    </w:p>
    <w:p>
      <w:pPr>
        <w:pStyle w:val="ListParagraph"/>
        <w:numPr>
          <w:ilvl w:val="0"/>
          <w:numId w:val="2"/>
        </w:numPr>
        <w:spacing w:after="40" w:before="40"/>
      </w:pPr>
      <w:r>
        <w:rPr>
          <w:rFonts w:ascii="Arial" w:cs="Arial" w:eastAsia="Arial" w:hAnsi="Arial"/>
          <w:color w:val="222222"/>
          <w:sz w:val="20"/>
          <w:szCs w:val="20"/>
        </w:rPr>
        <w:t xml:space="preserve">Biometric data: facial recognition vectors generated during the identity verification process (processed by third-party KYC providers; raw biometric data is not stored on OrbiSave servers)</w:t>
      </w:r>
    </w:p>
    <w:p>
      <w:pPr>
        <w:pStyle w:val="ListParagraph"/>
        <w:numPr>
          <w:ilvl w:val="0"/>
          <w:numId w:val="2"/>
        </w:numPr>
        <w:spacing w:after="40" w:before="40"/>
      </w:pPr>
      <w:r>
        <w:rPr>
          <w:rFonts w:ascii="Arial" w:cs="Arial" w:eastAsia="Arial" w:hAnsi="Arial"/>
          <w:color w:val="222222"/>
          <w:sz w:val="20"/>
          <w:szCs w:val="20"/>
        </w:rPr>
        <w:t xml:space="preserve">Mobile phone number (registered SIM card, used for M-Pesa/MTN MoMo/Airtel integration and USSD access)</w:t>
      </w:r>
    </w:p>
    <w:p>
      <w:pPr>
        <w:spacing w:after="60" w:before="0"/>
      </w:pPr>
    </w:p>
    <w:p>
      <w:pPr>
        <w:pStyle w:val="Heading2"/>
        <w:spacing w:after="80" w:before="280"/>
      </w:pPr>
      <w:r>
        <w:rPr>
          <w:rFonts w:ascii="Arial" w:cs="Arial" w:eastAsia="Arial" w:hAnsi="Arial"/>
          <w:b/>
          <w:bCs/>
          <w:color w:val="1B4F8A"/>
          <w:sz w:val="24"/>
          <w:szCs w:val="24"/>
        </w:rPr>
        <w:t xml:space="preserve">4.2  Financial &amp; Transaction Data</w:t>
      </w:r>
    </w:p>
    <w:p>
      <w:pPr>
        <w:spacing w:after="120" w:before="80" w:line="300"/>
        <w:jc w:val="both"/>
      </w:pPr>
      <w:r>
        <w:rPr>
          <w:rFonts w:ascii="Arial" w:cs="Arial" w:eastAsia="Arial" w:hAnsi="Arial"/>
          <w:color w:val="222222"/>
          <w:sz w:val="20"/>
          <w:szCs w:val="20"/>
        </w:rPr>
        <w:t xml:space="preserve">Collected to operate the savings platform and comply with AML/CFT obligations:</w:t>
      </w:r>
    </w:p>
    <w:p>
      <w:pPr>
        <w:pStyle w:val="ListParagraph"/>
        <w:numPr>
          <w:ilvl w:val="0"/>
          <w:numId w:val="2"/>
        </w:numPr>
        <w:spacing w:after="40" w:before="40"/>
      </w:pPr>
      <w:r>
        <w:rPr>
          <w:rFonts w:ascii="Arial" w:cs="Arial" w:eastAsia="Arial" w:hAnsi="Arial"/>
          <w:color w:val="222222"/>
          <w:sz w:val="20"/>
          <w:szCs w:val="20"/>
        </w:rPr>
        <w:t xml:space="preserve">Contribution amounts, dates, and frequency per group</w:t>
      </w:r>
    </w:p>
    <w:p>
      <w:pPr>
        <w:pStyle w:val="ListParagraph"/>
        <w:numPr>
          <w:ilvl w:val="0"/>
          <w:numId w:val="2"/>
        </w:numPr>
        <w:spacing w:after="40" w:before="40"/>
      </w:pPr>
      <w:r>
        <w:rPr>
          <w:rFonts w:ascii="Arial" w:cs="Arial" w:eastAsia="Arial" w:hAnsi="Arial"/>
          <w:color w:val="222222"/>
          <w:sz w:val="20"/>
          <w:szCs w:val="20"/>
        </w:rPr>
        <w:t xml:space="preserve">Payout and disbursement amounts and schedules</w:t>
      </w:r>
    </w:p>
    <w:p>
      <w:pPr>
        <w:pStyle w:val="ListParagraph"/>
        <w:numPr>
          <w:ilvl w:val="0"/>
          <w:numId w:val="2"/>
        </w:numPr>
        <w:spacing w:after="40" w:before="40"/>
      </w:pPr>
      <w:r>
        <w:rPr>
          <w:rFonts w:ascii="Arial" w:cs="Arial" w:eastAsia="Arial" w:hAnsi="Arial"/>
          <w:color w:val="222222"/>
          <w:sz w:val="20"/>
          <w:szCs w:val="20"/>
        </w:rPr>
        <w:t xml:space="preserve">Internal loan applications, approval decisions, outstanding balances, and repayment history</w:t>
      </w:r>
    </w:p>
    <w:p>
      <w:pPr>
        <w:pStyle w:val="ListParagraph"/>
        <w:numPr>
          <w:ilvl w:val="0"/>
          <w:numId w:val="2"/>
        </w:numPr>
        <w:spacing w:after="40" w:before="40"/>
      </w:pPr>
      <w:r>
        <w:rPr>
          <w:rFonts w:ascii="Arial" w:cs="Arial" w:eastAsia="Arial" w:hAnsi="Arial"/>
          <w:color w:val="222222"/>
          <w:sz w:val="20"/>
          <w:szCs w:val="20"/>
        </w:rPr>
        <w:t xml:space="preserve">Mobile money wallet identifiers (M-Pesa Paybill, MTN MoMo account references, Airtel Money account references)</w:t>
      </w:r>
    </w:p>
    <w:p>
      <w:pPr>
        <w:pStyle w:val="ListParagraph"/>
        <w:numPr>
          <w:ilvl w:val="0"/>
          <w:numId w:val="2"/>
        </w:numPr>
        <w:spacing w:after="40" w:before="40"/>
      </w:pPr>
      <w:r>
        <w:rPr>
          <w:rFonts w:ascii="Arial" w:cs="Arial" w:eastAsia="Arial" w:hAnsi="Arial"/>
          <w:color w:val="222222"/>
          <w:sz w:val="20"/>
          <w:szCs w:val="20"/>
        </w:rPr>
        <w:t xml:space="preserve">Bank account details where provided for alternative disbursement (e.g., KCB, Equity Bank accounts)</w:t>
      </w:r>
    </w:p>
    <w:p>
      <w:pPr>
        <w:pStyle w:val="ListParagraph"/>
        <w:numPr>
          <w:ilvl w:val="0"/>
          <w:numId w:val="2"/>
        </w:numPr>
        <w:spacing w:after="40" w:before="40"/>
      </w:pPr>
      <w:r>
        <w:rPr>
          <w:rFonts w:ascii="Arial" w:cs="Arial" w:eastAsia="Arial" w:hAnsi="Arial"/>
          <w:color w:val="222222"/>
          <w:sz w:val="20"/>
          <w:szCs w:val="20"/>
        </w:rPr>
        <w:t xml:space="preserve">Transaction reference numbers and STK push confirmation codes</w:t>
      </w:r>
    </w:p>
    <w:p>
      <w:pPr>
        <w:pStyle w:val="ListParagraph"/>
        <w:numPr>
          <w:ilvl w:val="0"/>
          <w:numId w:val="2"/>
        </w:numPr>
        <w:spacing w:after="40" w:before="40"/>
      </w:pPr>
      <w:r>
        <w:rPr>
          <w:rFonts w:ascii="Arial" w:cs="Arial" w:eastAsia="Arial" w:hAnsi="Arial"/>
          <w:color w:val="222222"/>
          <w:sz w:val="20"/>
          <w:szCs w:val="20"/>
        </w:rPr>
        <w:t xml:space="preserve">Float amounts held in Trust Accounts attributable to each User or Group Wallet</w:t>
      </w:r>
    </w:p>
    <w:p>
      <w:pPr>
        <w:pStyle w:val="ListParagraph"/>
        <w:numPr>
          <w:ilvl w:val="0"/>
          <w:numId w:val="2"/>
        </w:numPr>
        <w:spacing w:after="40" w:before="40"/>
      </w:pPr>
      <w:r>
        <w:rPr>
          <w:rFonts w:ascii="Arial" w:cs="Arial" w:eastAsia="Arial" w:hAnsi="Arial"/>
          <w:color w:val="222222"/>
          <w:sz w:val="20"/>
          <w:szCs w:val="20"/>
        </w:rPr>
        <w:t xml:space="preserve">Complete transaction ledger history — immutable records of all financial events</w:t>
      </w:r>
    </w:p>
    <w:p>
      <w:pPr>
        <w:spacing w:after="60" w:before="0"/>
      </w:pPr>
    </w:p>
    <w:p>
      <w:pPr>
        <w:pStyle w:val="Heading2"/>
        <w:spacing w:after="80" w:before="280"/>
      </w:pPr>
      <w:r>
        <w:rPr>
          <w:rFonts w:ascii="Arial" w:cs="Arial" w:eastAsia="Arial" w:hAnsi="Arial"/>
          <w:b/>
          <w:bCs/>
          <w:color w:val="1B4F8A"/>
          <w:sz w:val="24"/>
          <w:szCs w:val="24"/>
        </w:rPr>
        <w:t xml:space="preserve">4.3  Group &amp; Governance Data</w:t>
      </w:r>
    </w:p>
    <w:p>
      <w:pPr>
        <w:pStyle w:val="ListParagraph"/>
        <w:numPr>
          <w:ilvl w:val="0"/>
          <w:numId w:val="2"/>
        </w:numPr>
        <w:spacing w:after="40" w:before="40"/>
      </w:pPr>
      <w:r>
        <w:rPr>
          <w:rFonts w:ascii="Arial" w:cs="Arial" w:eastAsia="Arial" w:hAnsi="Arial"/>
          <w:color w:val="222222"/>
          <w:sz w:val="20"/>
          <w:szCs w:val="20"/>
        </w:rPr>
        <w:t xml:space="preserve">Group name, constitution, membership roster, and role assignments (Chair, Treasurer, Secretary, Member)</w:t>
      </w:r>
    </w:p>
    <w:p>
      <w:pPr>
        <w:pStyle w:val="ListParagraph"/>
        <w:numPr>
          <w:ilvl w:val="0"/>
          <w:numId w:val="2"/>
        </w:numPr>
        <w:spacing w:after="40" w:before="40"/>
      </w:pPr>
      <w:r>
        <w:rPr>
          <w:rFonts w:ascii="Arial" w:cs="Arial" w:eastAsia="Arial" w:hAnsi="Arial"/>
          <w:color w:val="222222"/>
          <w:sz w:val="20"/>
          <w:szCs w:val="20"/>
        </w:rPr>
        <w:t xml:space="preserve">Contribution schedules, rotation order, and payout allocation rules set by the Group</w:t>
      </w:r>
    </w:p>
    <w:p>
      <w:pPr>
        <w:pStyle w:val="ListParagraph"/>
        <w:numPr>
          <w:ilvl w:val="0"/>
          <w:numId w:val="2"/>
        </w:numPr>
        <w:spacing w:after="40" w:before="40"/>
      </w:pPr>
      <w:r>
        <w:rPr>
          <w:rFonts w:ascii="Arial" w:cs="Arial" w:eastAsia="Arial" w:hAnsi="Arial"/>
          <w:color w:val="222222"/>
          <w:sz w:val="20"/>
          <w:szCs w:val="20"/>
        </w:rPr>
        <w:t xml:space="preserve">Voting records and resolutions from digital meetings</w:t>
      </w:r>
    </w:p>
    <w:p>
      <w:pPr>
        <w:pStyle w:val="ListParagraph"/>
        <w:numPr>
          <w:ilvl w:val="0"/>
          <w:numId w:val="2"/>
        </w:numPr>
        <w:spacing w:after="40" w:before="40"/>
      </w:pPr>
      <w:r>
        <w:rPr>
          <w:rFonts w:ascii="Arial" w:cs="Arial" w:eastAsia="Arial" w:hAnsi="Arial"/>
          <w:color w:val="222222"/>
          <w:sz w:val="20"/>
          <w:szCs w:val="20"/>
        </w:rPr>
        <w:t xml:space="preserve">Attendance records for digital group meetings</w:t>
      </w:r>
    </w:p>
    <w:p>
      <w:pPr>
        <w:pStyle w:val="ListParagraph"/>
        <w:numPr>
          <w:ilvl w:val="0"/>
          <w:numId w:val="2"/>
        </w:numPr>
        <w:spacing w:after="40" w:before="40"/>
      </w:pPr>
      <w:r>
        <w:rPr>
          <w:rFonts w:ascii="Arial" w:cs="Arial" w:eastAsia="Arial" w:hAnsi="Arial"/>
          <w:color w:val="222222"/>
          <w:sz w:val="20"/>
          <w:szCs w:val="20"/>
        </w:rPr>
        <w:t xml:space="preserve">Governance decisions including loan approvals, expulsions, and rule amendments</w:t>
      </w:r>
    </w:p>
    <w:p>
      <w:pPr>
        <w:spacing w:after="60" w:before="0"/>
      </w:pPr>
    </w:p>
    <w:p>
      <w:pPr>
        <w:pStyle w:val="Heading2"/>
        <w:spacing w:after="80" w:before="280"/>
      </w:pPr>
      <w:r>
        <w:rPr>
          <w:rFonts w:ascii="Arial" w:cs="Arial" w:eastAsia="Arial" w:hAnsi="Arial"/>
          <w:b/>
          <w:bCs/>
          <w:color w:val="1B4F8A"/>
          <w:sz w:val="24"/>
          <w:szCs w:val="24"/>
        </w:rPr>
        <w:t xml:space="preserve">4.4  Device &amp; Technical Data</w:t>
      </w:r>
    </w:p>
    <w:p>
      <w:pPr>
        <w:pStyle w:val="ListParagraph"/>
        <w:numPr>
          <w:ilvl w:val="0"/>
          <w:numId w:val="2"/>
        </w:numPr>
        <w:spacing w:after="40" w:before="40"/>
      </w:pPr>
      <w:r>
        <w:rPr>
          <w:rFonts w:ascii="Arial" w:cs="Arial" w:eastAsia="Arial" w:hAnsi="Arial"/>
          <w:color w:val="222222"/>
          <w:sz w:val="20"/>
          <w:szCs w:val="20"/>
        </w:rPr>
        <w:t xml:space="preserve">Device type, operating system version, and device identifiers (IMEI/IMSI — where permitted by applicable law and required for SIM-based KYC)</w:t>
      </w:r>
    </w:p>
    <w:p>
      <w:pPr>
        <w:pStyle w:val="ListParagraph"/>
        <w:numPr>
          <w:ilvl w:val="0"/>
          <w:numId w:val="2"/>
        </w:numPr>
        <w:spacing w:after="40" w:before="40"/>
      </w:pPr>
      <w:r>
        <w:rPr>
          <w:rFonts w:ascii="Arial" w:cs="Arial" w:eastAsia="Arial" w:hAnsi="Arial"/>
          <w:color w:val="222222"/>
          <w:sz w:val="20"/>
          <w:szCs w:val="20"/>
        </w:rPr>
        <w:t xml:space="preserve">Mobile application version and session activity logs</w:t>
      </w:r>
    </w:p>
    <w:p>
      <w:pPr>
        <w:pStyle w:val="ListParagraph"/>
        <w:numPr>
          <w:ilvl w:val="0"/>
          <w:numId w:val="2"/>
        </w:numPr>
        <w:spacing w:after="40" w:before="40"/>
      </w:pPr>
      <w:r>
        <w:rPr>
          <w:rFonts w:ascii="Arial" w:cs="Arial" w:eastAsia="Arial" w:hAnsi="Arial"/>
          <w:color w:val="222222"/>
          <w:sz w:val="20"/>
          <w:szCs w:val="20"/>
        </w:rPr>
        <w:t xml:space="preserve">Internet Protocol (IP) address and approximate geolocation (country/region level only — we do not track precise GPS location)</w:t>
      </w:r>
    </w:p>
    <w:p>
      <w:pPr>
        <w:pStyle w:val="ListParagraph"/>
        <w:numPr>
          <w:ilvl w:val="0"/>
          <w:numId w:val="2"/>
        </w:numPr>
        <w:spacing w:after="40" w:before="40"/>
      </w:pPr>
      <w:r>
        <w:rPr>
          <w:rFonts w:ascii="Arial" w:cs="Arial" w:eastAsia="Arial" w:hAnsi="Arial"/>
          <w:color w:val="222222"/>
          <w:sz w:val="20"/>
          <w:szCs w:val="20"/>
        </w:rPr>
        <w:t xml:space="preserve">USSD session data for feature phone users</w:t>
      </w:r>
    </w:p>
    <w:p>
      <w:pPr>
        <w:pStyle w:val="ListParagraph"/>
        <w:numPr>
          <w:ilvl w:val="0"/>
          <w:numId w:val="2"/>
        </w:numPr>
        <w:spacing w:after="40" w:before="40"/>
      </w:pPr>
      <w:r>
        <w:rPr>
          <w:rFonts w:ascii="Arial" w:cs="Arial" w:eastAsia="Arial" w:hAnsi="Arial"/>
          <w:color w:val="222222"/>
          <w:sz w:val="20"/>
          <w:szCs w:val="20"/>
        </w:rPr>
        <w:t xml:space="preserve">Push notification tokens for transaction alerts</w:t>
      </w:r>
    </w:p>
    <w:p>
      <w:pPr>
        <w:spacing w:after="60" w:before="0"/>
      </w:pPr>
    </w:p>
    <w:p>
      <w:pPr>
        <w:pStyle w:val="Heading2"/>
        <w:spacing w:after="80" w:before="280"/>
      </w:pPr>
      <w:r>
        <w:rPr>
          <w:rFonts w:ascii="Arial" w:cs="Arial" w:eastAsia="Arial" w:hAnsi="Arial"/>
          <w:b/>
          <w:bCs/>
          <w:color w:val="1B4F8A"/>
          <w:sz w:val="24"/>
          <w:szCs w:val="24"/>
        </w:rPr>
        <w:t xml:space="preserve">4.5  Communication &amp; Support Data</w:t>
      </w:r>
    </w:p>
    <w:p>
      <w:pPr>
        <w:pStyle w:val="ListParagraph"/>
        <w:numPr>
          <w:ilvl w:val="0"/>
          <w:numId w:val="2"/>
        </w:numPr>
        <w:spacing w:after="40" w:before="40"/>
      </w:pPr>
      <w:r>
        <w:rPr>
          <w:rFonts w:ascii="Arial" w:cs="Arial" w:eastAsia="Arial" w:hAnsi="Arial"/>
          <w:color w:val="222222"/>
          <w:sz w:val="20"/>
          <w:szCs w:val="20"/>
        </w:rPr>
        <w:t xml:space="preserve">In-app messages, notifications, and correspondence submitted through support channels</w:t>
      </w:r>
    </w:p>
    <w:p>
      <w:pPr>
        <w:pStyle w:val="ListParagraph"/>
        <w:numPr>
          <w:ilvl w:val="0"/>
          <w:numId w:val="2"/>
        </w:numPr>
        <w:spacing w:after="40" w:before="40"/>
      </w:pPr>
      <w:r>
        <w:rPr>
          <w:rFonts w:ascii="Arial" w:cs="Arial" w:eastAsia="Arial" w:hAnsi="Arial"/>
          <w:color w:val="222222"/>
          <w:sz w:val="20"/>
          <w:szCs w:val="20"/>
        </w:rPr>
        <w:t xml:space="preserve">WebRTC video/audio meeting metadata (we do not record meeting content without explicit Group consent)</w:t>
      </w:r>
    </w:p>
    <w:p>
      <w:pPr>
        <w:pStyle w:val="ListParagraph"/>
        <w:numPr>
          <w:ilvl w:val="0"/>
          <w:numId w:val="2"/>
        </w:numPr>
        <w:spacing w:after="40" w:before="40"/>
      </w:pPr>
      <w:r>
        <w:rPr>
          <w:rFonts w:ascii="Arial" w:cs="Arial" w:eastAsia="Arial" w:hAnsi="Arial"/>
          <w:color w:val="222222"/>
          <w:sz w:val="20"/>
          <w:szCs w:val="20"/>
        </w:rPr>
        <w:t xml:space="preserve">User feedback, survey responses, and complaints</w:t>
      </w:r>
    </w:p>
    <w:p>
      <w:pPr>
        <w:spacing w:after="60" w:before="0"/>
      </w:pPr>
    </w:p>
    <w:p>
      <w:pPr>
        <w:pStyle w:val="Heading2"/>
        <w:spacing w:after="80" w:before="280"/>
      </w:pPr>
      <w:r>
        <w:rPr>
          <w:rFonts w:ascii="Arial" w:cs="Arial" w:eastAsia="Arial" w:hAnsi="Arial"/>
          <w:b/>
          <w:bCs/>
          <w:color w:val="1B4F8A"/>
          <w:sz w:val="24"/>
          <w:szCs w:val="24"/>
        </w:rPr>
        <w:t xml:space="preserve">4.6  Data We Do NOT Collect</w:t>
      </w:r>
    </w:p>
    <w:p>
      <w:pPr>
        <w:spacing w:after="120" w:before="80" w:line="300"/>
        <w:jc w:val="both"/>
      </w:pPr>
      <w:r>
        <w:rPr>
          <w:rFonts w:ascii="Arial" w:cs="Arial" w:eastAsia="Arial" w:hAnsi="Arial"/>
          <w:color w:val="222222"/>
          <w:sz w:val="20"/>
          <w:szCs w:val="20"/>
        </w:rPr>
        <w:t xml:space="preserve">OrbiSave does not collect, and has no interest in collecting, the following:</w:t>
      </w:r>
    </w:p>
    <w:p>
      <w:pPr>
        <w:pStyle w:val="ListParagraph"/>
        <w:numPr>
          <w:ilvl w:val="0"/>
          <w:numId w:val="2"/>
        </w:numPr>
        <w:spacing w:after="40" w:before="40"/>
      </w:pPr>
      <w:r>
        <w:rPr>
          <w:rFonts w:ascii="Arial" w:cs="Arial" w:eastAsia="Arial" w:hAnsi="Arial"/>
          <w:color w:val="222222"/>
          <w:sz w:val="20"/>
          <w:szCs w:val="20"/>
        </w:rPr>
        <w:t xml:space="preserve">Precise real-time GPS location data</w:t>
      </w:r>
    </w:p>
    <w:p>
      <w:pPr>
        <w:pStyle w:val="ListParagraph"/>
        <w:numPr>
          <w:ilvl w:val="0"/>
          <w:numId w:val="2"/>
        </w:numPr>
        <w:spacing w:after="40" w:before="40"/>
      </w:pPr>
      <w:r>
        <w:rPr>
          <w:rFonts w:ascii="Arial" w:cs="Arial" w:eastAsia="Arial" w:hAnsi="Arial"/>
          <w:color w:val="222222"/>
          <w:sz w:val="20"/>
          <w:szCs w:val="20"/>
        </w:rPr>
        <w:t xml:space="preserve">Browsing history or data from other applications on your device</w:t>
      </w:r>
    </w:p>
    <w:p>
      <w:pPr>
        <w:pStyle w:val="ListParagraph"/>
        <w:numPr>
          <w:ilvl w:val="0"/>
          <w:numId w:val="2"/>
        </w:numPr>
        <w:spacing w:after="40" w:before="40"/>
      </w:pPr>
      <w:r>
        <w:rPr>
          <w:rFonts w:ascii="Arial" w:cs="Arial" w:eastAsia="Arial" w:hAnsi="Arial"/>
          <w:color w:val="222222"/>
          <w:sz w:val="20"/>
          <w:szCs w:val="20"/>
        </w:rPr>
        <w:t xml:space="preserve">Contact lists or address books (unless explicitly granted by the User for group invitation features)</w:t>
      </w:r>
    </w:p>
    <w:p>
      <w:pPr>
        <w:pStyle w:val="ListParagraph"/>
        <w:numPr>
          <w:ilvl w:val="0"/>
          <w:numId w:val="2"/>
        </w:numPr>
        <w:spacing w:after="40" w:before="40"/>
      </w:pPr>
      <w:r>
        <w:rPr>
          <w:rFonts w:ascii="Arial" w:cs="Arial" w:eastAsia="Arial" w:hAnsi="Arial"/>
          <w:color w:val="222222"/>
          <w:sz w:val="20"/>
          <w:szCs w:val="20"/>
        </w:rPr>
        <w:t xml:space="preserve">Social media profile data</w:t>
      </w:r>
    </w:p>
    <w:p>
      <w:pPr>
        <w:pStyle w:val="ListParagraph"/>
        <w:numPr>
          <w:ilvl w:val="0"/>
          <w:numId w:val="2"/>
        </w:numPr>
        <w:spacing w:after="40" w:before="40"/>
      </w:pPr>
      <w:r>
        <w:rPr>
          <w:rFonts w:ascii="Arial" w:cs="Arial" w:eastAsia="Arial" w:hAnsi="Arial"/>
          <w:color w:val="222222"/>
          <w:sz w:val="20"/>
          <w:szCs w:val="20"/>
        </w:rPr>
        <w:t xml:space="preserve">Political opinions, religious beliefs, sexual orientation, or health data (except where incidentally disclosed in a support communication)</w:t>
      </w:r>
    </w:p>
    <w:p>
      <w:pPr>
        <w:spacing w:after="100" w:before="0"/>
      </w:pPr>
    </w:p>
    <w:p>
      <w:pPr>
        <w:pStyle w:val="Heading1"/>
        <w:spacing w:after="120" w:before="400"/>
      </w:pPr>
      <w:r>
        <w:rPr>
          <w:rFonts w:ascii="Arial" w:cs="Arial" w:eastAsia="Arial" w:hAnsi="Arial"/>
          <w:b/>
          <w:bCs/>
          <w:color w:val="1B4F8A"/>
          <w:sz w:val="30"/>
          <w:szCs w:val="30"/>
        </w:rPr>
        <w:t xml:space="preserve">5.  LAWFUL BASIS FOR PROCESSING</w:t>
      </w:r>
    </w:p>
    <w:p>
      <w:pPr>
        <w:spacing w:after="120" w:before="80" w:line="300"/>
        <w:jc w:val="both"/>
      </w:pPr>
      <w:r>
        <w:rPr>
          <w:rFonts w:ascii="Arial" w:cs="Arial" w:eastAsia="Arial" w:hAnsi="Arial"/>
          <w:color w:val="222222"/>
          <w:sz w:val="20"/>
          <w:szCs w:val="20"/>
        </w:rPr>
        <w:t xml:space="preserve">We process your Personal Data on one or more of the following lawful bases as required under the Kenya Data Protection Act 2019, Rwanda Law No. 058/2021, Ghana Data Protection Act 2012, and equivalent international standards: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22222"/>
                <w:sz w:val="18"/>
                <w:szCs w:val="18"/>
              </w:rPr>
              <w:t xml:space="preserve">Lawful Basis</w:t>
            </w:r>
          </w:p>
        </w:tc>
        <w:tc>
          <w:tcPr>
            <w:tcW w:type="dxa" w:w="68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222222"/>
                <w:sz w:val="18"/>
                <w:szCs w:val="18"/>
              </w:rPr>
              <w:t xml:space="preserve">Processing Activity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Performance of a Contract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Processing necessary to deliver the OrbiSave services you have subscribed to, including executing savings contributions, payout disbursements, internal loan processing, and group ledger management.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Compliance with a Legal Obligation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KYC/AML identity verification, financial record retention, regulatory reporting to the Central Bank of Kenya, National Bank of Rwanda, Bank of Ghana, and Financial Reporting Centres in each jurisdiction.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Legitimate Interests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Fraud detection and prevention; platform security; product improvement analytics; aggregate anonymised research on informal savings behaviour (where no individual is identifiable).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Consent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Processing of Sensitive Personal Data such as biometric verification; optional communications including marketing emails and push notifications; participation in user research. Consent may be withdrawn at any time (see Section 11).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Vital Interests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 the rare event that processing is necessary to protect life or prevent imminent financial harm to a member.</w:t>
            </w:r>
          </w:p>
        </w:tc>
      </w:tr>
    </w:tbl>
    <w:p>
      <w:pPr>
        <w:spacing w:after="160" w:before="0"/>
      </w:pPr>
    </w:p>
    <w:p>
      <w:pPr>
        <w:pStyle w:val="Heading1"/>
        <w:spacing w:after="120" w:before="400"/>
      </w:pPr>
      <w:r>
        <w:rPr>
          <w:rFonts w:ascii="Arial" w:cs="Arial" w:eastAsia="Arial" w:hAnsi="Arial"/>
          <w:b/>
          <w:bCs/>
          <w:color w:val="1B4F8A"/>
          <w:sz w:val="30"/>
          <w:szCs w:val="30"/>
        </w:rPr>
        <w:t xml:space="preserve">6.  HOW WE USE YOUR PERSONAL DATA</w:t>
      </w:r>
    </w:p>
    <w:p>
      <w:pPr>
        <w:spacing w:after="120" w:before="80" w:line="300"/>
        <w:jc w:val="both"/>
      </w:pPr>
      <w:r>
        <w:rPr>
          <w:rFonts w:ascii="Arial" w:cs="Arial" w:eastAsia="Arial" w:hAnsi="Arial"/>
          <w:color w:val="222222"/>
          <w:sz w:val="20"/>
          <w:szCs w:val="20"/>
        </w:rPr>
        <w:t xml:space="preserve">We use Personal Data collected for the following specific purposes:</w:t>
      </w:r>
    </w:p>
    <w:p>
      <w:pPr>
        <w:spacing w:after="60" w:before="0"/>
      </w:pPr>
    </w:p>
    <w:p>
      <w:pPr>
        <w:pStyle w:val="Heading2"/>
        <w:spacing w:after="80" w:before="280"/>
      </w:pPr>
      <w:r>
        <w:rPr>
          <w:rFonts w:ascii="Arial" w:cs="Arial" w:eastAsia="Arial" w:hAnsi="Arial"/>
          <w:b/>
          <w:bCs/>
          <w:color w:val="1B4F8A"/>
          <w:sz w:val="24"/>
          <w:szCs w:val="24"/>
        </w:rPr>
        <w:t xml:space="preserve">6.1  Account Registration &amp; Identity Verification</w:t>
      </w:r>
    </w:p>
    <w:p>
      <w:pPr>
        <w:spacing w:after="120" w:before="80" w:line="300"/>
        <w:jc w:val="both"/>
      </w:pPr>
      <w:r>
        <w:rPr>
          <w:rFonts w:ascii="Arial" w:cs="Arial" w:eastAsia="Arial" w:hAnsi="Arial"/>
          <w:color w:val="222222"/>
          <w:sz w:val="20"/>
          <w:szCs w:val="20"/>
        </w:rPr>
        <w:t xml:space="preserve">To create and manage your OrbiSave account, verify your identity in accordance with KYC regulatory requirements, and ensure that each account is linked to a unique, real individual. Identity verification is carried out via Smile Identity and Prembly APIs, which cross-reference your identification details against national identity databases and perform facial recognition matching.</w:t>
      </w:r>
    </w:p>
    <w:p>
      <w:pPr>
        <w:spacing w:after="60" w:before="0"/>
      </w:pPr>
    </w:p>
    <w:p>
      <w:pPr>
        <w:pStyle w:val="Heading2"/>
        <w:spacing w:after="80" w:before="280"/>
      </w:pPr>
      <w:r>
        <w:rPr>
          <w:rFonts w:ascii="Arial" w:cs="Arial" w:eastAsia="Arial" w:hAnsi="Arial"/>
          <w:b/>
          <w:bCs/>
          <w:color w:val="1B4F8A"/>
          <w:sz w:val="24"/>
          <w:szCs w:val="24"/>
        </w:rPr>
        <w:t xml:space="preserve">6.2  Delivery of Savings &amp; Financial Services</w:t>
      </w:r>
    </w:p>
    <w:p>
      <w:pPr>
        <w:spacing w:after="120" w:before="80" w:line="300"/>
        <w:jc w:val="both"/>
      </w:pPr>
      <w:r>
        <w:rPr>
          <w:rFonts w:ascii="Arial" w:cs="Arial" w:eastAsia="Arial" w:hAnsi="Arial"/>
          <w:color w:val="222222"/>
          <w:sz w:val="20"/>
          <w:szCs w:val="20"/>
        </w:rPr>
        <w:t xml:space="preserve">To automate contribution collection via STK push on scheduled dates; to calculate, deduplicate, and disburse rotation payouts; to process internal group loan applications including eligibility assessment, approval workflows, and disbursement; to maintain the immutable digital ledger that records every financial transaction attributable to each User and Group Wallet; and to compute interest on internal loans returned to the Group pool.</w:t>
      </w:r>
    </w:p>
    <w:p>
      <w:pPr>
        <w:spacing w:after="60" w:before="0"/>
      </w:pPr>
    </w:p>
    <w:p>
      <w:pPr>
        <w:pStyle w:val="Heading2"/>
        <w:spacing w:after="80" w:before="280"/>
      </w:pPr>
      <w:r>
        <w:rPr>
          <w:rFonts w:ascii="Arial" w:cs="Arial" w:eastAsia="Arial" w:hAnsi="Arial"/>
          <w:b/>
          <w:bCs/>
          <w:color w:val="1B4F8A"/>
          <w:sz w:val="24"/>
          <w:szCs w:val="24"/>
        </w:rPr>
        <w:t xml:space="preserve">6.3  Trust Account &amp; Mobile Money Operations</w:t>
      </w:r>
    </w:p>
    <w:p>
      <w:pPr>
        <w:spacing w:after="120" w:before="80" w:line="300"/>
        <w:jc w:val="both"/>
      </w:pPr>
      <w:r>
        <w:rPr>
          <w:rFonts w:ascii="Arial" w:cs="Arial" w:eastAsia="Arial" w:hAnsi="Arial"/>
          <w:color w:val="222222"/>
          <w:sz w:val="20"/>
          <w:szCs w:val="20"/>
        </w:rPr>
        <w:t xml:space="preserve">To instruct licensed partner banks (including KCB and Equity Bank) to credit or debit Trust Account balances in accordance with Group governance decisions; to communicate with Safaricom's M-Pesa Daraja API, MTN Mobile Money (MoMo) API, and Airtel Money API to execute, confirm, and reconcile financial transactions; and to manage float income generated from Trust Account balances between contribution and disbursement dates.</w:t>
      </w:r>
    </w:p>
    <w:p>
      <w:pPr>
        <w:spacing w:after="60" w:before="0"/>
      </w:pPr>
    </w:p>
    <w:p>
      <w:pPr>
        <w:pStyle w:val="Heading2"/>
        <w:spacing w:after="80" w:before="280"/>
      </w:pPr>
      <w:r>
        <w:rPr>
          <w:rFonts w:ascii="Arial" w:cs="Arial" w:eastAsia="Arial" w:hAnsi="Arial"/>
          <w:b/>
          <w:bCs/>
          <w:color w:val="1B4F8A"/>
          <w:sz w:val="24"/>
          <w:szCs w:val="24"/>
        </w:rPr>
        <w:t xml:space="preserve">6.4  Group Governance &amp; Administration</w:t>
      </w:r>
    </w:p>
    <w:p>
      <w:pPr>
        <w:spacing w:after="120" w:before="80" w:line="300"/>
        <w:jc w:val="both"/>
      </w:pPr>
      <w:r>
        <w:rPr>
          <w:rFonts w:ascii="Arial" w:cs="Arial" w:eastAsia="Arial" w:hAnsi="Arial"/>
          <w:color w:val="222222"/>
          <w:sz w:val="20"/>
          <w:szCs w:val="20"/>
        </w:rPr>
        <w:t xml:space="preserve">To record and enforce group constitutional rules, contribution schedules, and rotation orders; to facilitate digital meetings via WebRTC infrastructure; to record voting outcomes, resolutions, and attendance; to enforce dual/triple authorisation on loan disbursements (Chairperson + Treasurer + Platform Administrator); and to generate financial reports for Group leadership.</w:t>
      </w:r>
    </w:p>
    <w:p>
      <w:pPr>
        <w:spacing w:after="60" w:before="0"/>
      </w:pPr>
    </w:p>
    <w:p>
      <w:pPr>
        <w:pStyle w:val="Heading2"/>
        <w:spacing w:after="80" w:before="280"/>
      </w:pPr>
      <w:r>
        <w:rPr>
          <w:rFonts w:ascii="Arial" w:cs="Arial" w:eastAsia="Arial" w:hAnsi="Arial"/>
          <w:b/>
          <w:bCs/>
          <w:color w:val="1B4F8A"/>
          <w:sz w:val="24"/>
          <w:szCs w:val="24"/>
        </w:rPr>
        <w:t xml:space="preserve">6.5  AML, Fraud Prevention &amp; Security</w:t>
      </w:r>
    </w:p>
    <w:p>
      <w:pPr>
        <w:spacing w:after="120" w:before="80" w:line="300"/>
        <w:jc w:val="both"/>
      </w:pPr>
      <w:r>
        <w:rPr>
          <w:rFonts w:ascii="Arial" w:cs="Arial" w:eastAsia="Arial" w:hAnsi="Arial"/>
          <w:color w:val="222222"/>
          <w:sz w:val="20"/>
          <w:szCs w:val="20"/>
        </w:rPr>
        <w:t xml:space="preserve">To monitor transactions in real time for anomalous patterns indicative of fraud, money laundering, or financing of terrorism; to meet mandatory reporting obligations to the Financial Reporting Centre (Kenya), Financial Intelligence Centre (Rwanda), and Financial Intelligence Centre (Ghana); to investigate and resolve disputes; and to operate role-based access controls that prevent unauthorised access to Group funds or ledger data.</w:t>
      </w:r>
    </w:p>
    <w:p>
      <w:pPr>
        <w:spacing w:after="60" w:before="0"/>
      </w:pPr>
    </w:p>
    <w:p>
      <w:pPr>
        <w:pStyle w:val="Heading2"/>
        <w:spacing w:after="80" w:before="280"/>
      </w:pPr>
      <w:r>
        <w:rPr>
          <w:rFonts w:ascii="Arial" w:cs="Arial" w:eastAsia="Arial" w:hAnsi="Arial"/>
          <w:b/>
          <w:bCs/>
          <w:color w:val="1B4F8A"/>
          <w:sz w:val="24"/>
          <w:szCs w:val="24"/>
        </w:rPr>
        <w:t xml:space="preserve">6.6  Credit History &amp; Financial Inclusion</w:t>
      </w:r>
    </w:p>
    <w:p>
      <w:pPr>
        <w:spacing w:after="120" w:before="80" w:line="300"/>
        <w:jc w:val="both"/>
      </w:pPr>
      <w:r>
        <w:rPr>
          <w:rFonts w:ascii="Arial" w:cs="Arial" w:eastAsia="Arial" w:hAnsi="Arial"/>
          <w:color w:val="222222"/>
          <w:sz w:val="20"/>
          <w:szCs w:val="20"/>
        </w:rPr>
        <w:t xml:space="preserve">To create verifiable savings and repayment histories that Users may consent to share with partner financial institutions (banks, SACCOs, microfinance institutions) for the purpose of accessing formal credit products. We will seek explicit User consent before sharing any financial history with third-party lenders. OrbiSave does not currently operate as a credit reference bureau and does not transmit data to credit reference bureaus without User consent and regulatory authorisation.</w:t>
      </w:r>
    </w:p>
    <w:p>
      <w:pPr>
        <w:spacing w:after="60" w:before="0"/>
      </w:pPr>
    </w:p>
    <w:p>
      <w:pPr>
        <w:pStyle w:val="Heading2"/>
        <w:spacing w:after="80" w:before="280"/>
      </w:pPr>
      <w:r>
        <w:rPr>
          <w:rFonts w:ascii="Arial" w:cs="Arial" w:eastAsia="Arial" w:hAnsi="Arial"/>
          <w:b/>
          <w:bCs/>
          <w:color w:val="1B4F8A"/>
          <w:sz w:val="24"/>
          <w:szCs w:val="24"/>
        </w:rPr>
        <w:t xml:space="preserve">6.7  Notifications &amp; Communications</w:t>
      </w:r>
    </w:p>
    <w:p>
      <w:pPr>
        <w:spacing w:after="120" w:before="80" w:line="300"/>
        <w:jc w:val="both"/>
      </w:pPr>
      <w:r>
        <w:rPr>
          <w:rFonts w:ascii="Arial" w:cs="Arial" w:eastAsia="Arial" w:hAnsi="Arial"/>
          <w:color w:val="222222"/>
          <w:sz w:val="20"/>
          <w:szCs w:val="20"/>
        </w:rPr>
        <w:t xml:space="preserve">To send transaction confirmations, contribution reminders, payout notifications, and system alerts via SMS, push notifications, and USSD; to respond to User support inquiries and complaints; and, where consent has been given, to send product updates and educational financial content.</w:t>
      </w:r>
    </w:p>
    <w:p>
      <w:pPr>
        <w:spacing w:after="60" w:before="0"/>
      </w:pPr>
    </w:p>
    <w:p>
      <w:pPr>
        <w:pStyle w:val="Heading2"/>
        <w:spacing w:after="80" w:before="280"/>
      </w:pPr>
      <w:r>
        <w:rPr>
          <w:rFonts w:ascii="Arial" w:cs="Arial" w:eastAsia="Arial" w:hAnsi="Arial"/>
          <w:b/>
          <w:bCs/>
          <w:color w:val="1B4F8A"/>
          <w:sz w:val="24"/>
          <w:szCs w:val="24"/>
        </w:rPr>
        <w:t xml:space="preserve">6.8  Platform Improvement &amp; Analytics</w:t>
      </w:r>
    </w:p>
    <w:p>
      <w:pPr>
        <w:spacing w:after="120" w:before="80" w:line="300"/>
        <w:jc w:val="both"/>
      </w:pPr>
      <w:r>
        <w:rPr>
          <w:rFonts w:ascii="Arial" w:cs="Arial" w:eastAsia="Arial" w:hAnsi="Arial"/>
          <w:color w:val="222222"/>
          <w:sz w:val="20"/>
          <w:szCs w:val="20"/>
        </w:rPr>
        <w:t xml:space="preserve">To analyse anonymised and aggregated usage patterns to improve platform reliability, user experience, and feature development. Analytics data is stripped of direct identifiers before analysis and is not used to make automated decisions that affect individual Users without human review.</w:t>
      </w:r>
    </w:p>
    <w:p>
      <w:pPr>
        <w:spacing w:after="100" w:before="0"/>
      </w:pPr>
    </w:p>
    <w:p>
      <w:pPr>
        <w:pStyle w:val="Heading1"/>
        <w:spacing w:after="120" w:before="400"/>
      </w:pPr>
      <w:r>
        <w:rPr>
          <w:rFonts w:ascii="Arial" w:cs="Arial" w:eastAsia="Arial" w:hAnsi="Arial"/>
          <w:b/>
          <w:bCs/>
          <w:color w:val="1B4F8A"/>
          <w:sz w:val="30"/>
          <w:szCs w:val="30"/>
        </w:rPr>
        <w:t xml:space="preserve">7.  DATA SHARING &amp; THIRD-PARTY DISCLOSURES</w:t>
      </w:r>
    </w:p>
    <w:p>
      <w:pPr>
        <w:spacing w:after="120" w:before="80" w:line="300"/>
        <w:jc w:val="both"/>
      </w:pPr>
      <w:r>
        <w:rPr>
          <w:rFonts w:ascii="Arial" w:cs="Arial" w:eastAsia="Arial" w:hAnsi="Arial"/>
          <w:color w:val="222222"/>
          <w:sz w:val="20"/>
          <w:szCs w:val="20"/>
        </w:rPr>
        <w:t xml:space="preserve">Averis Systems Ltd does not sell, rent, or trade your Personal Data. We share your data only as described below and only to the extent necessary for each purpose.</w:t>
      </w:r>
    </w:p>
    <w:p>
      <w:pPr>
        <w:spacing w:after="60" w:before="0"/>
      </w:pPr>
    </w:p>
    <w:p>
      <w:pPr>
        <w:pStyle w:val="Heading2"/>
        <w:spacing w:after="80" w:before="280"/>
      </w:pPr>
      <w:r>
        <w:rPr>
          <w:rFonts w:ascii="Arial" w:cs="Arial" w:eastAsia="Arial" w:hAnsi="Arial"/>
          <w:b/>
          <w:bCs/>
          <w:color w:val="1B4F8A"/>
          <w:sz w:val="24"/>
          <w:szCs w:val="24"/>
        </w:rPr>
        <w:t xml:space="preserve">7.1  Licensed Banking Partners</w:t>
      </w:r>
    </w:p>
    <w:p>
      <w:pPr>
        <w:spacing w:after="120" w:before="80" w:line="300"/>
        <w:jc w:val="both"/>
      </w:pPr>
      <w:r>
        <w:rPr>
          <w:rFonts w:ascii="Arial" w:cs="Arial" w:eastAsia="Arial" w:hAnsi="Arial"/>
          <w:color w:val="222222"/>
          <w:sz w:val="20"/>
          <w:szCs w:val="20"/>
        </w:rPr>
        <w:t xml:space="preserve">We share transaction instructions, account identifiers, and Trust Account allocation data with licensed partner banks (currently KCB Bank and Equity Bank in Kenya, and equivalent institutions in Rwanda and Ghana) for the purpose of executing fund custody, disbursements, and reconciliations. These banks are independently regulated and are subject to their own privacy and data protection obligations.</w:t>
      </w:r>
    </w:p>
    <w:p>
      <w:pPr>
        <w:spacing w:after="60" w:before="0"/>
      </w:pPr>
    </w:p>
    <w:p>
      <w:pPr>
        <w:pStyle w:val="Heading2"/>
        <w:spacing w:after="80" w:before="280"/>
      </w:pPr>
      <w:r>
        <w:rPr>
          <w:rFonts w:ascii="Arial" w:cs="Arial" w:eastAsia="Arial" w:hAnsi="Arial"/>
          <w:b/>
          <w:bCs/>
          <w:color w:val="1B4F8A"/>
          <w:sz w:val="24"/>
          <w:szCs w:val="24"/>
        </w:rPr>
        <w:t xml:space="preserve">7.2  Mobile Money Operators</w:t>
      </w:r>
    </w:p>
    <w:p>
      <w:pPr>
        <w:spacing w:after="120" w:before="80" w:line="300"/>
        <w:jc w:val="both"/>
      </w:pPr>
      <w:r>
        <w:rPr>
          <w:rFonts w:ascii="Arial" w:cs="Arial" w:eastAsia="Arial" w:hAnsi="Arial"/>
          <w:color w:val="222222"/>
          <w:sz w:val="20"/>
          <w:szCs w:val="20"/>
        </w:rPr>
        <w:t xml:space="preserve">We share transaction instruction data — including your mobile number and payment amounts — with Safaricom (M-Pesa Daraja API), MTN (MoMo API), and Airtel (Airtel Money API) to initiate, confirm, and reconcile STK push transactions. These operators are subject to their respective national telecommunications and financial regulations.</w:t>
      </w:r>
    </w:p>
    <w:p>
      <w:pPr>
        <w:spacing w:after="60" w:before="0"/>
      </w:pPr>
    </w:p>
    <w:p>
      <w:pPr>
        <w:pStyle w:val="Heading2"/>
        <w:spacing w:after="80" w:before="280"/>
      </w:pPr>
      <w:r>
        <w:rPr>
          <w:rFonts w:ascii="Arial" w:cs="Arial" w:eastAsia="Arial" w:hAnsi="Arial"/>
          <w:b/>
          <w:bCs/>
          <w:color w:val="1B4F8A"/>
          <w:sz w:val="24"/>
          <w:szCs w:val="24"/>
        </w:rPr>
        <w:t xml:space="preserve">7.3  KYC &amp; Identity Verification Providers</w:t>
      </w:r>
    </w:p>
    <w:p>
      <w:pPr>
        <w:pStyle w:val="ListParagraph"/>
        <w:numPr>
          <w:ilvl w:val="0"/>
          <w:numId w:val="2"/>
        </w:numPr>
        <w:spacing w:after="40" w:before="40"/>
      </w:pPr>
      <w:r>
        <w:rPr>
          <w:rFonts w:ascii="Arial" w:cs="Arial" w:eastAsia="Arial" w:hAnsi="Arial"/>
          <w:color w:val="222222"/>
          <w:sz w:val="20"/>
          <w:szCs w:val="20"/>
        </w:rPr>
        <w:t xml:space="preserve">Smile Identity Inc. — biometric facial recognition and national ID database cross-referencing. Smile Identity's processing is governed by its own Privacy Policy and is conducted in accordance with applicable African data protection laws.</w:t>
      </w:r>
    </w:p>
    <w:p>
      <w:pPr>
        <w:pStyle w:val="ListParagraph"/>
        <w:numPr>
          <w:ilvl w:val="0"/>
          <w:numId w:val="2"/>
        </w:numPr>
        <w:spacing w:after="40" w:before="40"/>
      </w:pPr>
      <w:r>
        <w:rPr>
          <w:rFonts w:ascii="Arial" w:cs="Arial" w:eastAsia="Arial" w:hAnsi="Arial"/>
          <w:color w:val="222222"/>
          <w:sz w:val="20"/>
          <w:szCs w:val="20"/>
        </w:rPr>
        <w:t xml:space="preserve">Prembly Inc. — supplementary identity verification, including document verification and SIM registration cross-referencing. Prembly operates under its own Privacy Policy.</w:t>
      </w:r>
    </w:p>
    <w:p>
      <w:pPr>
        <w:spacing w:after="120" w:before="80" w:line="300"/>
        <w:jc w:val="both"/>
      </w:pPr>
      <w:r>
        <w:rPr>
          <w:rFonts w:ascii="Arial" w:cs="Arial" w:eastAsia="Arial" w:hAnsi="Arial"/>
          <w:color w:val="222222"/>
          <w:sz w:val="20"/>
          <w:szCs w:val="20"/>
        </w:rPr>
        <w:t xml:space="preserve">We have Data Processing Agreements in place with both providers. Biometric facial vectors generated during verification are processed by these providers and are not stored on OrbiSave servers beyond what is required to return a verification result.</w:t>
      </w:r>
    </w:p>
    <w:p>
      <w:pPr>
        <w:spacing w:after="60" w:before="0"/>
      </w:pPr>
    </w:p>
    <w:p>
      <w:pPr>
        <w:pStyle w:val="Heading2"/>
        <w:spacing w:after="80" w:before="280"/>
      </w:pPr>
      <w:r>
        <w:rPr>
          <w:rFonts w:ascii="Arial" w:cs="Arial" w:eastAsia="Arial" w:hAnsi="Arial"/>
          <w:b/>
          <w:bCs/>
          <w:color w:val="1B4F8A"/>
          <w:sz w:val="24"/>
          <w:szCs w:val="24"/>
        </w:rPr>
        <w:t xml:space="preserve">7.4  Cloud Infrastructure Providers</w:t>
      </w:r>
    </w:p>
    <w:p>
      <w:pPr>
        <w:spacing w:after="120" w:before="80" w:line="300"/>
        <w:jc w:val="both"/>
      </w:pPr>
      <w:r>
        <w:rPr>
          <w:rFonts w:ascii="Arial" w:cs="Arial" w:eastAsia="Arial" w:hAnsi="Arial"/>
          <w:color w:val="222222"/>
          <w:sz w:val="20"/>
          <w:szCs w:val="20"/>
        </w:rPr>
        <w:t xml:space="preserve">The OrbiSave platform is hosted on Amazon Web Services (AWS). AWS processes data as our Data Processor subject to a signed Data Processing Agreement and AWS's own compliance certifications (ISO 27001, SOC 2). Data is stored in AWS regions selected to comply with applicable data localisation requirements. Where Kenyan law requires data residency, we configure storage accordingly.</w:t>
      </w:r>
    </w:p>
    <w:p>
      <w:pPr>
        <w:spacing w:after="60" w:before="0"/>
      </w:pPr>
    </w:p>
    <w:p>
      <w:pPr>
        <w:pStyle w:val="Heading2"/>
        <w:spacing w:after="80" w:before="280"/>
      </w:pPr>
      <w:r>
        <w:rPr>
          <w:rFonts w:ascii="Arial" w:cs="Arial" w:eastAsia="Arial" w:hAnsi="Arial"/>
          <w:b/>
          <w:bCs/>
          <w:color w:val="1B4F8A"/>
          <w:sz w:val="24"/>
          <w:szCs w:val="24"/>
        </w:rPr>
        <w:t xml:space="preserve">7.5  Regulatory &amp; Law Enforcement Authorities</w:t>
      </w:r>
    </w:p>
    <w:p>
      <w:pPr>
        <w:spacing w:after="120" w:before="80" w:line="300"/>
        <w:jc w:val="both"/>
      </w:pPr>
      <w:r>
        <w:rPr>
          <w:rFonts w:ascii="Arial" w:cs="Arial" w:eastAsia="Arial" w:hAnsi="Arial"/>
          <w:color w:val="222222"/>
          <w:sz w:val="20"/>
          <w:szCs w:val="20"/>
        </w:rPr>
        <w:t xml:space="preserve">We will disclose Personal Data to the following authorities where required by law or upon a valid legal instrument (court order, production order, or regulatory directive):</w:t>
      </w:r>
    </w:p>
    <w:p>
      <w:pPr>
        <w:pStyle w:val="ListParagraph"/>
        <w:numPr>
          <w:ilvl w:val="0"/>
          <w:numId w:val="2"/>
        </w:numPr>
        <w:spacing w:after="40" w:before="40"/>
      </w:pPr>
      <w:r>
        <w:rPr>
          <w:rFonts w:ascii="Arial" w:cs="Arial" w:eastAsia="Arial" w:hAnsi="Arial"/>
          <w:color w:val="222222"/>
          <w:sz w:val="20"/>
          <w:szCs w:val="20"/>
        </w:rPr>
        <w:t xml:space="preserve">Office of the Data Protection Commissioner (ODPC), Kenya</w:t>
      </w:r>
    </w:p>
    <w:p>
      <w:pPr>
        <w:pStyle w:val="ListParagraph"/>
        <w:numPr>
          <w:ilvl w:val="0"/>
          <w:numId w:val="2"/>
        </w:numPr>
        <w:spacing w:after="40" w:before="40"/>
      </w:pPr>
      <w:r>
        <w:rPr>
          <w:rFonts w:ascii="Arial" w:cs="Arial" w:eastAsia="Arial" w:hAnsi="Arial"/>
          <w:color w:val="222222"/>
          <w:sz w:val="20"/>
          <w:szCs w:val="20"/>
        </w:rPr>
        <w:t xml:space="preserve">Central Bank of Kenya (CBK) and Financial Reporting Centre (FRC), Kenya</w:t>
      </w:r>
    </w:p>
    <w:p>
      <w:pPr>
        <w:pStyle w:val="ListParagraph"/>
        <w:numPr>
          <w:ilvl w:val="0"/>
          <w:numId w:val="2"/>
        </w:numPr>
        <w:spacing w:after="40" w:before="40"/>
      </w:pPr>
      <w:r>
        <w:rPr>
          <w:rFonts w:ascii="Arial" w:cs="Arial" w:eastAsia="Arial" w:hAnsi="Arial"/>
          <w:color w:val="222222"/>
          <w:sz w:val="20"/>
          <w:szCs w:val="20"/>
        </w:rPr>
        <w:t xml:space="preserve">National Bank of Rwanda (BNR) and Financial Intelligence Centre, Rwanda</w:t>
      </w:r>
    </w:p>
    <w:p>
      <w:pPr>
        <w:pStyle w:val="ListParagraph"/>
        <w:numPr>
          <w:ilvl w:val="0"/>
          <w:numId w:val="2"/>
        </w:numPr>
        <w:spacing w:after="40" w:before="40"/>
      </w:pPr>
      <w:r>
        <w:rPr>
          <w:rFonts w:ascii="Arial" w:cs="Arial" w:eastAsia="Arial" w:hAnsi="Arial"/>
          <w:color w:val="222222"/>
          <w:sz w:val="20"/>
          <w:szCs w:val="20"/>
        </w:rPr>
        <w:t xml:space="preserve">Bank of Ghana and Financial Intelligence Centre, Ghana</w:t>
      </w:r>
    </w:p>
    <w:p>
      <w:pPr>
        <w:pStyle w:val="ListParagraph"/>
        <w:numPr>
          <w:ilvl w:val="0"/>
          <w:numId w:val="2"/>
        </w:numPr>
        <w:spacing w:after="40" w:before="40"/>
      </w:pPr>
      <w:r>
        <w:rPr>
          <w:rFonts w:ascii="Arial" w:cs="Arial" w:eastAsia="Arial" w:hAnsi="Arial"/>
          <w:color w:val="222222"/>
          <w:sz w:val="20"/>
          <w:szCs w:val="20"/>
        </w:rPr>
        <w:t xml:space="preserve">Any court of competent jurisdiction in Kenya, Rwanda, Ghana, or any other country where we operate</w:t>
      </w:r>
    </w:p>
    <w:p>
      <w:pPr>
        <w:spacing w:after="120" w:before="80" w:line="300"/>
        <w:jc w:val="both"/>
      </w:pPr>
      <w:r>
        <w:rPr>
          <w:rFonts w:ascii="Arial" w:cs="Arial" w:eastAsia="Arial" w:hAnsi="Arial"/>
          <w:color w:val="222222"/>
          <w:sz w:val="20"/>
          <w:szCs w:val="20"/>
        </w:rPr>
        <w:t xml:space="preserve">We will notify affected Users of such disclosures where permitted by law and where doing so does not impede a lawful investigation.</w:t>
      </w:r>
    </w:p>
    <w:p>
      <w:pPr>
        <w:spacing w:after="60" w:before="0"/>
      </w:pPr>
    </w:p>
    <w:p>
      <w:pPr>
        <w:pStyle w:val="Heading2"/>
        <w:spacing w:after="80" w:before="280"/>
      </w:pPr>
      <w:r>
        <w:rPr>
          <w:rFonts w:ascii="Arial" w:cs="Arial" w:eastAsia="Arial" w:hAnsi="Arial"/>
          <w:b/>
          <w:bCs/>
          <w:color w:val="1B4F8A"/>
          <w:sz w:val="24"/>
          <w:szCs w:val="24"/>
        </w:rPr>
        <w:t xml:space="preserve">7.6  NGO &amp; Agricultural Partner Organisations</w:t>
      </w:r>
    </w:p>
    <w:p>
      <w:pPr>
        <w:spacing w:after="120" w:before="80" w:line="300"/>
        <w:jc w:val="both"/>
      </w:pPr>
      <w:r>
        <w:rPr>
          <w:rFonts w:ascii="Arial" w:cs="Arial" w:eastAsia="Arial" w:hAnsi="Arial"/>
          <w:color w:val="222222"/>
          <w:sz w:val="20"/>
          <w:szCs w:val="20"/>
        </w:rPr>
        <w:t xml:space="preserve">Where an OrbiSave Group is operated as part of a programme administered by an NGO (e.g., USAID, GiZ) or agricultural input company, we may share aggregated, programme-level performance data (total contributions, payout rates, member counts) with that partner organisation for programme monitoring purposes. We do not share individual-level Personal Data with programme partners without explicit User consent.</w:t>
      </w:r>
    </w:p>
    <w:p>
      <w:pPr>
        <w:spacing w:after="60" w:before="0"/>
      </w:pPr>
    </w:p>
    <w:p>
      <w:pPr>
        <w:pStyle w:val="Heading2"/>
        <w:spacing w:after="80" w:before="280"/>
      </w:pPr>
      <w:r>
        <w:rPr>
          <w:rFonts w:ascii="Arial" w:cs="Arial" w:eastAsia="Arial" w:hAnsi="Arial"/>
          <w:b/>
          <w:bCs/>
          <w:color w:val="1B4F8A"/>
          <w:sz w:val="24"/>
          <w:szCs w:val="24"/>
        </w:rPr>
        <w:t xml:space="preserve">7.7  Agent Network</w:t>
      </w:r>
    </w:p>
    <w:p>
      <w:pPr>
        <w:spacing w:after="120" w:before="80" w:line="300"/>
        <w:jc w:val="both"/>
      </w:pPr>
      <w:r>
        <w:rPr>
          <w:rFonts w:ascii="Arial" w:cs="Arial" w:eastAsia="Arial" w:hAnsi="Arial"/>
          <w:color w:val="222222"/>
          <w:sz w:val="20"/>
          <w:szCs w:val="20"/>
        </w:rPr>
        <w:t xml:space="preserve">Authorised field agents who onboard new Groups on behalf of OrbiSave are granted limited, role-based access to the data necessary to complete onboarding (name, phone number, group membership details). Agents are trained on data protection obligations and are bound by confidentiality agreements. They may not access financial transaction data, loan details, or group governance records.</w:t>
      </w:r>
    </w:p>
    <w:p>
      <w:pPr>
        <w:spacing w:after="60" w:before="0"/>
      </w:pPr>
    </w:p>
    <w:p>
      <w:pPr>
        <w:pStyle w:val="Heading2"/>
        <w:spacing w:after="80" w:before="280"/>
      </w:pPr>
      <w:r>
        <w:rPr>
          <w:rFonts w:ascii="Arial" w:cs="Arial" w:eastAsia="Arial" w:hAnsi="Arial"/>
          <w:b/>
          <w:bCs/>
          <w:color w:val="1B4F8A"/>
          <w:sz w:val="24"/>
          <w:szCs w:val="24"/>
        </w:rPr>
        <w:t xml:space="preserve">7.8  Business Transfers</w:t>
      </w:r>
    </w:p>
    <w:p>
      <w:pPr>
        <w:spacing w:after="120" w:before="80" w:line="300"/>
        <w:jc w:val="both"/>
      </w:pPr>
      <w:r>
        <w:rPr>
          <w:rFonts w:ascii="Arial" w:cs="Arial" w:eastAsia="Arial" w:hAnsi="Arial"/>
          <w:color w:val="222222"/>
          <w:sz w:val="20"/>
          <w:szCs w:val="20"/>
        </w:rPr>
        <w:t xml:space="preserve">In the event of a merger, acquisition, restructuring, or sale of all or a material portion of Averis Systems Ltd's assets, Personal Data may be transferred to the successor entity. Users will be notified at least 30 days in advance of any such transfer via in-app notification and email (where available), and will be provided with the option to delete their accounts before the transfer takes effect.</w:t>
      </w:r>
    </w:p>
    <w:p>
      <w:pPr>
        <w:spacing w:after="100" w:before="0"/>
      </w:pPr>
    </w:p>
    <w:p>
      <w:pPr>
        <w:pStyle w:val="Heading1"/>
        <w:spacing w:after="120" w:before="400"/>
      </w:pPr>
      <w:r>
        <w:rPr>
          <w:rFonts w:ascii="Arial" w:cs="Arial" w:eastAsia="Arial" w:hAnsi="Arial"/>
          <w:b/>
          <w:bCs/>
          <w:color w:val="1B4F8A"/>
          <w:sz w:val="30"/>
          <w:szCs w:val="30"/>
        </w:rPr>
        <w:t xml:space="preserve">8.  CROSS-BORDER DATA TRANSFERS</w:t>
      </w:r>
    </w:p>
    <w:p>
      <w:pPr>
        <w:spacing w:after="120" w:before="80" w:line="300"/>
        <w:jc w:val="both"/>
      </w:pPr>
      <w:r>
        <w:rPr>
          <w:rFonts w:ascii="Arial" w:cs="Arial" w:eastAsia="Arial" w:hAnsi="Arial"/>
          <w:color w:val="222222"/>
          <w:sz w:val="20"/>
          <w:szCs w:val="20"/>
        </w:rPr>
        <w:t xml:space="preserve">The OrbiSave Platform currently operates across Kenya, Rwanda, and Ghana. Data may be transferred between these jurisdictions and to third-party providers (AWS, Smile Identity, Prembly) whose servers may be located outside of your home jurisdiction.</w:t>
      </w:r>
    </w:p>
    <w:p>
      <w:pPr>
        <w:spacing w:after="120" w:before="80" w:line="300"/>
        <w:jc w:val="both"/>
      </w:pPr>
      <w:r>
        <w:rPr>
          <w:rFonts w:ascii="Arial" w:cs="Arial" w:eastAsia="Arial" w:hAnsi="Arial"/>
          <w:color w:val="222222"/>
          <w:sz w:val="20"/>
          <w:szCs w:val="20"/>
        </w:rPr>
        <w:t xml:space="preserve">All cross-border transfers are subject to the following safeguards:</w:t>
      </w:r>
    </w:p>
    <w:p>
      <w:pPr>
        <w:pStyle w:val="ListParagraph"/>
        <w:numPr>
          <w:ilvl w:val="0"/>
          <w:numId w:val="2"/>
        </w:numPr>
        <w:spacing w:after="40" w:before="40"/>
      </w:pPr>
      <w:r>
        <w:rPr>
          <w:rFonts w:ascii="Arial" w:cs="Arial" w:eastAsia="Arial" w:hAnsi="Arial"/>
          <w:color w:val="222222"/>
          <w:sz w:val="20"/>
          <w:szCs w:val="20"/>
        </w:rPr>
        <w:t xml:space="preserve">Standard Contractual Clauses (SCCs) or equivalent data transfer agreements are in place with all international Data Processors.</w:t>
      </w:r>
    </w:p>
    <w:p>
      <w:pPr>
        <w:pStyle w:val="ListParagraph"/>
        <w:numPr>
          <w:ilvl w:val="0"/>
          <w:numId w:val="2"/>
        </w:numPr>
        <w:spacing w:after="40" w:before="40"/>
      </w:pPr>
      <w:r>
        <w:rPr>
          <w:rFonts w:ascii="Arial" w:cs="Arial" w:eastAsia="Arial" w:hAnsi="Arial"/>
          <w:color w:val="222222"/>
          <w:sz w:val="20"/>
          <w:szCs w:val="20"/>
        </w:rPr>
        <w:t xml:space="preserve">We carry out transfer impact assessments before transferring data to jurisdictions that lack an adequacy determination under applicable law.</w:t>
      </w:r>
    </w:p>
    <w:p>
      <w:pPr>
        <w:pStyle w:val="ListParagraph"/>
        <w:numPr>
          <w:ilvl w:val="0"/>
          <w:numId w:val="2"/>
        </w:numPr>
        <w:spacing w:after="40" w:before="40"/>
      </w:pPr>
      <w:r>
        <w:rPr>
          <w:rFonts w:ascii="Arial" w:cs="Arial" w:eastAsia="Arial" w:hAnsi="Arial"/>
          <w:color w:val="222222"/>
          <w:sz w:val="20"/>
          <w:szCs w:val="20"/>
        </w:rPr>
        <w:t xml:space="preserve">Where Kenyan law requires data localisation (e.g., financial records required to be kept in Kenya), we maintain copies of such records on Kenyan-hosted infrastructure.</w:t>
      </w:r>
    </w:p>
    <w:p>
      <w:pPr>
        <w:pStyle w:val="ListParagraph"/>
        <w:numPr>
          <w:ilvl w:val="0"/>
          <w:numId w:val="2"/>
        </w:numPr>
        <w:spacing w:after="40" w:before="40"/>
      </w:pPr>
      <w:r>
        <w:rPr>
          <w:rFonts w:ascii="Arial" w:cs="Arial" w:eastAsia="Arial" w:hAnsi="Arial"/>
          <w:color w:val="222222"/>
          <w:sz w:val="20"/>
          <w:szCs w:val="20"/>
        </w:rPr>
        <w:t xml:space="preserve">Rwanda-resident Users' data is processed in compliance with Rwanda Law No. 058/2021 requirements regarding cross-border transfers.</w:t>
      </w:r>
    </w:p>
    <w:p>
      <w:pPr>
        <w:pStyle w:val="ListParagraph"/>
        <w:numPr>
          <w:ilvl w:val="0"/>
          <w:numId w:val="2"/>
        </w:numPr>
        <w:spacing w:after="40" w:before="40"/>
      </w:pPr>
      <w:r>
        <w:rPr>
          <w:rFonts w:ascii="Arial" w:cs="Arial" w:eastAsia="Arial" w:hAnsi="Arial"/>
          <w:color w:val="222222"/>
          <w:sz w:val="20"/>
          <w:szCs w:val="20"/>
        </w:rPr>
        <w:t xml:space="preserve">Ghana-resident Users' data is processed in compliance with the Ghana Data Protection Act 2012 cross-border transfer provisions.</w:t>
      </w:r>
    </w:p>
    <w:p>
      <w:pPr>
        <w:spacing w:after="100" w:before="0"/>
      </w:pPr>
    </w:p>
    <w:p>
      <w:pPr>
        <w:pStyle w:val="Heading1"/>
        <w:spacing w:after="120" w:before="400"/>
      </w:pPr>
      <w:r>
        <w:rPr>
          <w:rFonts w:ascii="Arial" w:cs="Arial" w:eastAsia="Arial" w:hAnsi="Arial"/>
          <w:b/>
          <w:bCs/>
          <w:color w:val="1B4F8A"/>
          <w:sz w:val="30"/>
          <w:szCs w:val="30"/>
        </w:rPr>
        <w:t xml:space="preserve">9.  DATA RETENTION</w:t>
      </w:r>
    </w:p>
    <w:p>
      <w:pPr>
        <w:spacing w:after="120" w:before="80" w:line="300"/>
        <w:jc w:val="both"/>
      </w:pPr>
      <w:r>
        <w:rPr>
          <w:rFonts w:ascii="Arial" w:cs="Arial" w:eastAsia="Arial" w:hAnsi="Arial"/>
          <w:color w:val="222222"/>
          <w:sz w:val="20"/>
          <w:szCs w:val="20"/>
        </w:rPr>
        <w:t xml:space="preserve">We retain Personal Data only for as long as necessary to fulfil the purpose for which it was collected, or as required by law. The following minimum retention periods apply: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22222"/>
                <w:sz w:val="18"/>
                <w:szCs w:val="18"/>
              </w:rPr>
              <w:t xml:space="preserve">Data Category</w:t>
            </w:r>
          </w:p>
        </w:tc>
        <w:tc>
          <w:tcPr>
            <w:tcW w:type="dxa" w:w="68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222222"/>
                <w:sz w:val="18"/>
                <w:szCs w:val="18"/>
              </w:rPr>
              <w:t xml:space="preserve">Retention Period &amp; Rationale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KYC &amp; Identity Records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7 years after account closure — required by AML/CFT regulations in Kenya, Rwanda, and Ghana. Records may be retained longer if subject to an ongoing investigation or legal proceeding.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Financial Transaction Ledger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7 years from the date of each transaction — required by financial regulators in all operating jurisdictions and for tax compliance purposes.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Loan Records (Applications, Approvals, Repayments)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7 years from final repayment — required for credit history, dispute resolution, and regulatory audit readiness.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Group Governance Records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5 years from the date of the relevant meeting, vote, or resolution — required for dispute resolution and audit purposes.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Device &amp; Technical Logs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12 months — used for security monitoring, fraud investigation, and platform diagnostics. Logs are anonymised after 3 months where technically feasible.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Marketing &amp; Communication Preferences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Until consent is withdrawn, plus 12 months — to demonstrate consent history in the event of a complaint.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Support &amp; Complaint Records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3 years from resolution — for quality assurance and regulatory complaint reporting.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Biometric Verification Data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Raw biometric data is not retained by Averis Systems Ltd. Facial verification vectors held by Smile Identity / Prembly are subject to those providers' own retention policies, which we verify comply with applicable law.</w:t>
            </w:r>
          </w:p>
        </w:tc>
      </w:tr>
    </w:tbl>
    <w:p>
      <w:pPr>
        <w:spacing w:after="120" w:before="0"/>
      </w:pPr>
    </w:p>
    <w:p>
      <w:pPr>
        <w:spacing w:after="120" w:before="80" w:line="300"/>
        <w:jc w:val="both"/>
      </w:pPr>
      <w:r>
        <w:rPr>
          <w:rFonts w:ascii="Arial" w:cs="Arial" w:eastAsia="Arial" w:hAnsi="Arial"/>
          <w:color w:val="222222"/>
          <w:sz w:val="20"/>
          <w:szCs w:val="20"/>
        </w:rPr>
        <w:t xml:space="preserve">Upon expiry of the applicable retention period, Personal Data is securely deleted or anonymised such that it can no longer be associated with an identifiable individual. Where deletion is not immediately technically feasible (e.g., data in backup tapes), data is isolated from active processing until it can be securely destroyed.</w:t>
      </w:r>
    </w:p>
    <w:p>
      <w:pPr>
        <w:spacing w:after="100" w:before="0"/>
      </w:pPr>
    </w:p>
    <w:p>
      <w:pPr>
        <w:pStyle w:val="Heading1"/>
        <w:spacing w:after="120" w:before="400"/>
      </w:pPr>
      <w:r>
        <w:rPr>
          <w:rFonts w:ascii="Arial" w:cs="Arial" w:eastAsia="Arial" w:hAnsi="Arial"/>
          <w:b/>
          <w:bCs/>
          <w:color w:val="1B4F8A"/>
          <w:sz w:val="30"/>
          <w:szCs w:val="30"/>
        </w:rPr>
        <w:t xml:space="preserve">10.  SECURITY OF PERSONAL DATA</w:t>
      </w:r>
    </w:p>
    <w:p>
      <w:pPr>
        <w:spacing w:after="120" w:before="80" w:line="300"/>
        <w:jc w:val="both"/>
      </w:pPr>
      <w:r>
        <w:rPr>
          <w:rFonts w:ascii="Arial" w:cs="Arial" w:eastAsia="Arial" w:hAnsi="Arial"/>
          <w:color w:val="222222"/>
          <w:sz w:val="20"/>
          <w:szCs w:val="20"/>
        </w:rPr>
        <w:t xml:space="preserve">Averis Systems Ltd implements a multi-layer security architecture to protect your Personal Data against unauthorised access, disclosure, alteration, or destruction. Our security controls include:</w:t>
      </w:r>
    </w:p>
    <w:p>
      <w:pPr>
        <w:spacing w:after="60" w:before="0"/>
      </w:pPr>
    </w:p>
    <w:p>
      <w:pPr>
        <w:pStyle w:val="Heading2"/>
        <w:spacing w:after="80" w:before="280"/>
      </w:pPr>
      <w:r>
        <w:rPr>
          <w:rFonts w:ascii="Arial" w:cs="Arial" w:eastAsia="Arial" w:hAnsi="Arial"/>
          <w:b/>
          <w:bCs/>
          <w:color w:val="1B4F8A"/>
          <w:sz w:val="24"/>
          <w:szCs w:val="24"/>
        </w:rPr>
        <w:t xml:space="preserve">10.1  Technical Safeguards</w:t>
      </w:r>
    </w:p>
    <w:p>
      <w:pPr>
        <w:pStyle w:val="ListParagraph"/>
        <w:numPr>
          <w:ilvl w:val="0"/>
          <w:numId w:val="2"/>
        </w:numPr>
        <w:spacing w:after="40" w:before="40"/>
      </w:pPr>
      <w:r>
        <w:rPr>
          <w:rFonts w:ascii="Arial" w:cs="Arial" w:eastAsia="Arial" w:hAnsi="Arial"/>
          <w:color w:val="222222"/>
          <w:sz w:val="20"/>
          <w:szCs w:val="20"/>
        </w:rPr>
        <w:t xml:space="preserve">Encryption in transit: All data transmitted between the OrbiSave mobile application, web dashboard, USSD gateway, and our servers is encrypted using Transport Layer Security (TLS 1.2 or higher).</w:t>
      </w:r>
    </w:p>
    <w:p>
      <w:pPr>
        <w:pStyle w:val="ListParagraph"/>
        <w:numPr>
          <w:ilvl w:val="0"/>
          <w:numId w:val="2"/>
        </w:numPr>
        <w:spacing w:after="40" w:before="40"/>
      </w:pPr>
      <w:r>
        <w:rPr>
          <w:rFonts w:ascii="Arial" w:cs="Arial" w:eastAsia="Arial" w:hAnsi="Arial"/>
          <w:color w:val="222222"/>
          <w:sz w:val="20"/>
          <w:szCs w:val="20"/>
        </w:rPr>
        <w:t xml:space="preserve">Encryption at rest: Sensitive Personal Data and financial records stored in our PostgreSQL database and cloud storage are encrypted using AES-256 encryption.</w:t>
      </w:r>
    </w:p>
    <w:p>
      <w:pPr>
        <w:pStyle w:val="ListParagraph"/>
        <w:numPr>
          <w:ilvl w:val="0"/>
          <w:numId w:val="2"/>
        </w:numPr>
        <w:spacing w:after="40" w:before="40"/>
      </w:pPr>
      <w:r>
        <w:rPr>
          <w:rFonts w:ascii="Arial" w:cs="Arial" w:eastAsia="Arial" w:hAnsi="Arial"/>
          <w:color w:val="222222"/>
          <w:sz w:val="20"/>
          <w:szCs w:val="20"/>
        </w:rPr>
        <w:t xml:space="preserve">Authentication: Multi-factor authentication (MFA) combining password, biometric login (where device capability permits), and transaction-specific PINs for all financial operations.</w:t>
      </w:r>
    </w:p>
    <w:p>
      <w:pPr>
        <w:pStyle w:val="ListParagraph"/>
        <w:numPr>
          <w:ilvl w:val="0"/>
          <w:numId w:val="2"/>
        </w:numPr>
        <w:spacing w:after="40" w:before="40"/>
      </w:pPr>
      <w:r>
        <w:rPr>
          <w:rFonts w:ascii="Arial" w:cs="Arial" w:eastAsia="Arial" w:hAnsi="Arial"/>
          <w:color w:val="222222"/>
          <w:sz w:val="20"/>
          <w:szCs w:val="20"/>
        </w:rPr>
        <w:t xml:space="preserve">Immutable ledger: The digital transaction ledger employs append-only write controls — records cannot be altered or deleted once committed. All changes are logged with a timestamp and user identifier.</w:t>
      </w:r>
    </w:p>
    <w:p>
      <w:pPr>
        <w:pStyle w:val="ListParagraph"/>
        <w:numPr>
          <w:ilvl w:val="0"/>
          <w:numId w:val="2"/>
        </w:numPr>
        <w:spacing w:after="40" w:before="40"/>
      </w:pPr>
      <w:r>
        <w:rPr>
          <w:rFonts w:ascii="Arial" w:cs="Arial" w:eastAsia="Arial" w:hAnsi="Arial"/>
          <w:color w:val="222222"/>
          <w:sz w:val="20"/>
          <w:szCs w:val="20"/>
        </w:rPr>
        <w:t xml:space="preserve">Access controls: Role-based access control (RBAC) limits staff and system access to Personal Data on a strict need-to-know basis. Database administrators do not have access to plaintext financial PINs.</w:t>
      </w:r>
    </w:p>
    <w:p>
      <w:pPr>
        <w:pStyle w:val="ListParagraph"/>
        <w:numPr>
          <w:ilvl w:val="0"/>
          <w:numId w:val="2"/>
        </w:numPr>
        <w:spacing w:after="40" w:before="40"/>
      </w:pPr>
      <w:r>
        <w:rPr>
          <w:rFonts w:ascii="Arial" w:cs="Arial" w:eastAsia="Arial" w:hAnsi="Arial"/>
          <w:color w:val="222222"/>
          <w:sz w:val="20"/>
          <w:szCs w:val="20"/>
        </w:rPr>
        <w:t xml:space="preserve">Fraud detection: Real-time anomaly detection algorithms flag unusual transaction patterns, excessive failed authentication attempts, and suspicious account activity for manual review.</w:t>
      </w:r>
    </w:p>
    <w:p>
      <w:pPr>
        <w:spacing w:after="60" w:before="0"/>
      </w:pPr>
    </w:p>
    <w:p>
      <w:pPr>
        <w:pStyle w:val="Heading2"/>
        <w:spacing w:after="80" w:before="280"/>
      </w:pPr>
      <w:r>
        <w:rPr>
          <w:rFonts w:ascii="Arial" w:cs="Arial" w:eastAsia="Arial" w:hAnsi="Arial"/>
          <w:b/>
          <w:bCs/>
          <w:color w:val="1B4F8A"/>
          <w:sz w:val="24"/>
          <w:szCs w:val="24"/>
        </w:rPr>
        <w:t xml:space="preserve">10.2  Operational Safeguards</w:t>
      </w:r>
    </w:p>
    <w:p>
      <w:pPr>
        <w:pStyle w:val="ListParagraph"/>
        <w:numPr>
          <w:ilvl w:val="0"/>
          <w:numId w:val="2"/>
        </w:numPr>
        <w:spacing w:after="40" w:before="40"/>
      </w:pPr>
      <w:r>
        <w:rPr>
          <w:rFonts w:ascii="Arial" w:cs="Arial" w:eastAsia="Arial" w:hAnsi="Arial"/>
          <w:color w:val="222222"/>
          <w:sz w:val="20"/>
          <w:szCs w:val="20"/>
        </w:rPr>
        <w:t xml:space="preserve">All employees and contractors with access to Personal Data are subject to confidentiality obligations and receive mandatory data protection training.</w:t>
      </w:r>
    </w:p>
    <w:p>
      <w:pPr>
        <w:pStyle w:val="ListParagraph"/>
        <w:numPr>
          <w:ilvl w:val="0"/>
          <w:numId w:val="2"/>
        </w:numPr>
        <w:spacing w:after="40" w:before="40"/>
      </w:pPr>
      <w:r>
        <w:rPr>
          <w:rFonts w:ascii="Arial" w:cs="Arial" w:eastAsia="Arial" w:hAnsi="Arial"/>
          <w:color w:val="222222"/>
          <w:sz w:val="20"/>
          <w:szCs w:val="20"/>
        </w:rPr>
        <w:t xml:space="preserve">Loan disbursements require triple authorisation (Group Chairperson, Group Treasurer, Platform Administrator) — no single person can unilaterally disburse funds.</w:t>
      </w:r>
    </w:p>
    <w:p>
      <w:pPr>
        <w:pStyle w:val="ListParagraph"/>
        <w:numPr>
          <w:ilvl w:val="0"/>
          <w:numId w:val="2"/>
        </w:numPr>
        <w:spacing w:after="40" w:before="40"/>
      </w:pPr>
      <w:r>
        <w:rPr>
          <w:rFonts w:ascii="Arial" w:cs="Arial" w:eastAsia="Arial" w:hAnsi="Arial"/>
          <w:color w:val="222222"/>
          <w:sz w:val="20"/>
          <w:szCs w:val="20"/>
        </w:rPr>
        <w:t xml:space="preserve">Third-party security audits and penetration testing are conducted at least annually, and prior to each major platform release.</w:t>
      </w:r>
    </w:p>
    <w:p>
      <w:pPr>
        <w:pStyle w:val="ListParagraph"/>
        <w:numPr>
          <w:ilvl w:val="0"/>
          <w:numId w:val="2"/>
        </w:numPr>
        <w:spacing w:after="40" w:before="40"/>
      </w:pPr>
      <w:r>
        <w:rPr>
          <w:rFonts w:ascii="Arial" w:cs="Arial" w:eastAsia="Arial" w:hAnsi="Arial"/>
          <w:color w:val="222222"/>
          <w:sz w:val="20"/>
          <w:szCs w:val="20"/>
        </w:rPr>
        <w:t xml:space="preserve">User funds are held in regulated bank Trust Accounts entirely separate from Averis Systems Ltd's operational accounts. OrbiSave does not at any time commingle User funds with company funds.</w:t>
      </w:r>
    </w:p>
    <w:p>
      <w:pPr>
        <w:spacing w:after="60" w:before="0"/>
      </w:pPr>
    </w:p>
    <w:p>
      <w:pPr>
        <w:pStyle w:val="Heading2"/>
        <w:spacing w:after="80" w:before="280"/>
      </w:pPr>
      <w:r>
        <w:rPr>
          <w:rFonts w:ascii="Arial" w:cs="Arial" w:eastAsia="Arial" w:hAnsi="Arial"/>
          <w:b/>
          <w:bCs/>
          <w:color w:val="1B4F8A"/>
          <w:sz w:val="24"/>
          <w:szCs w:val="24"/>
        </w:rPr>
        <w:t xml:space="preserve">10.3  Breach Notification</w:t>
      </w:r>
    </w:p>
    <w:p>
      <w:pPr>
        <w:spacing w:after="120" w:before="80" w:line="300"/>
        <w:jc w:val="both"/>
      </w:pPr>
      <w:r>
        <w:rPr>
          <w:rFonts w:ascii="Arial" w:cs="Arial" w:eastAsia="Arial" w:hAnsi="Arial"/>
          <w:color w:val="222222"/>
          <w:sz w:val="20"/>
          <w:szCs w:val="20"/>
        </w:rPr>
        <w:t xml:space="preserve">In the event of a personal data breach that is likely to result in a risk to your rights and freedoms, Averis Systems Ltd will:</w:t>
      </w:r>
    </w:p>
    <w:p>
      <w:pPr>
        <w:pStyle w:val="ListParagraph"/>
        <w:numPr>
          <w:ilvl w:val="0"/>
          <w:numId w:val="2"/>
        </w:numPr>
        <w:spacing w:after="40" w:before="40"/>
      </w:pPr>
      <w:r>
        <w:rPr>
          <w:rFonts w:ascii="Arial" w:cs="Arial" w:eastAsia="Arial" w:hAnsi="Arial"/>
          <w:color w:val="222222"/>
          <w:sz w:val="20"/>
          <w:szCs w:val="20"/>
        </w:rPr>
        <w:t xml:space="preserve">Notify the Office of the Data Protection Commissioner (ODPC), Kenya (and equivalent authorities in Rwanda and Ghana) within 72 hours of becoming aware of the breach, as required by law.</w:t>
      </w:r>
    </w:p>
    <w:p>
      <w:pPr>
        <w:pStyle w:val="ListParagraph"/>
        <w:numPr>
          <w:ilvl w:val="0"/>
          <w:numId w:val="2"/>
        </w:numPr>
        <w:spacing w:after="40" w:before="40"/>
      </w:pPr>
      <w:r>
        <w:rPr>
          <w:rFonts w:ascii="Arial" w:cs="Arial" w:eastAsia="Arial" w:hAnsi="Arial"/>
          <w:color w:val="222222"/>
          <w:sz w:val="20"/>
          <w:szCs w:val="20"/>
        </w:rPr>
        <w:t xml:space="preserve">Notify affected Users without undue delay where the breach is likely to result in a high risk to their rights and freedoms, providing a description of the breach, the categories of data affected, and the steps being taken to mitigate harm.</w:t>
      </w:r>
    </w:p>
    <w:p>
      <w:pPr>
        <w:pStyle w:val="ListParagraph"/>
        <w:numPr>
          <w:ilvl w:val="0"/>
          <w:numId w:val="2"/>
        </w:numPr>
        <w:spacing w:after="40" w:before="40"/>
      </w:pPr>
      <w:r>
        <w:rPr>
          <w:rFonts w:ascii="Arial" w:cs="Arial" w:eastAsia="Arial" w:hAnsi="Arial"/>
          <w:color w:val="222222"/>
          <w:sz w:val="20"/>
          <w:szCs w:val="20"/>
        </w:rPr>
        <w:t xml:space="preserve">Maintain an internal breach register documenting all incidents, regardless of whether notification to the regulator is required.</w:t>
      </w:r>
    </w:p>
    <w:p>
      <w:pPr>
        <w:spacing w:after="100" w:before="0"/>
      </w:pPr>
    </w:p>
    <w:p>
      <w:pPr>
        <w:pStyle w:val="Heading1"/>
        <w:spacing w:after="120" w:before="400"/>
      </w:pPr>
      <w:r>
        <w:rPr>
          <w:rFonts w:ascii="Arial" w:cs="Arial" w:eastAsia="Arial" w:hAnsi="Arial"/>
          <w:b/>
          <w:bCs/>
          <w:color w:val="1B4F8A"/>
          <w:sz w:val="30"/>
          <w:szCs w:val="30"/>
        </w:rPr>
        <w:t xml:space="preserve">11.  YOUR DATA PROTECTION RIGHTS</w:t>
      </w:r>
    </w:p>
    <w:p>
      <w:pPr>
        <w:spacing w:after="120" w:before="80" w:line="300"/>
        <w:jc w:val="both"/>
      </w:pPr>
      <w:r>
        <w:rPr>
          <w:rFonts w:ascii="Arial" w:cs="Arial" w:eastAsia="Arial" w:hAnsi="Arial"/>
          <w:color w:val="222222"/>
          <w:sz w:val="20"/>
          <w:szCs w:val="20"/>
        </w:rPr>
        <w:t xml:space="preserve">Subject to applicable law and legitimate regulatory exemptions, you have the following rights with respect to your Personal Data: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22222"/>
                <w:sz w:val="18"/>
                <w:szCs w:val="18"/>
              </w:rPr>
              <w:t xml:space="preserve">Right</w:t>
            </w:r>
          </w:p>
        </w:tc>
        <w:tc>
          <w:tcPr>
            <w:tcW w:type="dxa" w:w="68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222222"/>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Right of Access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You may request a copy of the Personal Data we hold about you, including a description of the categories of data, the purposes of processing, and any third parties with whom we have shared your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Right to Rectification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You may request correction of inaccurate or incomplete Personal Data. Note that immutable ledger records (financial transaction history) cannot be altered — disputes are resolved by adding a correcting entry to the ledger with a full audit trail.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Right to Erasure ('Right to be Forgotten')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You may request deletion of your Personal Data where it is no longer necessary for the purpose for which it was collected, where you withdraw consent, or where processing is unlawful. This right is subject to our legal obligation to retain financial and KYC records for the minimum periods specified in Section 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Right to Restriction of Processing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You may request that we restrict processing of your data in certain circumstances — for example, while a dispute about the accuracy of your data is being resolved.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Right to Data Portability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You may request your Personal Data in a structured, commonly used, machine-readable format (JSON or CSV) to allow you to transfer it to another service provider, where technically feasible.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Right to Object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You may object to processing based on our legitimate interests. We will cease such processing unless we can demonstrate compelling legitimate grounds that override your interests.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Right to Withdraw Consent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Where processing is based on your consent, you may withdraw consent at any time. Withdrawal of consent does not affect the lawfulness of processing carried out before withdrawal.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Right Not to Be Subject to Automated Decisions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Where OrbiSave uses automated processing to make decisions that significantly affect you (e.g., automated loan eligibility assessment), you have the right to request human review of such decisions.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Right to Lodge a Complaint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You have the right to lodge a complaint with the Office of the Data Protection Commissioner (ODPC), Kenya (www.odpc.go.ke), or the equivalent authority in your jurisdiction, if you believe your rights have been violated.</w:t>
            </w:r>
          </w:p>
        </w:tc>
      </w:tr>
    </w:tbl>
    <w:p>
      <w:pPr>
        <w:spacing w:after="120" w:before="0"/>
      </w:pPr>
    </w:p>
    <w:p>
      <w:pPr>
        <w:spacing w:after="120" w:before="80" w:line="300"/>
        <w:jc w:val="both"/>
      </w:pPr>
      <w:r>
        <w:rPr>
          <w:rFonts w:ascii="Arial" w:cs="Arial" w:eastAsia="Arial" w:hAnsi="Arial"/>
          <w:color w:val="222222"/>
          <w:sz w:val="20"/>
          <w:szCs w:val="20"/>
        </w:rPr>
        <w:t xml:space="preserve">To exercise any of the above rights, please submit a written request to privacy@orbisave.com. We will respond within 30 days of receiving your request. We may require you to verify your identity before processing your request. There is no fee for making a rights request; however, we may charge a reasonable fee for manifestly unfounded or excessive requests.</w:t>
      </w:r>
    </w:p>
    <w:p>
      <w:pPr>
        <w:spacing w:after="100" w:before="0"/>
      </w:pPr>
    </w:p>
    <w:p>
      <w:pPr>
        <w:pStyle w:val="Heading1"/>
        <w:spacing w:after="120" w:before="400"/>
      </w:pPr>
      <w:r>
        <w:rPr>
          <w:rFonts w:ascii="Arial" w:cs="Arial" w:eastAsia="Arial" w:hAnsi="Arial"/>
          <w:b/>
          <w:bCs/>
          <w:color w:val="1B4F8A"/>
          <w:sz w:val="30"/>
          <w:szCs w:val="30"/>
        </w:rPr>
        <w:t xml:space="preserve">12.  CHILDREN'S PRIVACY</w:t>
      </w:r>
    </w:p>
    <w:p>
      <w:pPr>
        <w:spacing w:after="120" w:before="80" w:line="300"/>
        <w:jc w:val="both"/>
      </w:pPr>
      <w:r>
        <w:rPr>
          <w:rFonts w:ascii="Arial" w:cs="Arial" w:eastAsia="Arial" w:hAnsi="Arial"/>
          <w:color w:val="222222"/>
          <w:sz w:val="20"/>
          <w:szCs w:val="20"/>
        </w:rPr>
        <w:t xml:space="preserve">The OrbiSave Platform is intended solely for individuals who are 18 years of age or older. We do not knowingly collect or process Personal Data from minors under the age of 18. If you are a parent or guardian and you believe that your child has provided us with Personal Data without your consent, please contact us immediately at privacy@orbisave.com. We will promptly investigate and delete any such data from our systems upon verification.</w:t>
      </w:r>
    </w:p>
    <w:p>
      <w:pPr>
        <w:spacing w:after="120" w:before="80" w:line="300"/>
        <w:jc w:val="both"/>
      </w:pPr>
      <w:r>
        <w:rPr>
          <w:rFonts w:ascii="Arial" w:cs="Arial" w:eastAsia="Arial" w:hAnsi="Arial"/>
          <w:color w:val="222222"/>
          <w:sz w:val="20"/>
          <w:szCs w:val="20"/>
        </w:rPr>
        <w:t xml:space="preserve">In jurisdictions where the age of majority is above 18, the higher threshold applies. We do not target marketing communications at individuals who are, or who we believe to be, under the age of 18.</w:t>
      </w:r>
    </w:p>
    <w:p>
      <w:pPr>
        <w:spacing w:after="100" w:before="0"/>
      </w:pPr>
    </w:p>
    <w:p>
      <w:pPr>
        <w:pStyle w:val="Heading1"/>
        <w:spacing w:after="120" w:before="400"/>
      </w:pPr>
      <w:r>
        <w:rPr>
          <w:rFonts w:ascii="Arial" w:cs="Arial" w:eastAsia="Arial" w:hAnsi="Arial"/>
          <w:b/>
          <w:bCs/>
          <w:color w:val="1B4F8A"/>
          <w:sz w:val="30"/>
          <w:szCs w:val="30"/>
        </w:rPr>
        <w:t xml:space="preserve">13.  COOKIES, TRACKING &amp; MOBILE APP ANALYTICS</w:t>
      </w:r>
    </w:p>
    <w:p>
      <w:pPr>
        <w:spacing w:after="60" w:before="0"/>
      </w:pPr>
    </w:p>
    <w:p>
      <w:pPr>
        <w:pStyle w:val="Heading2"/>
        <w:spacing w:after="80" w:before="280"/>
      </w:pPr>
      <w:r>
        <w:rPr>
          <w:rFonts w:ascii="Arial" w:cs="Arial" w:eastAsia="Arial" w:hAnsi="Arial"/>
          <w:b/>
          <w:bCs/>
          <w:color w:val="1B4F8A"/>
          <w:sz w:val="24"/>
          <w:szCs w:val="24"/>
        </w:rPr>
        <w:t xml:space="preserve">13.1  Mobile Application</w:t>
      </w:r>
    </w:p>
    <w:p>
      <w:pPr>
        <w:spacing w:after="120" w:before="80" w:line="300"/>
        <w:jc w:val="both"/>
      </w:pPr>
      <w:r>
        <w:rPr>
          <w:rFonts w:ascii="Arial" w:cs="Arial" w:eastAsia="Arial" w:hAnsi="Arial"/>
          <w:color w:val="222222"/>
          <w:sz w:val="20"/>
          <w:szCs w:val="20"/>
        </w:rPr>
        <w:t xml:space="preserve">The OrbiSave mobile application (Android and iOS) uses the following local data storage mechanisms:</w:t>
      </w:r>
    </w:p>
    <w:p>
      <w:pPr>
        <w:pStyle w:val="ListParagraph"/>
        <w:numPr>
          <w:ilvl w:val="0"/>
          <w:numId w:val="2"/>
        </w:numPr>
        <w:spacing w:after="40" w:before="40"/>
      </w:pPr>
      <w:r>
        <w:rPr>
          <w:rFonts w:ascii="Arial" w:cs="Arial" w:eastAsia="Arial" w:hAnsi="Arial"/>
          <w:color w:val="222222"/>
          <w:sz w:val="20"/>
          <w:szCs w:val="20"/>
        </w:rPr>
        <w:t xml:space="preserve">Secure local storage for authentication tokens and session data — encrypted using device-native secure storage (Android Keystore / iOS Secure Enclave).</w:t>
      </w:r>
    </w:p>
    <w:p>
      <w:pPr>
        <w:pStyle w:val="ListParagraph"/>
        <w:numPr>
          <w:ilvl w:val="0"/>
          <w:numId w:val="2"/>
        </w:numPr>
        <w:spacing w:after="40" w:before="40"/>
      </w:pPr>
      <w:r>
        <w:rPr>
          <w:rFonts w:ascii="Arial" w:cs="Arial" w:eastAsia="Arial" w:hAnsi="Arial"/>
          <w:color w:val="222222"/>
          <w:sz w:val="20"/>
          <w:szCs w:val="20"/>
        </w:rPr>
        <w:t xml:space="preserve">Application-level analytics via anonymised event logging to measure feature usage, crash rates, and performance — no individual User is identifiable from these analytics.</w:t>
      </w:r>
    </w:p>
    <w:p>
      <w:pPr>
        <w:pStyle w:val="ListParagraph"/>
        <w:numPr>
          <w:ilvl w:val="0"/>
          <w:numId w:val="2"/>
        </w:numPr>
        <w:spacing w:after="40" w:before="40"/>
      </w:pPr>
      <w:r>
        <w:rPr>
          <w:rFonts w:ascii="Arial" w:cs="Arial" w:eastAsia="Arial" w:hAnsi="Arial"/>
          <w:color w:val="222222"/>
          <w:sz w:val="20"/>
          <w:szCs w:val="20"/>
        </w:rPr>
        <w:t xml:space="preserve">Push notification tokens registered with your device's notification service (Google Firebase Cloud Messaging or Apple Push Notification Service) to send transaction alerts.</w:t>
      </w:r>
    </w:p>
    <w:p>
      <w:pPr>
        <w:spacing w:after="60" w:before="0"/>
      </w:pPr>
    </w:p>
    <w:p>
      <w:pPr>
        <w:pStyle w:val="Heading2"/>
        <w:spacing w:after="80" w:before="280"/>
      </w:pPr>
      <w:r>
        <w:rPr>
          <w:rFonts w:ascii="Arial" w:cs="Arial" w:eastAsia="Arial" w:hAnsi="Arial"/>
          <w:b/>
          <w:bCs/>
          <w:color w:val="1B4F8A"/>
          <w:sz w:val="24"/>
          <w:szCs w:val="24"/>
        </w:rPr>
        <w:t xml:space="preserve">13.2  Web Dashboard</w:t>
      </w:r>
    </w:p>
    <w:p>
      <w:pPr>
        <w:spacing w:after="120" w:before="80" w:line="300"/>
        <w:jc w:val="both"/>
      </w:pPr>
      <w:r>
        <w:rPr>
          <w:rFonts w:ascii="Arial" w:cs="Arial" w:eastAsia="Arial" w:hAnsi="Arial"/>
          <w:color w:val="222222"/>
          <w:sz w:val="20"/>
          <w:szCs w:val="20"/>
        </w:rPr>
        <w:t xml:space="preserve">The OrbiSave web dashboard (React/Next.js) uses the following:</w:t>
      </w:r>
    </w:p>
    <w:p>
      <w:pPr>
        <w:pStyle w:val="ListParagraph"/>
        <w:numPr>
          <w:ilvl w:val="0"/>
          <w:numId w:val="2"/>
        </w:numPr>
        <w:spacing w:after="40" w:before="40"/>
      </w:pPr>
      <w:r>
        <w:rPr>
          <w:rFonts w:ascii="Arial" w:cs="Arial" w:eastAsia="Arial" w:hAnsi="Arial"/>
          <w:color w:val="222222"/>
          <w:sz w:val="20"/>
          <w:szCs w:val="20"/>
        </w:rPr>
        <w:t xml:space="preserve">Essential session cookies — strictly necessary for authentication and maintaining your login state. These cannot be disabled without rendering the service inoperable.</w:t>
      </w:r>
    </w:p>
    <w:p>
      <w:pPr>
        <w:pStyle w:val="ListParagraph"/>
        <w:numPr>
          <w:ilvl w:val="0"/>
          <w:numId w:val="2"/>
        </w:numPr>
        <w:spacing w:after="40" w:before="40"/>
      </w:pPr>
      <w:r>
        <w:rPr>
          <w:rFonts w:ascii="Arial" w:cs="Arial" w:eastAsia="Arial" w:hAnsi="Arial"/>
          <w:color w:val="222222"/>
          <w:sz w:val="20"/>
          <w:szCs w:val="20"/>
        </w:rPr>
        <w:t xml:space="preserve">Security cookies — used to detect and prevent cross-site request forgery (CSRF) and session hijacking.</w:t>
      </w:r>
    </w:p>
    <w:p>
      <w:pPr>
        <w:pStyle w:val="ListParagraph"/>
        <w:numPr>
          <w:ilvl w:val="0"/>
          <w:numId w:val="2"/>
        </w:numPr>
        <w:spacing w:after="40" w:before="40"/>
      </w:pPr>
      <w:r>
        <w:rPr>
          <w:rFonts w:ascii="Arial" w:cs="Arial" w:eastAsia="Arial" w:hAnsi="Arial"/>
          <w:color w:val="222222"/>
          <w:sz w:val="20"/>
          <w:szCs w:val="20"/>
        </w:rPr>
        <w:t xml:space="preserve">Analytics cookies — used to measure aggregate traffic and usage patterns on an anonymised basis. You may opt out of analytics cookies via the cookie preference banner on the web dashboard.</w:t>
      </w:r>
    </w:p>
    <w:p>
      <w:pPr>
        <w:spacing w:after="120" w:before="80" w:line="300"/>
        <w:jc w:val="both"/>
      </w:pPr>
      <w:r>
        <w:rPr>
          <w:rFonts w:ascii="Arial" w:cs="Arial" w:eastAsia="Arial" w:hAnsi="Arial"/>
          <w:color w:val="222222"/>
          <w:sz w:val="20"/>
          <w:szCs w:val="20"/>
        </w:rPr>
        <w:t xml:space="preserve">We do not use third-party advertising cookies, tracking pixels, or social media cookies on the OrbiSave web dashboard.</w:t>
      </w:r>
    </w:p>
    <w:p>
      <w:pPr>
        <w:spacing w:after="60" w:before="0"/>
      </w:pPr>
    </w:p>
    <w:p>
      <w:pPr>
        <w:pStyle w:val="Heading2"/>
        <w:spacing w:after="80" w:before="280"/>
      </w:pPr>
      <w:r>
        <w:rPr>
          <w:rFonts w:ascii="Arial" w:cs="Arial" w:eastAsia="Arial" w:hAnsi="Arial"/>
          <w:b/>
          <w:bCs/>
          <w:color w:val="1B4F8A"/>
          <w:sz w:val="24"/>
          <w:szCs w:val="24"/>
        </w:rPr>
        <w:t xml:space="preserve">13.3  USSD Interface</w:t>
      </w:r>
    </w:p>
    <w:p>
      <w:pPr>
        <w:spacing w:after="120" w:before="80" w:line="300"/>
        <w:jc w:val="both"/>
      </w:pPr>
      <w:r>
        <w:rPr>
          <w:rFonts w:ascii="Arial" w:cs="Arial" w:eastAsia="Arial" w:hAnsi="Arial"/>
          <w:color w:val="222222"/>
          <w:sz w:val="20"/>
          <w:szCs w:val="20"/>
        </w:rPr>
        <w:t xml:space="preserve">The USSD interface for feature phone users does not use cookies. USSD session data is logged for fraud detection, security, and regulatory compliance purposes and is subject to the retention periods in Section 9.</w:t>
      </w:r>
    </w:p>
    <w:p>
      <w:pPr>
        <w:spacing w:after="100" w:before="0"/>
      </w:pPr>
    </w:p>
    <w:p>
      <w:pPr>
        <w:pStyle w:val="Heading1"/>
        <w:spacing w:after="120" w:before="400"/>
      </w:pPr>
      <w:r>
        <w:rPr>
          <w:rFonts w:ascii="Arial" w:cs="Arial" w:eastAsia="Arial" w:hAnsi="Arial"/>
          <w:b/>
          <w:bCs/>
          <w:color w:val="1B4F8A"/>
          <w:sz w:val="30"/>
          <w:szCs w:val="30"/>
        </w:rPr>
        <w:t xml:space="preserve">14.  FINANCIAL DATA &amp; TRUST ACCOUNT MODEL</w:t>
      </w:r>
    </w:p>
    <w:p>
      <w:pPr>
        <w:spacing w:after="120" w:before="80" w:line="300"/>
        <w:jc w:val="both"/>
      </w:pPr>
      <w:r>
        <w:rPr>
          <w:rFonts w:ascii="Arial" w:cs="Arial" w:eastAsia="Arial" w:hAnsi="Arial"/>
          <w:color w:val="222222"/>
          <w:sz w:val="20"/>
          <w:szCs w:val="20"/>
        </w:rPr>
        <w:t xml:space="preserve">Given the financial nature of the OrbiSave Platform, this section provides additional transparency regarding how financial data interacts with our data protection obligations.</w:t>
      </w:r>
    </w:p>
    <w:p>
      <w:pPr>
        <w:spacing w:after="60" w:before="0"/>
      </w:pPr>
    </w:p>
    <w:p>
      <w:pPr>
        <w:pStyle w:val="Heading2"/>
        <w:spacing w:after="80" w:before="280"/>
      </w:pPr>
      <w:r>
        <w:rPr>
          <w:rFonts w:ascii="Arial" w:cs="Arial" w:eastAsia="Arial" w:hAnsi="Arial"/>
          <w:b/>
          <w:bCs/>
          <w:color w:val="1B4F8A"/>
          <w:sz w:val="24"/>
          <w:szCs w:val="24"/>
        </w:rPr>
        <w:t xml:space="preserve">14.1  Separation of Custody and Software Layers</w:t>
      </w:r>
    </w:p>
    <w:p>
      <w:pPr>
        <w:spacing w:after="120" w:before="80" w:line="300"/>
        <w:jc w:val="both"/>
      </w:pPr>
      <w:r>
        <w:rPr>
          <w:rFonts w:ascii="Arial" w:cs="Arial" w:eastAsia="Arial" w:hAnsi="Arial"/>
          <w:color w:val="222222"/>
          <w:sz w:val="20"/>
          <w:szCs w:val="20"/>
        </w:rPr>
        <w:t xml:space="preserve">Averis Systems Ltd operates exclusively as the software and governance layer of the OrbiSave Platform. User funds are never held by Averis Systems Ltd directly. All Group funds are deposited into country-specific Trust Accounts maintained with licensed regulated banks:</w:t>
      </w:r>
    </w:p>
    <w:p>
      <w:pPr>
        <w:pStyle w:val="ListParagraph"/>
        <w:numPr>
          <w:ilvl w:val="0"/>
          <w:numId w:val="2"/>
        </w:numPr>
        <w:spacing w:after="40" w:before="40"/>
      </w:pPr>
      <w:r>
        <w:rPr>
          <w:rFonts w:ascii="Arial" w:cs="Arial" w:eastAsia="Arial" w:hAnsi="Arial"/>
          <w:color w:val="222222"/>
          <w:sz w:val="20"/>
          <w:szCs w:val="20"/>
        </w:rPr>
        <w:t xml:space="preserve">Kenya: Trust accounts held with KCB Bank Kenya Limited and/or Equity Bank Kenya Limited, regulated by the Central Bank of Kenya.</w:t>
      </w:r>
    </w:p>
    <w:p>
      <w:pPr>
        <w:pStyle w:val="ListParagraph"/>
        <w:numPr>
          <w:ilvl w:val="0"/>
          <w:numId w:val="2"/>
        </w:numPr>
        <w:spacing w:after="40" w:before="40"/>
      </w:pPr>
      <w:r>
        <w:rPr>
          <w:rFonts w:ascii="Arial" w:cs="Arial" w:eastAsia="Arial" w:hAnsi="Arial"/>
          <w:color w:val="222222"/>
          <w:sz w:val="20"/>
          <w:szCs w:val="20"/>
        </w:rPr>
        <w:t xml:space="preserve">Rwanda: Trust accounts held with a licensed Rwandan commercial bank, regulated by the National Bank of Rwanda.</w:t>
      </w:r>
    </w:p>
    <w:p>
      <w:pPr>
        <w:pStyle w:val="ListParagraph"/>
        <w:numPr>
          <w:ilvl w:val="0"/>
          <w:numId w:val="2"/>
        </w:numPr>
        <w:spacing w:after="40" w:before="40"/>
      </w:pPr>
      <w:r>
        <w:rPr>
          <w:rFonts w:ascii="Arial" w:cs="Arial" w:eastAsia="Arial" w:hAnsi="Arial"/>
          <w:color w:val="222222"/>
          <w:sz w:val="20"/>
          <w:szCs w:val="20"/>
        </w:rPr>
        <w:t xml:space="preserve">Ghana: Trust accounts held with a licensed Ghanaian commercial bank, regulated by the Bank of Ghana.</w:t>
      </w:r>
    </w:p>
    <w:p>
      <w:pPr>
        <w:spacing w:after="120" w:before="80" w:line="300"/>
        <w:jc w:val="both"/>
      </w:pPr>
      <w:r>
        <w:rPr>
          <w:rFonts w:ascii="Arial" w:cs="Arial" w:eastAsia="Arial" w:hAnsi="Arial"/>
          <w:color w:val="222222"/>
          <w:sz w:val="20"/>
          <w:szCs w:val="20"/>
        </w:rPr>
        <w:t xml:space="preserve">This structure means that OrbiSave is not a deposit-taking institution and is not classified as a bank or microfinance institution. The Trust Account model is consistent with the operating model of leading global financial infrastructure platforms.</w:t>
      </w:r>
    </w:p>
    <w:p>
      <w:pPr>
        <w:spacing w:after="60" w:before="0"/>
      </w:pPr>
    </w:p>
    <w:p>
      <w:pPr>
        <w:pStyle w:val="Heading2"/>
        <w:spacing w:after="80" w:before="280"/>
      </w:pPr>
      <w:r>
        <w:rPr>
          <w:rFonts w:ascii="Arial" w:cs="Arial" w:eastAsia="Arial" w:hAnsi="Arial"/>
          <w:b/>
          <w:bCs/>
          <w:color w:val="1B4F8A"/>
          <w:sz w:val="24"/>
          <w:szCs w:val="24"/>
        </w:rPr>
        <w:t xml:space="preserve">14.2  Immutable Digital Ledger</w:t>
      </w:r>
    </w:p>
    <w:p>
      <w:pPr>
        <w:spacing w:after="120" w:before="80" w:line="300"/>
        <w:jc w:val="both"/>
      </w:pPr>
      <w:r>
        <w:rPr>
          <w:rFonts w:ascii="Arial" w:cs="Arial" w:eastAsia="Arial" w:hAnsi="Arial"/>
          <w:color w:val="222222"/>
          <w:sz w:val="20"/>
          <w:szCs w:val="20"/>
        </w:rPr>
        <w:t xml:space="preserve">Every financial event on the OrbiSave Platform — contributions, payouts, loan disbursements, interest credits, and fee deductions — is recorded in an immutable digital ledger. This ledger:</w:t>
      </w:r>
    </w:p>
    <w:p>
      <w:pPr>
        <w:pStyle w:val="ListParagraph"/>
        <w:numPr>
          <w:ilvl w:val="0"/>
          <w:numId w:val="2"/>
        </w:numPr>
        <w:spacing w:after="40" w:before="40"/>
      </w:pPr>
      <w:r>
        <w:rPr>
          <w:rFonts w:ascii="Arial" w:cs="Arial" w:eastAsia="Arial" w:hAnsi="Arial"/>
          <w:color w:val="222222"/>
          <w:sz w:val="20"/>
          <w:szCs w:val="20"/>
        </w:rPr>
        <w:t xml:space="preserve">Cannot be altered or deleted once a record is committed.</w:t>
      </w:r>
    </w:p>
    <w:p>
      <w:pPr>
        <w:pStyle w:val="ListParagraph"/>
        <w:numPr>
          <w:ilvl w:val="0"/>
          <w:numId w:val="2"/>
        </w:numPr>
        <w:spacing w:after="40" w:before="40"/>
      </w:pPr>
      <w:r>
        <w:rPr>
          <w:rFonts w:ascii="Arial" w:cs="Arial" w:eastAsia="Arial" w:hAnsi="Arial"/>
          <w:color w:val="222222"/>
          <w:sz w:val="20"/>
          <w:szCs w:val="20"/>
        </w:rPr>
        <w:t xml:space="preserve">Is visible in real time to all Group members with the appropriate role-based access permissions.</w:t>
      </w:r>
    </w:p>
    <w:p>
      <w:pPr>
        <w:pStyle w:val="ListParagraph"/>
        <w:numPr>
          <w:ilvl w:val="0"/>
          <w:numId w:val="2"/>
        </w:numPr>
        <w:spacing w:after="40" w:before="40"/>
      </w:pPr>
      <w:r>
        <w:rPr>
          <w:rFonts w:ascii="Arial" w:cs="Arial" w:eastAsia="Arial" w:hAnsi="Arial"/>
          <w:color w:val="222222"/>
          <w:sz w:val="20"/>
          <w:szCs w:val="20"/>
        </w:rPr>
        <w:t xml:space="preserve">Is retained for a minimum of 7 years for regulatory compliance.</w:t>
      </w:r>
    </w:p>
    <w:p>
      <w:pPr>
        <w:pStyle w:val="ListParagraph"/>
        <w:numPr>
          <w:ilvl w:val="0"/>
          <w:numId w:val="2"/>
        </w:numPr>
        <w:spacing w:after="40" w:before="40"/>
      </w:pPr>
      <w:r>
        <w:rPr>
          <w:rFonts w:ascii="Arial" w:cs="Arial" w:eastAsia="Arial" w:hAnsi="Arial"/>
          <w:color w:val="222222"/>
          <w:sz w:val="20"/>
          <w:szCs w:val="20"/>
        </w:rPr>
        <w:t xml:space="preserve">Serves as the authoritative record of each User's savings history and contribution behaviour.</w:t>
      </w:r>
    </w:p>
    <w:p>
      <w:pPr>
        <w:spacing w:after="60" w:before="0"/>
      </w:pPr>
    </w:p>
    <w:p>
      <w:pPr>
        <w:pStyle w:val="Heading2"/>
        <w:spacing w:after="80" w:before="280"/>
      </w:pPr>
      <w:r>
        <w:rPr>
          <w:rFonts w:ascii="Arial" w:cs="Arial" w:eastAsia="Arial" w:hAnsi="Arial"/>
          <w:b/>
          <w:bCs/>
          <w:color w:val="1B4F8A"/>
          <w:sz w:val="24"/>
          <w:szCs w:val="24"/>
        </w:rPr>
        <w:t xml:space="preserve">14.3  Float Income</w:t>
      </w:r>
    </w:p>
    <w:p>
      <w:pPr>
        <w:spacing w:after="120" w:before="80" w:line="300"/>
        <w:jc w:val="both"/>
      </w:pPr>
      <w:r>
        <w:rPr>
          <w:rFonts w:ascii="Arial" w:cs="Arial" w:eastAsia="Arial" w:hAnsi="Arial"/>
          <w:color w:val="222222"/>
          <w:sz w:val="20"/>
          <w:szCs w:val="20"/>
        </w:rPr>
        <w:t xml:space="preserve">Funds held in Trust Accounts between contribution and disbursement dates generate interest income (float income). This income is attributed to OrbiSave as part of our revenue model, as disclosed to Users in our terms of service. Personal Data associated with float management (Trust Account balances attributable to each Group) is processed solely for the purpose of accurate financial accounting and reconciliation.</w:t>
      </w:r>
    </w:p>
    <w:p>
      <w:pPr>
        <w:spacing w:after="100" w:before="0"/>
      </w:pPr>
    </w:p>
    <w:p>
      <w:pPr>
        <w:pStyle w:val="Heading1"/>
        <w:spacing w:after="120" w:before="400"/>
      </w:pPr>
      <w:r>
        <w:rPr>
          <w:rFonts w:ascii="Arial" w:cs="Arial" w:eastAsia="Arial" w:hAnsi="Arial"/>
          <w:b/>
          <w:bCs/>
          <w:color w:val="1B4F8A"/>
          <w:sz w:val="30"/>
          <w:szCs w:val="30"/>
        </w:rPr>
        <w:t xml:space="preserve">15.  AUTOMATED DECISION-MAKING &amp; PROFILING</w:t>
      </w:r>
    </w:p>
    <w:p>
      <w:pPr>
        <w:spacing w:after="120" w:before="80" w:line="300"/>
        <w:jc w:val="both"/>
      </w:pPr>
      <w:r>
        <w:rPr>
          <w:rFonts w:ascii="Arial" w:cs="Arial" w:eastAsia="Arial" w:hAnsi="Arial"/>
          <w:color w:val="222222"/>
          <w:sz w:val="20"/>
          <w:szCs w:val="20"/>
        </w:rPr>
        <w:t xml:space="preserve">OrbiSave uses limited automated decision-making in the following contexts:</w:t>
      </w:r>
    </w:p>
    <w:p>
      <w:pPr>
        <w:pStyle w:val="ListParagraph"/>
        <w:numPr>
          <w:ilvl w:val="0"/>
          <w:numId w:val="2"/>
        </w:numPr>
        <w:spacing w:after="40" w:before="40"/>
      </w:pPr>
      <w:r>
        <w:rPr>
          <w:rFonts w:ascii="Arial" w:cs="Arial" w:eastAsia="Arial" w:hAnsi="Arial"/>
          <w:color w:val="222222"/>
          <w:sz w:val="20"/>
          <w:szCs w:val="20"/>
        </w:rPr>
        <w:t xml:space="preserve">Loan eligibility pre-screening: The Platform automatically assesses a member's contribution history, tenure, and repayment record to generate a preliminary loan eligibility indicator. This assessment is advisory only — final loan approval requires human authorisation from the Group Chairperson and Treasurer, plus Platform Administrator confirmation. No loan is automatically disbursed without human sign-off.</w:t>
      </w:r>
    </w:p>
    <w:p>
      <w:pPr>
        <w:pStyle w:val="ListParagraph"/>
        <w:numPr>
          <w:ilvl w:val="0"/>
          <w:numId w:val="2"/>
        </w:numPr>
        <w:spacing w:after="40" w:before="40"/>
      </w:pPr>
      <w:r>
        <w:rPr>
          <w:rFonts w:ascii="Arial" w:cs="Arial" w:eastAsia="Arial" w:hAnsi="Arial"/>
          <w:color w:val="222222"/>
          <w:sz w:val="20"/>
          <w:szCs w:val="20"/>
        </w:rPr>
        <w:t xml:space="preserve">Fraud detection: Real-time algorithms flag transactions or account behaviours that deviate from established patterns. Flagged events are reviewed by human analysts before any account action (suspension, restriction) is taken.</w:t>
      </w:r>
    </w:p>
    <w:p>
      <w:pPr>
        <w:spacing w:after="120" w:before="80" w:line="300"/>
        <w:jc w:val="both"/>
      </w:pPr>
      <w:r>
        <w:rPr>
          <w:rFonts w:ascii="Arial" w:cs="Arial" w:eastAsia="Arial" w:hAnsi="Arial"/>
          <w:color w:val="222222"/>
          <w:sz w:val="20"/>
          <w:szCs w:val="20"/>
        </w:rPr>
        <w:t xml:space="preserve">We do not build individual behavioural profiles for marketing or third-party commercial purposes. Aggregate, anonymised data may be used to improve our understanding of savings behaviour patterns across our User base, but this does not constitute profiling of identifiable individuals.</w:t>
      </w:r>
    </w:p>
    <w:p>
      <w:pPr>
        <w:spacing w:after="100" w:before="0"/>
      </w:pPr>
    </w:p>
    <w:p>
      <w:pPr>
        <w:pStyle w:val="Heading1"/>
        <w:spacing w:after="120" w:before="400"/>
      </w:pPr>
      <w:r>
        <w:rPr>
          <w:rFonts w:ascii="Arial" w:cs="Arial" w:eastAsia="Arial" w:hAnsi="Arial"/>
          <w:b/>
          <w:bCs/>
          <w:color w:val="1B4F8A"/>
          <w:sz w:val="30"/>
          <w:szCs w:val="30"/>
        </w:rPr>
        <w:t xml:space="preserve">16.  THIRD-PARTY LINKS &amp; INTEGRATED SERVICES</w:t>
      </w:r>
    </w:p>
    <w:p>
      <w:pPr>
        <w:spacing w:after="120" w:before="80" w:line="300"/>
        <w:jc w:val="both"/>
      </w:pPr>
      <w:r>
        <w:rPr>
          <w:rFonts w:ascii="Arial" w:cs="Arial" w:eastAsia="Arial" w:hAnsi="Arial"/>
          <w:color w:val="222222"/>
          <w:sz w:val="20"/>
          <w:szCs w:val="20"/>
        </w:rPr>
        <w:t xml:space="preserve">The OrbiSave Platform may contain links to, or integrate with, third-party services including:</w:t>
      </w:r>
    </w:p>
    <w:p>
      <w:pPr>
        <w:pStyle w:val="ListParagraph"/>
        <w:numPr>
          <w:ilvl w:val="0"/>
          <w:numId w:val="2"/>
        </w:numPr>
        <w:spacing w:after="40" w:before="40"/>
      </w:pPr>
      <w:r>
        <w:rPr>
          <w:rFonts w:ascii="Arial" w:cs="Arial" w:eastAsia="Arial" w:hAnsi="Arial"/>
          <w:color w:val="222222"/>
          <w:sz w:val="20"/>
          <w:szCs w:val="20"/>
        </w:rPr>
        <w:t xml:space="preserve">Safaricom M-Pesa (Daraja API)</w:t>
      </w:r>
    </w:p>
    <w:p>
      <w:pPr>
        <w:pStyle w:val="ListParagraph"/>
        <w:numPr>
          <w:ilvl w:val="0"/>
          <w:numId w:val="2"/>
        </w:numPr>
        <w:spacing w:after="40" w:before="40"/>
      </w:pPr>
      <w:r>
        <w:rPr>
          <w:rFonts w:ascii="Arial" w:cs="Arial" w:eastAsia="Arial" w:hAnsi="Arial"/>
          <w:color w:val="222222"/>
          <w:sz w:val="20"/>
          <w:szCs w:val="20"/>
        </w:rPr>
        <w:t xml:space="preserve">MTN Mobile Money (MoMo API)</w:t>
      </w:r>
    </w:p>
    <w:p>
      <w:pPr>
        <w:pStyle w:val="ListParagraph"/>
        <w:numPr>
          <w:ilvl w:val="0"/>
          <w:numId w:val="2"/>
        </w:numPr>
        <w:spacing w:after="40" w:before="40"/>
      </w:pPr>
      <w:r>
        <w:rPr>
          <w:rFonts w:ascii="Arial" w:cs="Arial" w:eastAsia="Arial" w:hAnsi="Arial"/>
          <w:color w:val="222222"/>
          <w:sz w:val="20"/>
          <w:szCs w:val="20"/>
        </w:rPr>
        <w:t xml:space="preserve">Airtel Money API</w:t>
      </w:r>
    </w:p>
    <w:p>
      <w:pPr>
        <w:pStyle w:val="ListParagraph"/>
        <w:numPr>
          <w:ilvl w:val="0"/>
          <w:numId w:val="2"/>
        </w:numPr>
        <w:spacing w:after="40" w:before="40"/>
      </w:pPr>
      <w:r>
        <w:rPr>
          <w:rFonts w:ascii="Arial" w:cs="Arial" w:eastAsia="Arial" w:hAnsi="Arial"/>
          <w:color w:val="222222"/>
          <w:sz w:val="20"/>
          <w:szCs w:val="20"/>
        </w:rPr>
        <w:t xml:space="preserve">Smile Identity (identity verification)</w:t>
      </w:r>
    </w:p>
    <w:p>
      <w:pPr>
        <w:pStyle w:val="ListParagraph"/>
        <w:numPr>
          <w:ilvl w:val="0"/>
          <w:numId w:val="2"/>
        </w:numPr>
        <w:spacing w:after="40" w:before="40"/>
      </w:pPr>
      <w:r>
        <w:rPr>
          <w:rFonts w:ascii="Arial" w:cs="Arial" w:eastAsia="Arial" w:hAnsi="Arial"/>
          <w:color w:val="222222"/>
          <w:sz w:val="20"/>
          <w:szCs w:val="20"/>
        </w:rPr>
        <w:t xml:space="preserve">Prembly (identity verification)</w:t>
      </w:r>
    </w:p>
    <w:p>
      <w:pPr>
        <w:pStyle w:val="ListParagraph"/>
        <w:numPr>
          <w:ilvl w:val="0"/>
          <w:numId w:val="2"/>
        </w:numPr>
        <w:spacing w:after="40" w:before="40"/>
      </w:pPr>
      <w:r>
        <w:rPr>
          <w:rFonts w:ascii="Arial" w:cs="Arial" w:eastAsia="Arial" w:hAnsi="Arial"/>
          <w:color w:val="222222"/>
          <w:sz w:val="20"/>
          <w:szCs w:val="20"/>
        </w:rPr>
        <w:t xml:space="preserve">Amazon Web Services (cloud infrastructure)</w:t>
      </w:r>
    </w:p>
    <w:p>
      <w:pPr>
        <w:pStyle w:val="ListParagraph"/>
        <w:numPr>
          <w:ilvl w:val="0"/>
          <w:numId w:val="2"/>
        </w:numPr>
        <w:spacing w:after="40" w:before="40"/>
      </w:pPr>
      <w:r>
        <w:rPr>
          <w:rFonts w:ascii="Arial" w:cs="Arial" w:eastAsia="Arial" w:hAnsi="Arial"/>
          <w:color w:val="222222"/>
          <w:sz w:val="20"/>
          <w:szCs w:val="20"/>
        </w:rPr>
        <w:t xml:space="preserve">Google Firebase Cloud Messaging (push notifications — Android)</w:t>
      </w:r>
    </w:p>
    <w:p>
      <w:pPr>
        <w:pStyle w:val="ListParagraph"/>
        <w:numPr>
          <w:ilvl w:val="0"/>
          <w:numId w:val="2"/>
        </w:numPr>
        <w:spacing w:after="40" w:before="40"/>
      </w:pPr>
      <w:r>
        <w:rPr>
          <w:rFonts w:ascii="Arial" w:cs="Arial" w:eastAsia="Arial" w:hAnsi="Arial"/>
          <w:color w:val="222222"/>
          <w:sz w:val="20"/>
          <w:szCs w:val="20"/>
        </w:rPr>
        <w:t xml:space="preserve">Apple Push Notification Service (push notifications — iOS)</w:t>
      </w:r>
    </w:p>
    <w:p>
      <w:pPr>
        <w:spacing w:after="120" w:before="80" w:line="300"/>
        <w:jc w:val="both"/>
      </w:pPr>
      <w:r>
        <w:rPr>
          <w:rFonts w:ascii="Arial" w:cs="Arial" w:eastAsia="Arial" w:hAnsi="Arial"/>
          <w:color w:val="222222"/>
          <w:sz w:val="20"/>
          <w:szCs w:val="20"/>
        </w:rPr>
        <w:t xml:space="preserve">Each of these third parties operates under its own privacy policy and data protection framework. We encourage you to review the privacy policies of any third-party service you interact with through the Platform. Averis Systems Ltd is not responsible for the privacy practices of third parties beyond what is governed by the Data Processing Agreements we have in place with our Data Processors.</w:t>
      </w:r>
    </w:p>
    <w:p>
      <w:pPr>
        <w:spacing w:after="100" w:before="0"/>
      </w:pPr>
    </w:p>
    <w:p>
      <w:pPr>
        <w:pStyle w:val="Heading1"/>
        <w:spacing w:after="120" w:before="400"/>
      </w:pPr>
      <w:r>
        <w:rPr>
          <w:rFonts w:ascii="Arial" w:cs="Arial" w:eastAsia="Arial" w:hAnsi="Arial"/>
          <w:b/>
          <w:bCs/>
          <w:color w:val="1B4F8A"/>
          <w:sz w:val="30"/>
          <w:szCs w:val="30"/>
        </w:rPr>
        <w:t xml:space="preserve">17.  CONSENT MANAGEMENT</w:t>
      </w:r>
    </w:p>
    <w:p>
      <w:pPr>
        <w:spacing w:after="60" w:before="0"/>
      </w:pPr>
    </w:p>
    <w:p>
      <w:pPr>
        <w:pStyle w:val="Heading2"/>
        <w:spacing w:after="80" w:before="280"/>
      </w:pPr>
      <w:r>
        <w:rPr>
          <w:rFonts w:ascii="Arial" w:cs="Arial" w:eastAsia="Arial" w:hAnsi="Arial"/>
          <w:b/>
          <w:bCs/>
          <w:color w:val="1B4F8A"/>
          <w:sz w:val="24"/>
          <w:szCs w:val="24"/>
        </w:rPr>
        <w:t xml:space="preserve">17.1  Obtaining Consent</w:t>
      </w:r>
    </w:p>
    <w:p>
      <w:pPr>
        <w:spacing w:after="120" w:before="80" w:line="300"/>
        <w:jc w:val="both"/>
      </w:pPr>
      <w:r>
        <w:rPr>
          <w:rFonts w:ascii="Arial" w:cs="Arial" w:eastAsia="Arial" w:hAnsi="Arial"/>
          <w:color w:val="222222"/>
          <w:sz w:val="20"/>
          <w:szCs w:val="20"/>
        </w:rPr>
        <w:t xml:space="preserve">Where we rely on your consent as the lawful basis for processing, we will:</w:t>
      </w:r>
    </w:p>
    <w:p>
      <w:pPr>
        <w:pStyle w:val="ListParagraph"/>
        <w:numPr>
          <w:ilvl w:val="0"/>
          <w:numId w:val="2"/>
        </w:numPr>
        <w:spacing w:after="40" w:before="40"/>
      </w:pPr>
      <w:r>
        <w:rPr>
          <w:rFonts w:ascii="Arial" w:cs="Arial" w:eastAsia="Arial" w:hAnsi="Arial"/>
          <w:color w:val="222222"/>
          <w:sz w:val="20"/>
          <w:szCs w:val="20"/>
        </w:rPr>
        <w:t xml:space="preserve">Request consent through a clear, plain-language mechanism at the point of data collection.</w:t>
      </w:r>
    </w:p>
    <w:p>
      <w:pPr>
        <w:pStyle w:val="ListParagraph"/>
        <w:numPr>
          <w:ilvl w:val="0"/>
          <w:numId w:val="2"/>
        </w:numPr>
        <w:spacing w:after="40" w:before="40"/>
      </w:pPr>
      <w:r>
        <w:rPr>
          <w:rFonts w:ascii="Arial" w:cs="Arial" w:eastAsia="Arial" w:hAnsi="Arial"/>
          <w:color w:val="222222"/>
          <w:sz w:val="20"/>
          <w:szCs w:val="20"/>
        </w:rPr>
        <w:t xml:space="preserve">Ensure that consent is freely given, specific, informed, and unambiguous.</w:t>
      </w:r>
    </w:p>
    <w:p>
      <w:pPr>
        <w:pStyle w:val="ListParagraph"/>
        <w:numPr>
          <w:ilvl w:val="0"/>
          <w:numId w:val="2"/>
        </w:numPr>
        <w:spacing w:after="40" w:before="40"/>
      </w:pPr>
      <w:r>
        <w:rPr>
          <w:rFonts w:ascii="Arial" w:cs="Arial" w:eastAsia="Arial" w:hAnsi="Arial"/>
          <w:color w:val="222222"/>
          <w:sz w:val="20"/>
          <w:szCs w:val="20"/>
        </w:rPr>
        <w:t xml:space="preserve">Not bundle consent for data protection purposes with acceptance of terms of service.</w:t>
      </w:r>
    </w:p>
    <w:p>
      <w:pPr>
        <w:pStyle w:val="ListParagraph"/>
        <w:numPr>
          <w:ilvl w:val="0"/>
          <w:numId w:val="2"/>
        </w:numPr>
        <w:spacing w:after="40" w:before="40"/>
      </w:pPr>
      <w:r>
        <w:rPr>
          <w:rFonts w:ascii="Arial" w:cs="Arial" w:eastAsia="Arial" w:hAnsi="Arial"/>
          <w:color w:val="222222"/>
          <w:sz w:val="20"/>
          <w:szCs w:val="20"/>
        </w:rPr>
        <w:t xml:space="preserve">Maintain records of when, how, and for what purpose consent was obtained.</w:t>
      </w:r>
    </w:p>
    <w:p>
      <w:pPr>
        <w:spacing w:after="60" w:before="0"/>
      </w:pPr>
    </w:p>
    <w:p>
      <w:pPr>
        <w:pStyle w:val="Heading2"/>
        <w:spacing w:after="80" w:before="280"/>
      </w:pPr>
      <w:r>
        <w:rPr>
          <w:rFonts w:ascii="Arial" w:cs="Arial" w:eastAsia="Arial" w:hAnsi="Arial"/>
          <w:b/>
          <w:bCs/>
          <w:color w:val="1B4F8A"/>
          <w:sz w:val="24"/>
          <w:szCs w:val="24"/>
        </w:rPr>
        <w:t xml:space="preserve">17.2  Withdrawing Consent</w:t>
      </w:r>
    </w:p>
    <w:p>
      <w:pPr>
        <w:spacing w:after="120" w:before="80" w:line="300"/>
        <w:jc w:val="both"/>
      </w:pPr>
      <w:r>
        <w:rPr>
          <w:rFonts w:ascii="Arial" w:cs="Arial" w:eastAsia="Arial" w:hAnsi="Arial"/>
          <w:color w:val="222222"/>
          <w:sz w:val="20"/>
          <w:szCs w:val="20"/>
        </w:rPr>
        <w:t xml:space="preserve">You may withdraw consent at any time by:</w:t>
      </w:r>
    </w:p>
    <w:p>
      <w:pPr>
        <w:pStyle w:val="ListParagraph"/>
        <w:numPr>
          <w:ilvl w:val="0"/>
          <w:numId w:val="2"/>
        </w:numPr>
        <w:spacing w:after="40" w:before="40"/>
      </w:pPr>
      <w:r>
        <w:rPr>
          <w:rFonts w:ascii="Arial" w:cs="Arial" w:eastAsia="Arial" w:hAnsi="Arial"/>
          <w:color w:val="222222"/>
          <w:sz w:val="20"/>
          <w:szCs w:val="20"/>
        </w:rPr>
        <w:t xml:space="preserve">Navigating to Settings &gt; Privacy &gt; Manage Consent within the OrbiSave mobile application or web dashboard.</w:t>
      </w:r>
    </w:p>
    <w:p>
      <w:pPr>
        <w:pStyle w:val="ListParagraph"/>
        <w:numPr>
          <w:ilvl w:val="0"/>
          <w:numId w:val="2"/>
        </w:numPr>
        <w:spacing w:after="40" w:before="40"/>
      </w:pPr>
      <w:r>
        <w:rPr>
          <w:rFonts w:ascii="Arial" w:cs="Arial" w:eastAsia="Arial" w:hAnsi="Arial"/>
          <w:color w:val="222222"/>
          <w:sz w:val="20"/>
          <w:szCs w:val="20"/>
        </w:rPr>
        <w:t xml:space="preserve">Sending a written withdrawal request to privacy@orbisave.com.</w:t>
      </w:r>
    </w:p>
    <w:p>
      <w:pPr>
        <w:spacing w:after="120" w:before="80" w:line="300"/>
        <w:jc w:val="both"/>
      </w:pPr>
      <w:r>
        <w:rPr>
          <w:rFonts w:ascii="Arial" w:cs="Arial" w:eastAsia="Arial" w:hAnsi="Arial"/>
          <w:color w:val="222222"/>
          <w:sz w:val="20"/>
          <w:szCs w:val="20"/>
        </w:rPr>
        <w:t xml:space="preserve">Withdrawal of consent does not affect the lawfulness of processing carried out prior to withdrawal, nor does it affect processing carried out on other lawful bases (e.g., legal obligation or contractual necessity). Where withdrawal of consent affects our ability to deliver a core service feature, we will inform you of the consequences before processing your withdrawal.</w:t>
      </w:r>
    </w:p>
    <w:p>
      <w:pPr>
        <w:spacing w:after="100" w:before="0"/>
      </w:pPr>
    </w:p>
    <w:p>
      <w:pPr>
        <w:pStyle w:val="Heading1"/>
        <w:spacing w:after="120" w:before="400"/>
      </w:pPr>
      <w:r>
        <w:rPr>
          <w:rFonts w:ascii="Arial" w:cs="Arial" w:eastAsia="Arial" w:hAnsi="Arial"/>
          <w:b/>
          <w:bCs/>
          <w:color w:val="1B4F8A"/>
          <w:sz w:val="30"/>
          <w:szCs w:val="30"/>
        </w:rPr>
        <w:t xml:space="preserve">18.  SPECIFIC PROVISIONS FOR EACH JURISDICTION</w:t>
      </w:r>
    </w:p>
    <w:p>
      <w:pPr>
        <w:spacing w:after="60" w:before="0"/>
      </w:pPr>
    </w:p>
    <w:p>
      <w:pPr>
        <w:pStyle w:val="Heading2"/>
        <w:spacing w:after="80" w:before="280"/>
      </w:pPr>
      <w:r>
        <w:rPr>
          <w:rFonts w:ascii="Arial" w:cs="Arial" w:eastAsia="Arial" w:hAnsi="Arial"/>
          <w:b/>
          <w:bCs/>
          <w:color w:val="1B4F8A"/>
          <w:sz w:val="24"/>
          <w:szCs w:val="24"/>
        </w:rPr>
        <w:t xml:space="preserve">18.1  Kenya</w:t>
      </w:r>
    </w:p>
    <w:p>
      <w:pPr>
        <w:spacing w:after="120" w:before="80" w:line="300"/>
        <w:jc w:val="both"/>
      </w:pPr>
      <w:r>
        <w:rPr>
          <w:rFonts w:ascii="Arial" w:cs="Arial" w:eastAsia="Arial" w:hAnsi="Arial"/>
          <w:color w:val="222222"/>
          <w:sz w:val="20"/>
          <w:szCs w:val="20"/>
        </w:rPr>
        <w:t xml:space="preserve">Users resident in Kenya have additional rights under the Data Protection Act, 2019, including the right to lodge a complaint with the Office of the Data Protection Commissioner (ODPC). Averis Systems Ltd is registered with the ODPC as a Data Controller. Financial records are maintained in Kenya in compliance with CBK requirements. AML/CFT reports are filed with the Financial Reporting Centre as required.</w:t>
      </w:r>
    </w:p>
    <w:p>
      <w:pPr>
        <w:spacing w:after="60" w:before="0"/>
      </w:pPr>
    </w:p>
    <w:p>
      <w:pPr>
        <w:pStyle w:val="Heading2"/>
        <w:spacing w:after="80" w:before="280"/>
      </w:pPr>
      <w:r>
        <w:rPr>
          <w:rFonts w:ascii="Arial" w:cs="Arial" w:eastAsia="Arial" w:hAnsi="Arial"/>
          <w:b/>
          <w:bCs/>
          <w:color w:val="1B4F8A"/>
          <w:sz w:val="24"/>
          <w:szCs w:val="24"/>
        </w:rPr>
        <w:t xml:space="preserve">18.2  Rwanda</w:t>
      </w:r>
    </w:p>
    <w:p>
      <w:pPr>
        <w:spacing w:after="120" w:before="80" w:line="300"/>
        <w:jc w:val="both"/>
      </w:pPr>
      <w:r>
        <w:rPr>
          <w:rFonts w:ascii="Arial" w:cs="Arial" w:eastAsia="Arial" w:hAnsi="Arial"/>
          <w:color w:val="222222"/>
          <w:sz w:val="20"/>
          <w:szCs w:val="20"/>
        </w:rPr>
        <w:t xml:space="preserve">Users resident in Rwanda have rights under Rwanda Law No. 058/2021, including the right to lodge a complaint with the Rwanda Utilities Regulatory Authority (RURA) or the National Cybersecurity Authority (NCA), as applicable. Data processing in Rwanda is conducted through a locally established entity or under an agency arrangement compliant with Rwandan law. MTN Mobile Money data sharing is governed by a Data Processing Agreement compliant with Rwandan law.</w:t>
      </w:r>
    </w:p>
    <w:p>
      <w:pPr>
        <w:spacing w:after="60" w:before="0"/>
      </w:pPr>
    </w:p>
    <w:p>
      <w:pPr>
        <w:pStyle w:val="Heading2"/>
        <w:spacing w:after="80" w:before="280"/>
      </w:pPr>
      <w:r>
        <w:rPr>
          <w:rFonts w:ascii="Arial" w:cs="Arial" w:eastAsia="Arial" w:hAnsi="Arial"/>
          <w:b/>
          <w:bCs/>
          <w:color w:val="1B4F8A"/>
          <w:sz w:val="24"/>
          <w:szCs w:val="24"/>
        </w:rPr>
        <w:t xml:space="preserve">18.3  Ghana</w:t>
      </w:r>
    </w:p>
    <w:p>
      <w:pPr>
        <w:spacing w:after="120" w:before="80" w:line="300"/>
        <w:jc w:val="both"/>
      </w:pPr>
      <w:r>
        <w:rPr>
          <w:rFonts w:ascii="Arial" w:cs="Arial" w:eastAsia="Arial" w:hAnsi="Arial"/>
          <w:color w:val="222222"/>
          <w:sz w:val="20"/>
          <w:szCs w:val="20"/>
        </w:rPr>
        <w:t xml:space="preserve">Users resident in Ghana have rights under the Data Protection Act, 2012 (Act 843), including the right to lodge a complaint with the Data Protection Commission (DPC) of Ghana. OrbiSave participates in the Bank of Ghana fintech regulatory sandbox, and all data processing in Ghana is conducted in compliance with sandbox requirements and the Data Protection Act 2012.</w:t>
      </w:r>
    </w:p>
    <w:p>
      <w:pPr>
        <w:spacing w:after="100" w:before="0"/>
      </w:pPr>
    </w:p>
    <w:p>
      <w:pPr>
        <w:pStyle w:val="Heading1"/>
        <w:spacing w:after="120" w:before="400"/>
      </w:pPr>
      <w:r>
        <w:rPr>
          <w:rFonts w:ascii="Arial" w:cs="Arial" w:eastAsia="Arial" w:hAnsi="Arial"/>
          <w:b/>
          <w:bCs/>
          <w:color w:val="1B4F8A"/>
          <w:sz w:val="30"/>
          <w:szCs w:val="30"/>
        </w:rPr>
        <w:t xml:space="preserve">19.  CHANGES TO THIS PRIVACY POLICY</w:t>
      </w:r>
    </w:p>
    <w:p>
      <w:pPr>
        <w:spacing w:after="120" w:before="80" w:line="300"/>
        <w:jc w:val="both"/>
      </w:pPr>
      <w:r>
        <w:rPr>
          <w:rFonts w:ascii="Arial" w:cs="Arial" w:eastAsia="Arial" w:hAnsi="Arial"/>
          <w:color w:val="222222"/>
          <w:sz w:val="20"/>
          <w:szCs w:val="20"/>
        </w:rPr>
        <w:t xml:space="preserve">Averis Systems Ltd reserves the right to update or amend this Privacy Policy from time to time to reflect changes in our data processing practices, legal obligations, regulatory requirements, or product features.</w:t>
      </w:r>
    </w:p>
    <w:p>
      <w:pPr>
        <w:spacing w:after="120" w:before="80" w:line="300"/>
        <w:jc w:val="both"/>
      </w:pPr>
      <w:r>
        <w:rPr>
          <w:rFonts w:ascii="Arial" w:cs="Arial" w:eastAsia="Arial" w:hAnsi="Arial"/>
          <w:color w:val="222222"/>
          <w:sz w:val="20"/>
          <w:szCs w:val="20"/>
        </w:rPr>
        <w:t xml:space="preserve">In the event of a material change to this Policy, we will:</w:t>
      </w:r>
    </w:p>
    <w:p>
      <w:pPr>
        <w:pStyle w:val="ListParagraph"/>
        <w:numPr>
          <w:ilvl w:val="0"/>
          <w:numId w:val="2"/>
        </w:numPr>
        <w:spacing w:after="40" w:before="40"/>
      </w:pPr>
      <w:r>
        <w:rPr>
          <w:rFonts w:ascii="Arial" w:cs="Arial" w:eastAsia="Arial" w:hAnsi="Arial"/>
          <w:color w:val="222222"/>
          <w:sz w:val="20"/>
          <w:szCs w:val="20"/>
        </w:rPr>
        <w:t xml:space="preserve">Provide at least 30 days' advance notice via in-app notification and, where available, email to the address associated with your account.</w:t>
      </w:r>
    </w:p>
    <w:p>
      <w:pPr>
        <w:pStyle w:val="ListParagraph"/>
        <w:numPr>
          <w:ilvl w:val="0"/>
          <w:numId w:val="2"/>
        </w:numPr>
        <w:spacing w:after="40" w:before="40"/>
      </w:pPr>
      <w:r>
        <w:rPr>
          <w:rFonts w:ascii="Arial" w:cs="Arial" w:eastAsia="Arial" w:hAnsi="Arial"/>
          <w:color w:val="222222"/>
          <w:sz w:val="20"/>
          <w:szCs w:val="20"/>
        </w:rPr>
        <w:t xml:space="preserve">Post the updated Policy on our website at orbisave.com/privacy with the new effective date and version number clearly indicated.</w:t>
      </w:r>
    </w:p>
    <w:p>
      <w:pPr>
        <w:pStyle w:val="ListParagraph"/>
        <w:numPr>
          <w:ilvl w:val="0"/>
          <w:numId w:val="2"/>
        </w:numPr>
        <w:spacing w:after="40" w:before="40"/>
      </w:pPr>
      <w:r>
        <w:rPr>
          <w:rFonts w:ascii="Arial" w:cs="Arial" w:eastAsia="Arial" w:hAnsi="Arial"/>
          <w:color w:val="222222"/>
          <w:sz w:val="20"/>
          <w:szCs w:val="20"/>
        </w:rPr>
        <w:t xml:space="preserve">Where required by law, seek fresh consent for any new processing activities that are not covered by your existing consent.</w:t>
      </w:r>
    </w:p>
    <w:p>
      <w:pPr>
        <w:spacing w:after="120" w:before="80" w:line="300"/>
        <w:jc w:val="both"/>
      </w:pPr>
      <w:r>
        <w:rPr>
          <w:rFonts w:ascii="Arial" w:cs="Arial" w:eastAsia="Arial" w:hAnsi="Arial"/>
          <w:color w:val="222222"/>
          <w:sz w:val="20"/>
          <w:szCs w:val="20"/>
        </w:rPr>
        <w:t xml:space="preserve">Your continued use of the Platform after the effective date of any amendment constitutes your acceptance of the updated Policy. If you do not agree to the amended Policy, you must cease using the Platform and request deletion of your account (subject to applicable retention obligations).</w:t>
      </w:r>
    </w:p>
    <w:p>
      <w:pPr>
        <w:spacing w:after="100" w:before="0"/>
      </w:pPr>
    </w:p>
    <w:p>
      <w:pPr>
        <w:pStyle w:val="Heading1"/>
        <w:spacing w:after="120" w:before="400"/>
      </w:pPr>
      <w:r>
        <w:rPr>
          <w:rFonts w:ascii="Arial" w:cs="Arial" w:eastAsia="Arial" w:hAnsi="Arial"/>
          <w:b/>
          <w:bCs/>
          <w:color w:val="1B4F8A"/>
          <w:sz w:val="30"/>
          <w:szCs w:val="30"/>
        </w:rPr>
        <w:t xml:space="preserve">20.  HOW TO CONTACT US</w:t>
      </w:r>
    </w:p>
    <w:p>
      <w:pPr>
        <w:spacing w:after="120" w:before="80" w:line="300"/>
        <w:jc w:val="both"/>
      </w:pPr>
      <w:r>
        <w:rPr>
          <w:rFonts w:ascii="Arial" w:cs="Arial" w:eastAsia="Arial" w:hAnsi="Arial"/>
          <w:color w:val="222222"/>
          <w:sz w:val="20"/>
          <w:szCs w:val="20"/>
        </w:rPr>
        <w:t xml:space="preserve">For any queries, requests, or complaints relating to this Privacy Policy or the processing of your Personal Data by Averis Systems Ltd, please contact us through the following channels:</w:t>
      </w:r>
    </w:p>
    <w:p>
      <w:pPr>
        <w:spacing w:after="60" w:before="0"/>
      </w:pPr>
    </w:p>
    <w:p>
      <w:pPr>
        <w:spacing w:after="60" w:before="80"/>
      </w:pPr>
      <w:r>
        <w:rPr>
          <w:rFonts w:ascii="Arial" w:cs="Arial" w:eastAsia="Arial" w:hAnsi="Arial"/>
          <w:b/>
          <w:bCs/>
          <w:sz w:val="20"/>
          <w:szCs w:val="20"/>
        </w:rPr>
        <w:t xml:space="preserve">Data Protection Enquiries:</w:t>
      </w:r>
    </w:p>
    <w:p>
      <w:pPr>
        <w:spacing w:after="40" w:before="0"/>
      </w:pPr>
      <w:r>
        <w:rPr>
          <w:rFonts w:ascii="Arial" w:cs="Arial" w:eastAsia="Arial" w:hAnsi="Arial"/>
          <w:sz w:val="20"/>
          <w:szCs w:val="20"/>
        </w:rPr>
        <w:t xml:space="preserve">Email:  privacy@orbisave.com</w:t>
      </w:r>
    </w:p>
    <w:p>
      <w:pPr>
        <w:spacing w:after="40" w:before="0"/>
      </w:pPr>
      <w:r>
        <w:rPr>
          <w:rFonts w:ascii="Arial" w:cs="Arial" w:eastAsia="Arial" w:hAnsi="Arial"/>
          <w:sz w:val="20"/>
          <w:szCs w:val="20"/>
        </w:rPr>
        <w:t xml:space="preserve">General Support:  hello@orbisave.com</w:t>
      </w:r>
    </w:p>
    <w:p>
      <w:pPr>
        <w:spacing w:after="40" w:before="0"/>
      </w:pPr>
      <w:r>
        <w:rPr>
          <w:rFonts w:ascii="Arial" w:cs="Arial" w:eastAsia="Arial" w:hAnsi="Arial"/>
          <w:sz w:val="20"/>
          <w:szCs w:val="20"/>
        </w:rPr>
        <w:t xml:space="preserve">Website:  www.orbisave.com</w:t>
      </w:r>
    </w:p>
    <w:p>
      <w:pPr>
        <w:spacing w:after="40" w:before="0"/>
      </w:pPr>
      <w:r>
        <w:rPr>
          <w:rFonts w:ascii="Arial" w:cs="Arial" w:eastAsia="Arial" w:hAnsi="Arial"/>
          <w:sz w:val="20"/>
          <w:szCs w:val="20"/>
        </w:rPr>
        <w:t xml:space="preserve">Postal Address:  Averis Systems Ltd, Mombasa, Kenya</w:t>
      </w:r>
    </w:p>
    <w:p>
      <w:pPr>
        <w:spacing w:after="60" w:before="0"/>
      </w:pPr>
    </w:p>
    <w:p>
      <w:pPr>
        <w:spacing w:after="120" w:before="80" w:line="300"/>
        <w:jc w:val="both"/>
      </w:pPr>
      <w:r>
        <w:rPr>
          <w:rFonts w:ascii="Arial" w:cs="Arial" w:eastAsia="Arial" w:hAnsi="Arial"/>
          <w:color w:val="222222"/>
          <w:sz w:val="20"/>
          <w:szCs w:val="20"/>
        </w:rPr>
        <w:t xml:space="preserve">We aim to acknowledge all data protection enquiries within 5 business days and to resolve requests within 30 days, extendable by a further 60 days where the complexity of the request requires it (in which case we will notify you of the extension and the reason).</w:t>
      </w:r>
    </w:p>
    <w:p>
      <w:pPr>
        <w:spacing w:after="80" w:before="0"/>
      </w:pPr>
    </w:p>
    <w:p>
      <w:pPr>
        <w:spacing w:after="120" w:before="80" w:line="300"/>
        <w:jc w:val="both"/>
      </w:pPr>
      <w:r>
        <w:rPr>
          <w:rFonts w:ascii="Arial" w:cs="Arial" w:eastAsia="Arial" w:hAnsi="Arial"/>
          <w:color w:val="222222"/>
          <w:sz w:val="20"/>
          <w:szCs w:val="20"/>
        </w:rPr>
        <w:t xml:space="preserve">If you are not satisfied with our response to a complaint, you have the right to escalate your complaint to the relevant supervisory authority in your jurisdiction as listed in Section 18.</w:t>
      </w:r>
    </w:p>
    <w:p>
      <w:pPr>
        <w:spacing w:after="200" w:before="0"/>
      </w:pPr>
    </w:p>
    <w:p>
      <w:pPr>
        <w:pBdr>
          <w:bottom w:val="single" w:color="1B4F8A" w:sz="8" w:space="1"/>
        </w:pBdr>
        <w:spacing w:after="200" w:before="200"/>
      </w:pPr>
    </w:p>
    <w:p>
      <w:pPr>
        <w:spacing w:after="80" w:before="200"/>
        <w:jc w:val="center"/>
      </w:pPr>
      <w:r>
        <w:rPr>
          <w:rFonts w:ascii="Arial" w:cs="Arial" w:eastAsia="Arial" w:hAnsi="Arial"/>
          <w:b/>
          <w:bCs/>
          <w:color w:val="1B4F8A"/>
          <w:sz w:val="20"/>
          <w:szCs w:val="20"/>
        </w:rPr>
        <w:t xml:space="preserve">ORBISAVE | A Product of Averis Systems Ltd</w:t>
      </w:r>
    </w:p>
    <w:p>
      <w:pPr>
        <w:spacing w:after="60" w:before="0"/>
        <w:jc w:val="center"/>
      </w:pPr>
      <w:r>
        <w:rPr>
          <w:rFonts w:ascii="Arial" w:cs="Arial" w:eastAsia="Arial" w:hAnsi="Arial"/>
          <w:i/>
          <w:iCs/>
          <w:color w:val="555555"/>
          <w:sz w:val="16"/>
          <w:szCs w:val="16"/>
        </w:rPr>
        <w:t xml:space="preserve">Privacy Policy — Version 1.0 | Effective 1 April 2026 | Confidential</w:t>
      </w:r>
    </w:p>
    <w:p>
      <w:pPr>
        <w:spacing w:after="60" w:before="0"/>
        <w:jc w:val="center"/>
      </w:pPr>
      <w:r>
        <w:rPr>
          <w:rFonts w:ascii="Arial" w:cs="Arial" w:eastAsia="Arial" w:hAnsi="Arial"/>
          <w:color w:val="555555"/>
          <w:sz w:val="16"/>
          <w:szCs w:val="16"/>
        </w:rPr>
        <w:t xml:space="preserve">orbisave.com  |  privacy@orbisave.com  |  Mombasa, Kenya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1"/>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r>
      <w:rPr>
        <w:rFonts w:ascii="Arial" w:cs="Arial" w:eastAsia="Arial" w:hAnsi="Arial"/>
        <w:color w:val="555555"/>
        <w:sz w:val="16"/>
        <w:szCs w:val="16"/>
      </w:rPr>
      <w:t xml:space="preserve">   |   © 2026 Averis Systems Ltd.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jc w:val="right"/>
    </w:pPr>
    <w:r>
      <w:rPr>
        <w:rFonts w:ascii="Arial" w:cs="Arial" w:eastAsia="Arial" w:hAnsi="Arial"/>
        <w:color w:val="555555"/>
        <w:sz w:val="16"/>
        <w:szCs w:val="16"/>
      </w:rPr>
      <w:t xml:space="preserve">OrbiSave | Privacy Policy | Averis Systems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4F8A"/>
      <w:sz w:val="30"/>
      <w:szCs w:val="30"/>
    </w:rPr>
  </w:style>
  <w:style w:type="paragraph" w:styleId="Heading2">
    <w:name w:val="Heading 2"/>
    <w:basedOn w:val="Normal"/>
    <w:next w:val="Normal"/>
    <w:qFormat/>
    <w:pPr>
      <w:spacing w:after="80" w:before="280"/>
      <w:outlineLvl w:val="1"/>
    </w:pPr>
    <w:rPr>
      <w:rFonts w:ascii="Arial" w:cs="Arial" w:eastAsia="Arial" w:hAnsi="Arial"/>
      <w:b/>
      <w:bCs/>
      <w:color w:val="1B4F8A"/>
      <w:sz w:val="24"/>
      <w:szCs w:val="24"/>
    </w:rPr>
  </w:style>
  <w:style w:type="paragraph" w:styleId="Heading3">
    <w:name w:val="Heading 3"/>
    <w:basedOn w:val="Normal"/>
    <w:next w:val="Normal"/>
    <w:qFormat/>
    <w:pPr>
      <w:spacing w:after="6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2026-04-22T15:13:28.598Z</dcterms:created>
  <dcterms:modified xsi:type="dcterms:W3CDTF">2026-04-22T15:13:28.598Z</dcterms:modified>
</cp:coreProperties>
</file>

<file path=docProps/custom.xml><?xml version="1.0" encoding="utf-8"?>
<Properties xmlns="http://schemas.openxmlformats.org/officeDocument/2006/custom-properties" xmlns:vt="http://schemas.openxmlformats.org/officeDocument/2006/docPropsVTypes"/>
</file>