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553F" w14:textId="24265417" w:rsidR="00F81E44" w:rsidRDefault="00251F6E">
      <w:pPr>
        <w:spacing w:after="210" w:line="36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Сценарий </w:t>
      </w:r>
      <w:r w:rsidR="00116029">
        <w:rPr>
          <w:rFonts w:ascii="inter" w:eastAsia="inter" w:hAnsi="inter" w:cs="inter"/>
          <w:b/>
          <w:color w:val="000000"/>
          <w:sz w:val="39"/>
        </w:rPr>
        <w:t>1. женщина 42 г. Оральные контрацептивы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9"/>
        <w:gridCol w:w="7575"/>
      </w:tblGrid>
      <w:tr w:rsidR="00A24187" w14:paraId="38667E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C0D2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618501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42 года, работает бухгалтером. Обратилась на приём к терапевту с жалобами на головные боли, направлена к кардиологу.</w:t>
            </w:r>
          </w:p>
          <w:p w14:paraId="5B387085" w14:textId="77777777" w:rsidR="00F81E44" w:rsidRDefault="00F81E44"/>
          <w:p w14:paraId="1F419395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обследование, установить развернутый клинический диагноз, определить тактику лечения и диспансерного наблюдения в соответствии с актуальными клиническими рекомендациями.</w:t>
            </w:r>
          </w:p>
          <w:p w14:paraId="31C778DF" w14:textId="77777777" w:rsidR="00F81E44" w:rsidRDefault="00F81E44"/>
          <w:p w14:paraId="4C74D043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у взрослых. Клинические рекомендации 2024. (утв. Минздравом России).</w:t>
            </w:r>
          </w:p>
        </w:tc>
      </w:tr>
      <w:tr w:rsidR="00A24187" w14:paraId="2F4AFC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36868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9939CB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Периодические пульсирующие головные боли, возникающие преимущественно во второй половине дня, головокружение, быстрая утомляемость. Самостоятельно измеряла АД несколько раз во время головной боли, максимальные цифры – 155/95 мм рт. ст.</w:t>
            </w:r>
          </w:p>
        </w:tc>
      </w:tr>
      <w:tr w:rsidR="00A24187" w14:paraId="446416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C9A8A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519F96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больной около 6 месяцев, когда впервые появились указанные жалобы. Ранее АД не контролировала, к врачам не обращалась. Никаких препаратов на постоянной основе не принимает.</w:t>
            </w:r>
          </w:p>
        </w:tc>
      </w:tr>
      <w:tr w:rsidR="00A24187" w14:paraId="772597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7AB5C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35D524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ОРВИ.</w:t>
            </w:r>
          </w:p>
          <w:p w14:paraId="673EB56B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Гинекологический анамнез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Принимает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комбинированные оральные контрацептивы (КОК) в течение 5 лет.</w:t>
            </w:r>
          </w:p>
          <w:p w14:paraId="6BC2C6ED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курит. Употребляет алкоголь редко (бокал вина по праздникам).</w:t>
            </w:r>
          </w:p>
          <w:p w14:paraId="2A565202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отягощен.</w:t>
            </w:r>
          </w:p>
          <w:p w14:paraId="4C94DD62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матери артериальная гипертензия с 50 лет.</w:t>
            </w:r>
          </w:p>
          <w:p w14:paraId="05FDDD75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Условия труда и жизни: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Работа в офисе, сидячая, отмечает высокий уровень стресса.</w:t>
            </w:r>
          </w:p>
        </w:tc>
      </w:tr>
      <w:tr w:rsidR="00A24187" w14:paraId="3838DA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A0285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7FAD9D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</w:t>
            </w:r>
          </w:p>
          <w:p w14:paraId="11343F46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Телосложение: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Нормостеническое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 Рост – 165 см, вес – 75 кг. Индекс массы тела (ИМТ) – 27,5 кг/м² (избыточная масса тела). Окружность талии – 84 см.</w:t>
            </w:r>
          </w:p>
          <w:p w14:paraId="1C6C0EBD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окраски, чистые.</w:t>
            </w:r>
          </w:p>
          <w:p w14:paraId="787E25E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– 16 в минуту.</w:t>
            </w:r>
          </w:p>
          <w:p w14:paraId="1A7FEB94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Пульс – 78 ударов в минуту, ритмичный. АД на правой руке – 152/94 мм рт. ст., на левой – 150/92 мм рт. ст. (АГ 1-й степени). Тоны сердца ясные, ритмичные.</w:t>
            </w:r>
          </w:p>
          <w:p w14:paraId="387D4124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Пищеварительная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безболезненный.</w:t>
            </w:r>
          </w:p>
        </w:tc>
      </w:tr>
      <w:tr w:rsidR="00A24187" w14:paraId="522F96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8BA3D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7DAF3E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9B8CBBE" w14:textId="77777777" w:rsidR="00F81E44" w:rsidRDefault="00F81E44"/>
          <w:p w14:paraId="716D1947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Гипертоническая болезнь I стадии. Артериальная гипертензия 1 степени. Риск 2 (умеренный).</w:t>
            </w:r>
          </w:p>
          <w:p w14:paraId="016FB028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У пациентки АГ 1 степени, избыточная масса тела, отягощенная наследственность и прием КОК. Отсутствие данных за поражение органов-мишеней (ПОМ) и ассоциированных клинических состояний (АКС) позволяет установить I стадию ГБ. Совокупность факторов соответствует умеренному сердечно-сосудистому риску.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4C5AFA5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1.5, стр. 18–19, Приложение А3, таблица П15, стр. 185) </w:t>
            </w:r>
            <w:bookmarkStart w:id="0" w:name="fnref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EF020DD" w14:textId="77777777" w:rsidR="00F81E44" w:rsidRDefault="00F81E44"/>
          <w:p w14:paraId="7D298E0B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Вторичная артериальная гипертензия (на фоне приема КОК).</w:t>
            </w:r>
          </w:p>
          <w:p w14:paraId="3E3B36B1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Хотя прием КОК может быть причиной вторичной АГ, более 90% всех случаев АГ составляет гипертоническая болезнь. Поэтому ГБ является наиболее вероятным диагнозом, а вопрос о вторичном характере АГ решается в ходе дообследования.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0ADFBBF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1.1, стр. 13; Раздел 2.1, таблица П5, стр. 170) </w:t>
            </w:r>
            <w:bookmarkStart w:id="1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D9F80E4" w14:textId="77777777" w:rsidR="00F81E44" w:rsidRDefault="00F81E44"/>
          <w:p w14:paraId="5B206EA3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Высокое нормальное артериальное давление.</w:t>
            </w:r>
          </w:p>
          <w:p w14:paraId="06415752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Уровень АД 152/94 мм рт. ст. соответствует АГ 1 степени (САД 140–159 и/или ДАД 90–99 мм рт. ст.), а не высокому нормальному АД (САД 130–139 и/или ДАД 85–89 мм рт. ст.).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3BF9678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Приложение А3, таблица П2, стр. 168) </w:t>
            </w:r>
            <w:bookmarkStart w:id="2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7FC3D7B" w14:textId="77777777" w:rsidR="00F81E44" w:rsidRDefault="00F81E44"/>
          <w:p w14:paraId="62CF60E3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Гипертоническая болезнь II стадии. Риск 3 (высокий).</w:t>
            </w:r>
          </w:p>
          <w:p w14:paraId="48C4D01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II стадия ГБ устанавливается при наличии ПОМ, данных за которые на текущий момент нет. Соответственно, риск не может быть оценен как высокий без подтверждения ПОМ или наличия множественных факторов риска.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16EC95C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1.5, стр. 20, Приложение А3, таблица П15, стр. 185) </w:t>
            </w:r>
            <w:bookmarkStart w:id="3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</w:p>
        </w:tc>
      </w:tr>
      <w:tr w:rsidR="00A24187" w14:paraId="1AB1DB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2232F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2C70D5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рутинные лабораторные исследования.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4F15C0A" w14:textId="77777777" w:rsidR="00F81E44" w:rsidRDefault="00F81E44"/>
          <w:p w14:paraId="1A64E27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Общий (клинический) анализ крови (гемоглобин, гематокрит).</w:t>
            </w:r>
          </w:p>
          <w:p w14:paraId="2B50F295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Входит в перечень обязательных рутинных исследований для всех пациентов с АГ.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B77019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2.7, стр. 31, Приложение А3, таблица П7, стр. 179) </w:t>
            </w:r>
            <w:bookmarkStart w:id="4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F83DD6E" w14:textId="77777777" w:rsidR="00F81E44" w:rsidRDefault="00F81E44"/>
          <w:p w14:paraId="00D2C94A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Исследование уровня глюкозы в крови натощак и HbA1c.</w:t>
            </w:r>
          </w:p>
          <w:p w14:paraId="3180C6D1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Необходимо для выявления нарушений углеводного обмена (</w:t>
            </w:r>
            <w:proofErr w:type="spellStart"/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предиабет</w:t>
            </w:r>
            <w:proofErr w:type="spellEnd"/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, СД), являющихся важными факторами риска.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4581CD7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2.7, стр. 31, Приложение А3, таблица П7, стр. 179) </w:t>
            </w:r>
            <w:bookmarkStart w:id="5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3572C13" w14:textId="77777777" w:rsidR="00F81E44" w:rsidRDefault="00F81E44"/>
          <w:p w14:paraId="3242AD6E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Липидограмма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(ОХС, ЛПНП, ЛПВП, ТГ).</w:t>
            </w:r>
          </w:p>
          <w:p w14:paraId="430432F5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Необходимо для оценки риска (выявления дислипидемии) и определения показаний к гиполипидемической терапии.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323C8F8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2.7, стр. 33, Приложение А3, таблица П7, стр. 179) </w:t>
            </w:r>
            <w:bookmarkStart w:id="6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EE199CC" w14:textId="77777777" w:rsidR="00F81E44" w:rsidRDefault="00F81E44"/>
          <w:p w14:paraId="0FD620CC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Исследование уровня калия и натрия в крови.</w:t>
            </w:r>
          </w:p>
          <w:p w14:paraId="24B4E4FD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Необходимо для выявления электролитных нарушений и скрининга на вторичные формы АГ (например, гиперальдостеронизм).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AC17E33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2.7, стр. 33, Приложение А3, таблица П7, стр. 179) </w:t>
            </w:r>
            <w:bookmarkStart w:id="7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C133E85" w14:textId="77777777" w:rsidR="00F81E44" w:rsidRDefault="00F81E44"/>
          <w:p w14:paraId="095265E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5. Исследование уровня креатинина в крови с расчетом СКФ.</w:t>
            </w:r>
          </w:p>
          <w:p w14:paraId="391C5D35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Необходимо для оценки функции почек и выявления хронической болезни почек (ХБП) как фактора риска и ПОМ.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03091A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2.7, стр. 32, Приложение А3, таблица П7, стр. 179) </w:t>
            </w:r>
            <w:bookmarkStart w:id="8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24F52A9" w14:textId="77777777" w:rsidR="00F81E44" w:rsidRDefault="00F81E44"/>
          <w:p w14:paraId="2822E554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6. Общий анализ мочи с микроскопией осадка и определение соотношения альбумин/креатинин.</w:t>
            </w:r>
          </w:p>
          <w:p w14:paraId="5DC4896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Необходимо для выявления поражения почек (альбуминурии/протеинурии).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7D71B1D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2.7, стр. 32, Приложение А3, таблица П7, стр. 179) </w:t>
            </w:r>
            <w:bookmarkStart w:id="9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2380F4F" w14:textId="77777777" w:rsidR="00F81E44" w:rsidRDefault="00F81E44"/>
          <w:p w14:paraId="6BB0397D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7. Исследование уровня тиреотропного гормона (ТТГ).</w:t>
            </w:r>
          </w:p>
          <w:p w14:paraId="629A70E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Это исследование не входит в рутинный скрининг, оно проводится при наличии клинических подозрений на патологию щитовидной железы (тахикардия, потеря веса и т.д.), которых у данной пациентки нет.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9EA8843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2.1, таблица П5, стр. 170-171) </w:t>
            </w:r>
            <w:bookmarkStart w:id="10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57A6894" w14:textId="77777777" w:rsidR="00F81E44" w:rsidRDefault="00F81E44"/>
          <w:p w14:paraId="140AC15F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8. Исследование уровня альдостерона и ренина плазмы.</w:t>
            </w:r>
          </w:p>
          <w:p w14:paraId="7BA9178D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Это исследование проводится при подозрении на первичный гиперальдостеронизм (например, при наличии гипокалиемии или резистентной АГ) и не является рутинным.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0F9655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2.1, таблица П5, стр. 170-171) </w:t>
            </w:r>
            <w:bookmarkStart w:id="11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</w:p>
        </w:tc>
      </w:tr>
      <w:tr w:rsidR="00A24187" w14:paraId="523B41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23101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8EBD2C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инструментальные исследования на первичном этапе.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2FBF13C" w14:textId="77777777" w:rsidR="00F81E44" w:rsidRDefault="00F81E44"/>
          <w:p w14:paraId="46628A1A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ЭКГ в 12 отведениях.</w:t>
            </w:r>
          </w:p>
          <w:p w14:paraId="4D58D24C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Является обязательным рутинным исследованием для всех пациентов с АГ для скрининга на гипертрофию левого желудочка (ГЛЖ), ишемию и нарушения ритма.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388990E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2.8, стр. 34, Приложение А3, таблица П7, стр. 179) </w:t>
            </w:r>
            <w:bookmarkStart w:id="12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A649A10" w14:textId="77777777" w:rsidR="00F81E44" w:rsidRDefault="00F81E44"/>
          <w:p w14:paraId="5077017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Суточное мониторирование АД (СМАД).</w:t>
            </w:r>
          </w:p>
          <w:p w14:paraId="0080588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Рекомендуется для подтверждения диагноза АГ, исключения гипертензии «белого халата», оценки суточного профиля АД, особенно у молодых пациентов.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6CFDC4C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2.3, стр. 26, Приложение А3, таблица П10, стр. 176) </w:t>
            </w:r>
            <w:bookmarkStart w:id="13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F43397B" w14:textId="77777777" w:rsidR="00F81E44" w:rsidRDefault="00F81E44"/>
          <w:p w14:paraId="5101223D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Эхокардиография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).</w:t>
            </w:r>
          </w:p>
          <w:p w14:paraId="338B500F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 xml:space="preserve">). </w:t>
            </w:r>
            <w:proofErr w:type="spellStart"/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 xml:space="preserve"> относится к детальному, а не рутинному обследованию. Она показана при наличии изменений на ЭКГ, шумов в сердце или клинических признаков сердечной недостаточности.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28B1762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2.8, стр. 34, Приложение А3, таблица П8, стр. 179) </w:t>
            </w:r>
            <w:bookmarkStart w:id="14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D0CCC77" w14:textId="77777777" w:rsidR="00F81E44" w:rsidRDefault="00F81E44"/>
          <w:p w14:paraId="5F0CBE1C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УЗИ почек и надпочечников.</w:t>
            </w:r>
          </w:p>
          <w:p w14:paraId="06E61097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УЗИ почек не является рутинным тестом и проводится при подозрении на вторичную (</w:t>
            </w:r>
            <w:proofErr w:type="spellStart"/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ренопаренхиматозную</w:t>
            </w:r>
            <w:proofErr w:type="spellEnd"/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 АГ или при снижении функции почек.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3173138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2.8, стр. 35, Приложение А3, таблица П8, стр. 180) </w:t>
            </w:r>
            <w:bookmarkStart w:id="15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BC80C4E" w14:textId="77777777" w:rsidR="00F81E44" w:rsidRDefault="00F81E44"/>
          <w:p w14:paraId="748CF9CE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5. Рентгенография органов грудной клетки.</w:t>
            </w:r>
          </w:p>
          <w:p w14:paraId="5F583C36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Не является обязательным исследованием при неосложненной АГ I стадии. Проводится для выявления легочного застоя или сопутствующей патологии легких.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70ABE81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2.8, стр. 36) </w:t>
            </w:r>
            <w:bookmarkStart w:id="16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</w:p>
        </w:tc>
      </w:tr>
      <w:tr w:rsidR="00A24187" w14:paraId="196834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77935" w14:textId="3CB12D58" w:rsidR="00F81E44" w:rsidRDefault="00E44A2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</w:t>
            </w:r>
            <w:r w:rsidR="00000000">
              <w:rPr>
                <w:rFonts w:ascii="inter" w:eastAsia="inter" w:hAnsi="inter" w:cs="inter"/>
                <w:b/>
                <w:color w:val="000000"/>
                <w:sz w:val="17"/>
              </w:rPr>
              <w:t>анны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</w:t>
            </w:r>
            <w:r w:rsidR="00000000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01B9B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Глюкоза натощак: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5,1 ммоль/л;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HbA1c: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5,4%.</w:t>
            </w:r>
          </w:p>
          <w:p w14:paraId="403ED562" w14:textId="64A639B3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Липидограмма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Общий холестерин – 5,8 ммоль/л, ЛПНП – 3,7 ммоль/л, ЛПВП – 1,1 ммоль/л, ТГ – 1,5 ммоль/л.</w:t>
            </w:r>
          </w:p>
          <w:p w14:paraId="458CEF03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Креатинин: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75 мкмоль/л;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СКФ (CKD-EPI):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95 мл/мин/1,73м².</w:t>
            </w:r>
          </w:p>
          <w:p w14:paraId="4ABA1AD5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Соотношение альбумин/креатинин в моче: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15 мг/г.</w:t>
            </w:r>
          </w:p>
          <w:p w14:paraId="60A447ED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Калий, натрий, общий анализ крови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пределах нормы.</w:t>
            </w:r>
          </w:p>
        </w:tc>
      </w:tr>
      <w:tr w:rsidR="00A24187" w14:paraId="3F147B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67D76" w14:textId="7B162E80" w:rsidR="00F81E44" w:rsidRDefault="00E44A2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</w:t>
            </w:r>
            <w:r w:rsidR="00000000">
              <w:rPr>
                <w:rFonts w:ascii="inter" w:eastAsia="inter" w:hAnsi="inter" w:cs="inter"/>
                <w:b/>
                <w:color w:val="000000"/>
                <w:sz w:val="17"/>
              </w:rPr>
              <w:t>анны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</w:t>
            </w:r>
            <w:r w:rsidR="00000000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27ECEA" w14:textId="77777777" w:rsidR="00F81E44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Синусовый ритм, ЧСС 78 в мин. Электрическая ось сердца не отклонена. Признаков ГЛЖ нет.</w:t>
            </w:r>
          </w:p>
          <w:p w14:paraId="223EE3D3" w14:textId="65023C8F" w:rsidR="00A24187" w:rsidRDefault="00A24187">
            <w:pPr>
              <w:spacing w:line="360" w:lineRule="auto"/>
            </w:pPr>
            <w:r w:rsidRPr="00A24187">
              <w:rPr>
                <w:noProof/>
              </w:rPr>
              <w:drawing>
                <wp:inline distT="0" distB="0" distL="0" distR="0" wp14:anchorId="21DA1ECE" wp14:editId="2C0FEC26">
                  <wp:extent cx="4547079" cy="2565203"/>
                  <wp:effectExtent l="0" t="0" r="0" b="635"/>
                  <wp:docPr id="7657318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7318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306" cy="2598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886B4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СМАД: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Среднесуточное АД – 145/91 мм рт. ст. Среднедневное АД – 150/95 мм рт. ст.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Средненочное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АД – 132/82 мм рт. ст. Недостаточное снижение АД в ночное время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non-dipper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).</w:t>
            </w:r>
          </w:p>
        </w:tc>
      </w:tr>
      <w:tr w:rsidR="00A24187" w14:paraId="1F3F31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54F2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1A9ED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74CEB8E" w14:textId="77777777" w:rsidR="00F81E44" w:rsidRDefault="00F81E44"/>
          <w:p w14:paraId="5CF5A90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Гипертоническая болезнь I стадии. Артериальная гипертензия 1 степени. Риск 2 (умеренный). Дислипидемия.</w:t>
            </w:r>
          </w:p>
          <w:p w14:paraId="5762A14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Диагноз полностью отражает имеющиеся данные: I стадия (по результатам обследования ПОМ не выявлено), АГ 1 степени (подтверждена СМАД), умеренный риск (возраст &lt;55 лет, есть факторы риска – избыточный вес, дислипидемия). Прием КОК – важный модифицируемый фактор риска.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DD0EC1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2.2, стр. 25) </w:t>
            </w:r>
            <w:bookmarkStart w:id="17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2FD1D85" w14:textId="77777777" w:rsidR="00F81E44" w:rsidRDefault="00F81E44"/>
          <w:p w14:paraId="53624CF5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Изолированная амбулаторная («маскированная») артериальная гипертензия. Риск 2 (умеренный).</w:t>
            </w:r>
          </w:p>
          <w:p w14:paraId="7D2F4471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Диагноз «маскированная» АГ ставится при нормальном АД на приеме у врача и повышенном по данным СМАД. У данной пациентки АД повышено и на приеме, и по данным СМАД.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961A368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Термины и определения, стр. 9) </w:t>
            </w:r>
            <w:bookmarkStart w:id="18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8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1C6861A" w14:textId="77777777" w:rsidR="00F81E44" w:rsidRDefault="00F81E44"/>
          <w:p w14:paraId="48136B9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Гипертоническая болезнь II стадии. Риск 3 (высокий). Дислипидемия.</w:t>
            </w:r>
          </w:p>
          <w:p w14:paraId="2C123E2B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A24187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II стадия устанавливается при наличии ПОМ (ГЛЖ, ХБП и др.), которые по результатам обследования не выявлены. Соответственно, риск не является высоким.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2E7BCB4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1.5, стр. 20) </w:t>
            </w:r>
            <w:bookmarkStart w:id="19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9"/>
          </w:p>
        </w:tc>
      </w:tr>
      <w:tr w:rsidR="00A24187" w14:paraId="14D033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58CCF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07BABD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Определите оптимальную тактику ведения пациентки.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293C0D2" w14:textId="77777777" w:rsidR="00F81E44" w:rsidRDefault="00F81E44"/>
          <w:p w14:paraId="5959222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Рекомендовать немедикаментозные меры на 3 месяца (снижение веса, диета DASH, регулярные аэробные нагрузки). Рассмотреть отмену КОК и замену на альтернативные методы контрацепции. Повторный осмотр через 3 месяца для решения вопроса о назначении медикаментозной терапии.</w:t>
            </w:r>
          </w:p>
          <w:p w14:paraId="4B8071FC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326979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Для пациентов с АГ 1 степени и умеренным риском лечение начинается с модификации образа жизни. Решение о назначении препаратов принимается, если АД не нормализуется в течение 3 месяцев. Отмена КОК является ключевым элементом немедикаментозного лечения.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9A1AA63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3.1, стр. 37–38, Раздел 3.6.19, стр. 83) </w:t>
            </w:r>
            <w:bookmarkStart w:id="20" w:name="fnref1:2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0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A1269A2" w14:textId="77777777" w:rsidR="00F81E44" w:rsidRDefault="00F81E44"/>
          <w:p w14:paraId="5F6B6B9A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Немедленно назначить стартовую двухкомпонентную антигипертензивную терапию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иАПФ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диуретик).</w:t>
            </w:r>
          </w:p>
          <w:p w14:paraId="370BE78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326979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Немедленное назначение медикаментозной терапии показано пациентам с АГ 1 степени при высоком риске или при АГ 2–3 степени. Данная пациентка относится к группе умеренного риска, где начинать следует с немедикаментозных мер.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EBE3E85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3.1, таблица П18, стр. 187) </w:t>
            </w:r>
            <w:bookmarkStart w:id="21" w:name="fnref1:2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1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37166A8" w14:textId="77777777" w:rsidR="00F81E44" w:rsidRDefault="00F81E44"/>
          <w:p w14:paraId="707C1BE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Назначить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монотерапию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бета-блокатором.</w:t>
            </w:r>
          </w:p>
          <w:p w14:paraId="6447B486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326979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Во-первых, начинать следует с немедикаментозных мер. Во-вторых, бета-блокаторы не являются препаратами первого выбора для неосложненной АГ без особых показаний (ИБС, ХСН). В-третьих, стартовой терапией для большинства пациентов является комбинация препаратов.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DE574B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3.4.1, стр. 43) </w:t>
            </w:r>
            <w:bookmarkStart w:id="22" w:name="fnref1:2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2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6BA4F04" w14:textId="77777777" w:rsidR="00F81E44" w:rsidRDefault="00F81E44"/>
          <w:p w14:paraId="44762671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Рекомендовать только снижение веса, без отмены КОК.</w:t>
            </w:r>
          </w:p>
          <w:p w14:paraId="03AD9CAA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326979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Игнорирование влияния КОК на уровень АД является ошибкой. Отмена или замена КОК на альтернативные методы контрацепции – ключевая рекомендация для женщин с АГ, принимающих эти препараты.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65FD08B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3.6.19, стр. 83) </w:t>
            </w:r>
            <w:bookmarkStart w:id="23" w:name="fnref1:2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3"/>
          </w:p>
        </w:tc>
      </w:tr>
      <w:tr w:rsidR="00A24187" w14:paraId="527D38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36DAB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A30241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Составьте план диспансерного наблюдения.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99A35E0" w14:textId="77777777" w:rsidR="00F81E44" w:rsidRDefault="00F81E44"/>
          <w:p w14:paraId="5C99B27D" w14:textId="19CC143A" w:rsidR="00955832" w:rsidRPr="00955832" w:rsidRDefault="00000000" w:rsidP="00955832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955832">
              <w:rPr>
                <w:rFonts w:ascii="inter" w:eastAsia="inter" w:hAnsi="inter" w:cs="inter"/>
                <w:color w:val="000000"/>
                <w:sz w:val="17"/>
              </w:rPr>
              <w:t>Повторный осмотр и измерение АД через 3 месяца для оценки эффекта от изменения образа жизни. При неэффективности – начало медикаментозной терапии и повторный визит через 1 месяц. При достижении целевого АД – контроль не реже 1 раза в год</w:t>
            </w:r>
            <w:r w:rsidRPr="00955832">
              <w:rPr>
                <w:rFonts w:asciiTheme="majorBidi" w:eastAsia="inter" w:hAnsiTheme="majorBidi" w:cstheme="majorBidi"/>
                <w:color w:val="000000"/>
                <w:sz w:val="18"/>
                <w:szCs w:val="18"/>
              </w:rPr>
              <w:t>.</w:t>
            </w:r>
            <w:r w:rsidR="00955832" w:rsidRPr="00955832">
              <w:rPr>
                <w:rFonts w:asciiTheme="majorBidi" w:eastAsia="inter" w:hAnsiTheme="majorBidi" w:cstheme="majorBidi"/>
                <w:color w:val="000000"/>
                <w:sz w:val="18"/>
                <w:szCs w:val="18"/>
              </w:rPr>
              <w:t xml:space="preserve"> </w:t>
            </w:r>
            <w:r w:rsidR="00955832" w:rsidRPr="00955832">
              <w:rPr>
                <w:rStyle w:val="a3"/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Старт медикаментозной гиполипидемической терапии</w:t>
            </w:r>
            <w:r w:rsidR="00955832" w:rsidRPr="0095583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="00955832" w:rsidRPr="00955832">
              <w:rPr>
                <w:rFonts w:asciiTheme="majorBidi" w:hAnsiTheme="majorBidi" w:cstheme="majorBidi"/>
                <w:sz w:val="18"/>
                <w:szCs w:val="18"/>
              </w:rPr>
              <w:t>(статины) можно рассмотреть, если изменения образа жизни не дают эффекта через 3–6 месяцев, особенно при наличии дополнительных факторов риска (возраст, семейный анамнез, АГ, ожирение и т.д.).</w:t>
            </w:r>
          </w:p>
          <w:p w14:paraId="4274ED3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326979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План соответствует рекомендациям: сначала оценивается эффект немедикаментозных мер, затем, при необходимости, подбирается терапия с более частым контролем. Пациенты с умеренным риском после стабилизации АД наблюдаются не реже 1 раза в год.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ABC2840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5, таблица П21, стр. 192) </w:t>
            </w:r>
            <w:bookmarkStart w:id="24" w:name="fnref1:2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4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F60E29C" w14:textId="77777777" w:rsidR="00F81E44" w:rsidRDefault="00F81E44"/>
          <w:p w14:paraId="02E25FD4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Повторный визит через 1 год.</w:t>
            </w:r>
          </w:p>
          <w:p w14:paraId="418303BC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326979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Визит через 1 год является слишком редким для пациента с впервые выявленной АГ. Требуется более ранний контроль для оценки эффективности рекомендованных изменений образа жизни и решения вопроса о назначении лекарств.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A331438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5, стр. 101, таблица П21, стр. 192) </w:t>
            </w:r>
            <w:bookmarkStart w:id="25" w:name="fnref1:2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5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49B9FC7" w14:textId="77777777" w:rsidR="00F81E44" w:rsidRDefault="00F81E44"/>
          <w:p w14:paraId="114D83AA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Госпитализация в кардиологическое отделение для подбора терапии.</w:t>
            </w:r>
          </w:p>
          <w:p w14:paraId="65C0D9A9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(</w:t>
            </w:r>
            <w:r w:rsidRPr="00326979">
              <w:rPr>
                <w:rFonts w:ascii="inter" w:eastAsia="inter" w:hAnsi="inter" w:cs="inter"/>
                <w:b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i/>
                <w:color w:val="000000"/>
                <w:sz w:val="17"/>
              </w:rPr>
              <w:t>). Плановая госпитализация для подбора терапии при неосложненной ГБ I стадии не показана. Лечение проводится в амбулаторных условиях.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26B1E7C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(Источник: Артериальная гипертензия у взрослых, 2024. Раздел 6.1, стр. 104) </w:t>
            </w:r>
            <w:bookmarkStart w:id="26" w:name="fnref1:2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6"/>
          </w:p>
        </w:tc>
      </w:tr>
      <w:tr w:rsidR="00A24187" w14:paraId="1FF46F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58AC4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D94336" w14:textId="77777777" w:rsidR="00F81E4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у взрослых. Клинические рекомендации 2024. Разработчик: Общероссийская общественная организация «Российское кардиологическое общество». Одобрено Научно-практическим Советом Минздрава РФ. </w:t>
            </w:r>
            <w:hyperlink w:anchor="fn1">
              <w:r w:rsidR="00F81E44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14:paraId="7F719E47" w14:textId="77777777" w:rsidR="00F81E44" w:rsidRDefault="00F81E44"/>
    <w:p w14:paraId="44D1FA56" w14:textId="77777777" w:rsidR="00F81E44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58E435F0" w14:textId="04C1260D" w:rsidR="00F81E44" w:rsidRDefault="00F81E44" w:rsidP="00E44A29">
      <w:pPr>
        <w:spacing w:after="210" w:line="360" w:lineRule="auto"/>
        <w:ind w:left="540"/>
      </w:pPr>
    </w:p>
    <w:sectPr w:rsidR="00F81E4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061B"/>
    <w:multiLevelType w:val="hybridMultilevel"/>
    <w:tmpl w:val="B894989E"/>
    <w:lvl w:ilvl="0" w:tplc="A5CE58EC">
      <w:start w:val="1"/>
      <w:numFmt w:val="decimal"/>
      <w:lvlText w:val="%1."/>
      <w:lvlJc w:val="left"/>
      <w:pPr>
        <w:ind w:left="400" w:hanging="360"/>
      </w:pPr>
      <w:rPr>
        <w:rFonts w:ascii="inter" w:eastAsia="inter" w:hAnsi="inter" w:cs="inter" w:hint="default"/>
        <w:color w:val="000000"/>
        <w:sz w:val="17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285F0B70"/>
    <w:multiLevelType w:val="hybridMultilevel"/>
    <w:tmpl w:val="E8C2FF06"/>
    <w:lvl w:ilvl="0" w:tplc="1826EA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30BB1E">
      <w:numFmt w:val="decimal"/>
      <w:lvlText w:val=""/>
      <w:lvlJc w:val="left"/>
    </w:lvl>
    <w:lvl w:ilvl="2" w:tplc="1F7EA3CE">
      <w:numFmt w:val="decimal"/>
      <w:lvlText w:val=""/>
      <w:lvlJc w:val="left"/>
    </w:lvl>
    <w:lvl w:ilvl="3" w:tplc="AED6EEBE">
      <w:numFmt w:val="decimal"/>
      <w:lvlText w:val=""/>
      <w:lvlJc w:val="left"/>
    </w:lvl>
    <w:lvl w:ilvl="4" w:tplc="9DD22D7C">
      <w:numFmt w:val="decimal"/>
      <w:lvlText w:val=""/>
      <w:lvlJc w:val="left"/>
    </w:lvl>
    <w:lvl w:ilvl="5" w:tplc="5848486A">
      <w:numFmt w:val="decimal"/>
      <w:lvlText w:val=""/>
      <w:lvlJc w:val="left"/>
    </w:lvl>
    <w:lvl w:ilvl="6" w:tplc="70029936">
      <w:numFmt w:val="decimal"/>
      <w:lvlText w:val=""/>
      <w:lvlJc w:val="left"/>
    </w:lvl>
    <w:lvl w:ilvl="7" w:tplc="21B68E7A">
      <w:numFmt w:val="decimal"/>
      <w:lvlText w:val=""/>
      <w:lvlJc w:val="left"/>
    </w:lvl>
    <w:lvl w:ilvl="8" w:tplc="78DE5954">
      <w:numFmt w:val="decimal"/>
      <w:lvlText w:val=""/>
      <w:lvlJc w:val="left"/>
    </w:lvl>
  </w:abstractNum>
  <w:abstractNum w:abstractNumId="2" w15:restartNumberingAfterBreak="0">
    <w:nsid w:val="7AF13BC8"/>
    <w:multiLevelType w:val="hybridMultilevel"/>
    <w:tmpl w:val="3522E664"/>
    <w:lvl w:ilvl="0" w:tplc="2274FE46">
      <w:numFmt w:val="decimal"/>
      <w:lvlText w:val=""/>
      <w:lvlJc w:val="left"/>
    </w:lvl>
    <w:lvl w:ilvl="1" w:tplc="487C4400">
      <w:numFmt w:val="decimal"/>
      <w:lvlText w:val=""/>
      <w:lvlJc w:val="left"/>
    </w:lvl>
    <w:lvl w:ilvl="2" w:tplc="246E10E0">
      <w:numFmt w:val="decimal"/>
      <w:lvlText w:val=""/>
      <w:lvlJc w:val="left"/>
    </w:lvl>
    <w:lvl w:ilvl="3" w:tplc="AC7C8160">
      <w:numFmt w:val="decimal"/>
      <w:lvlText w:val=""/>
      <w:lvlJc w:val="left"/>
    </w:lvl>
    <w:lvl w:ilvl="4" w:tplc="E73EEFB4">
      <w:numFmt w:val="decimal"/>
      <w:lvlText w:val=""/>
      <w:lvlJc w:val="left"/>
    </w:lvl>
    <w:lvl w:ilvl="5" w:tplc="653062A6">
      <w:numFmt w:val="decimal"/>
      <w:lvlText w:val=""/>
      <w:lvlJc w:val="left"/>
    </w:lvl>
    <w:lvl w:ilvl="6" w:tplc="0C3E29C0">
      <w:numFmt w:val="decimal"/>
      <w:lvlText w:val=""/>
      <w:lvlJc w:val="left"/>
    </w:lvl>
    <w:lvl w:ilvl="7" w:tplc="14DC9204">
      <w:numFmt w:val="decimal"/>
      <w:lvlText w:val=""/>
      <w:lvlJc w:val="left"/>
    </w:lvl>
    <w:lvl w:ilvl="8" w:tplc="51CA1EBE">
      <w:numFmt w:val="decimal"/>
      <w:lvlText w:val=""/>
      <w:lvlJc w:val="left"/>
    </w:lvl>
  </w:abstractNum>
  <w:num w:numId="1" w16cid:durableId="334458124">
    <w:abstractNumId w:val="2"/>
  </w:num>
  <w:num w:numId="2" w16cid:durableId="476335419">
    <w:abstractNumId w:val="1"/>
  </w:num>
  <w:num w:numId="3" w16cid:durableId="117645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44"/>
    <w:rsid w:val="00116029"/>
    <w:rsid w:val="00167D76"/>
    <w:rsid w:val="001D70FA"/>
    <w:rsid w:val="00251F6E"/>
    <w:rsid w:val="00326979"/>
    <w:rsid w:val="00680DF6"/>
    <w:rsid w:val="006A4CEA"/>
    <w:rsid w:val="007B2FAD"/>
    <w:rsid w:val="007B42F1"/>
    <w:rsid w:val="00955832"/>
    <w:rsid w:val="009733E6"/>
    <w:rsid w:val="00A24187"/>
    <w:rsid w:val="00C40CD6"/>
    <w:rsid w:val="00E44A29"/>
    <w:rsid w:val="00F8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19A1F"/>
  <w15:docId w15:val="{B5FBE760-5190-C444-99A9-1E901927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Strong"/>
    <w:basedOn w:val="a0"/>
    <w:uiPriority w:val="22"/>
    <w:qFormat/>
    <w:rsid w:val="00955832"/>
    <w:rPr>
      <w:b/>
      <w:bCs/>
    </w:rPr>
  </w:style>
  <w:style w:type="paragraph" w:styleId="a4">
    <w:name w:val="List Paragraph"/>
    <w:basedOn w:val="a"/>
    <w:uiPriority w:val="34"/>
    <w:qFormat/>
    <w:rsid w:val="00955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2157</Words>
  <Characters>12298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6</cp:revision>
  <dcterms:created xsi:type="dcterms:W3CDTF">2025-08-13T20:33:00Z</dcterms:created>
  <dcterms:modified xsi:type="dcterms:W3CDTF">2026-01-13T07:43:00Z</dcterms:modified>
</cp:coreProperties>
</file>