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2B497" w14:textId="0C99E82F" w:rsidR="009C39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Клинический сценарий</w:t>
      </w:r>
      <w:r w:rsidR="009E4082">
        <w:rPr>
          <w:rFonts w:ascii="inter" w:eastAsia="inter" w:hAnsi="inter" w:cs="inter"/>
          <w:b/>
          <w:color w:val="000000"/>
          <w:sz w:val="24"/>
        </w:rPr>
        <w:t xml:space="preserve"> 6</w:t>
      </w:r>
      <w:r>
        <w:rPr>
          <w:rFonts w:ascii="inter" w:eastAsia="inter" w:hAnsi="inter" w:cs="inter"/>
          <w:b/>
          <w:color w:val="000000"/>
          <w:sz w:val="24"/>
        </w:rPr>
        <w:t>: Пациентка с головокружением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08"/>
        <w:gridCol w:w="7596"/>
      </w:tblGrid>
      <w:tr w:rsidR="004455C7" w14:paraId="2C8096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36D3E7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6C36F6" w14:textId="129E68AB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Пациентка, </w:t>
            </w:r>
            <w:r w:rsidR="009E4082">
              <w:rPr>
                <w:rFonts w:ascii="inter" w:eastAsia="inter" w:hAnsi="inter" w:cs="inter"/>
                <w:color w:val="000000"/>
                <w:sz w:val="17"/>
              </w:rPr>
              <w:t>6</w:t>
            </w:r>
            <w:r>
              <w:rPr>
                <w:rFonts w:ascii="inter" w:eastAsia="inter" w:hAnsi="inter" w:cs="inter"/>
                <w:color w:val="000000"/>
                <w:sz w:val="17"/>
              </w:rPr>
              <w:t>5 лет, обратилась на амбулаторный приём к врачу-терапевту.</w:t>
            </w:r>
          </w:p>
          <w:p w14:paraId="0B854061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Цель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Провести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обследование, поставить диагноз, назначить лечение и составить план диспансерного наблюдения.</w:t>
            </w:r>
          </w:p>
          <w:p w14:paraId="120387E2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Брадиаритмии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и нарушения проводимости», 2025 г. </w:t>
            </w:r>
            <w:hyperlink w:anchor="fn1">
              <w:r w:rsidR="009C396A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4455C7" w14:paraId="32581B1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293544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ED5163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Повторяющиеся приступы головокружения, которые сопровождаются общей слабостью и ощущением «дурноты» (предобморочное состояние). Потери сознания отрицает.</w:t>
            </w:r>
          </w:p>
        </w:tc>
      </w:tr>
      <w:tr w:rsidR="004455C7" w14:paraId="425586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3BF7B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A5BD22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Считает себя больной около 2 месяцев, когда впервые появились эпизоды головокружения. Приступы возникают несколько раз в неделю, длятся по несколько минут и часто провоцируются резким изменением положения тела. Ранее за медицинской помощью по этому поводу не обращалась, лечение не получала.</w:t>
            </w:r>
          </w:p>
        </w:tc>
      </w:tr>
      <w:tr w:rsidR="004455C7" w14:paraId="3DFDF4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275B63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E9E4DF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Из перенесённых заболеваний отмечает острый инфаркт миокарда 5 лет назад. В течение последних 10 лет страдает артериальной гипертензией, регулярно принимает гипотензивную терапию. Операций на сердце не было. Наследственный и аллергологический анамнез не отягощены.</w:t>
            </w:r>
          </w:p>
        </w:tc>
      </w:tr>
      <w:tr w:rsidR="004455C7" w14:paraId="10D956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A59312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080CA1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Общее состояние удовлетворительное, сознание ясное. Кожные покровы бледные, сухие. При аускультации сердца тоны приглушены, ритм правильный. Определяется редкая частота сердечных сокращений (ЧСС) — 48 ударов в минуту. Пульс на лучевых артериях редкий, симметричный, удовлетворительного наполнения. Артериальное давление (АД) — 130/80 мм рт. ст.</w:t>
            </w:r>
          </w:p>
        </w:tc>
      </w:tr>
      <w:tr w:rsidR="004455C7" w14:paraId="4AE30A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D1A62F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E158D5" w14:textId="77777777" w:rsidR="009C396A" w:rsidRDefault="00000000">
            <w:pPr>
              <w:spacing w:line="360" w:lineRule="auto"/>
            </w:pPr>
            <w:r w:rsidRPr="004B0AA7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Верные варианты:</w:t>
            </w:r>
          </w:p>
          <w:p w14:paraId="0D198B52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Синдром слабости синусового узла (СССУ).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Клинические рекомендации (КР), раздел 1.6, стр. 18. Комментарий: Клиническая картина (головокружение, слабость) в сочетании с брадикардией характерна для ДСУ/СССУ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9C396A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28027526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Симптоматическая брадикардия.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КР, раздел 2.1, стр. 20. Комментарий: Документированная брадикардия, которая соответствует клиническим проявлениям, определяется как симптоматическая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9C396A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0154FAAA" w14:textId="77777777" w:rsidR="009C396A" w:rsidRDefault="009C396A"/>
          <w:p w14:paraId="342106A7" w14:textId="77777777" w:rsidR="009C396A" w:rsidRDefault="00000000">
            <w:pPr>
              <w:spacing w:line="360" w:lineRule="auto"/>
            </w:pPr>
            <w:r w:rsidRPr="004B0AA7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Неверные варианты:</w:t>
            </w:r>
          </w:p>
          <w:p w14:paraId="720905AA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Вестибулярный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нейронит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: Хотя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это заболевание вызывает головокружение, оно не объясняет наличие брадикардии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5F2B3DA9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Железодефицитная анемия.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Анемия может вызывать слабость и головокружение, но не является прямой причиной стойкой брадикардии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18E95809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Ортостатическая гипотензия.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: Хотя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симптомы возникают при смене положения тела, основной находкой при обследовании является брадикардия, а не падение АД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4455C7" w14:paraId="5E57B53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117B5D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B64FA3" w14:textId="77777777" w:rsidR="009C396A" w:rsidRDefault="00000000">
            <w:pPr>
              <w:spacing w:line="360" w:lineRule="auto"/>
            </w:pPr>
            <w:r w:rsidRPr="004B0AA7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Верные назначения:</w:t>
            </w:r>
          </w:p>
          <w:p w14:paraId="7D1A0A89" w14:textId="60E8EA2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Общий анализ крови.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КР, раздел 2.3, стр. 21. Комментарий: Рекомендовано для исключения анемии как сопутствующей патологии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9C396A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6B13374F" w14:textId="74FEB682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Анализ крови биохимический (с определением уровня калия, натрия).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КР, раздел 2.3, стр. 21. Комментарий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: Необходимо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для исключения электролитных нарушений как обратимой причины брадикардии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9C396A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5B3DB02F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Исследование уровня тиреотропного гормона (ТТГ).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КР, раздел 2.3, стр. 21. Комментарий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: Проводится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для исключения гипотиреоза, который может быть причиной брадикардии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9C396A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689CD6DC" w14:textId="77777777" w:rsidR="009C396A" w:rsidRDefault="009C396A"/>
          <w:p w14:paraId="63EBA351" w14:textId="77777777" w:rsidR="009C396A" w:rsidRDefault="00000000">
            <w:pPr>
              <w:spacing w:line="360" w:lineRule="auto"/>
            </w:pPr>
            <w:r w:rsidRPr="004B0AA7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Неверные назначения:</w:t>
            </w:r>
          </w:p>
          <w:p w14:paraId="61E53BC2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Онкомаркеры.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: Нет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показаний для данного исследования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32325972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Коагулограмма.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: Не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является исследованием первой линии при данной симптоматике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509E2755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Общий анализ мочи.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Неинформативен для диагностики причин головокружения и брадикардии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4455C7" w14:paraId="5CE52E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CF771C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196A9A" w14:textId="77777777" w:rsidR="009C396A" w:rsidRDefault="00000000">
            <w:pPr>
              <w:spacing w:line="360" w:lineRule="auto"/>
            </w:pPr>
            <w:r w:rsidRPr="004B0AA7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Верные назначения:</w:t>
            </w:r>
          </w:p>
          <w:p w14:paraId="611B7255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Регистрация электрокардиограммы (ЭКГ) в 12 отведениях.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КР, раздел 2.4.1, стр. 22. Комментарий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: Является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основным методом для документации характера ритма и частоты сокращений сердца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9C396A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74FDFF4B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Длительное мониторирование ЭКГ (Холтеровское мониторирование).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КР, раздел 2.4.2, стр. 23. Комментарий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: Необходимо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для выявления преходящих нарушений ритма и установления корреляции симптомов с брадикардией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9C396A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4F37C6F9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Трансторакальная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эхокардиография.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КР, раздел 2.4.3, стр. 25. Комментарий: Рекомендована для оценки структурного состояния сердца, особенно при наличии ИБС в анамнезе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9C396A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29D9197F" w14:textId="77777777" w:rsidR="009C396A" w:rsidRDefault="009C396A"/>
          <w:p w14:paraId="08B3EB37" w14:textId="77777777" w:rsidR="009C396A" w:rsidRDefault="00000000">
            <w:pPr>
              <w:spacing w:line="360" w:lineRule="auto"/>
            </w:pPr>
            <w:r w:rsidRPr="004B0AA7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Неверные назначения:</w:t>
            </w:r>
          </w:p>
          <w:p w14:paraId="79535ACB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Магнитно-резонансная томография (МРТ) головного мозга.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: Не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является первоочередным исследованием при подозрении на кардиальную причину головокружения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0DCF1855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УЗИ органов брюшной полости.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: Не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имеет отношения к диагностике данного состояния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4455C7" w14:paraId="718D19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3B71DE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Оценка данных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8C2A25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* Общий анализ крови: гемоглобин — 135 г/л, эритроциты — 4.5х10¹²/л, лейкоциты — 6.8х10⁹/л. Все показатели в пределах нормы.</w:t>
            </w:r>
          </w:p>
          <w:p w14:paraId="4A396E69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Биохимический анализ крови: калий — 4.2 ммоль/л, натрий — 140 ммоль/л. Электролиты и другие показатели в норме.</w:t>
            </w:r>
          </w:p>
          <w:p w14:paraId="184D88FD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Уровень ТТГ: 2.1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мМЕ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/л (норма).</w:t>
            </w:r>
          </w:p>
        </w:tc>
      </w:tr>
      <w:tr w:rsidR="004455C7" w14:paraId="5F1CBDE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13F61B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D54F7D" w14:textId="401387FF" w:rsidR="009C396A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 w:rsidRPr="004455C7">
              <w:rPr>
                <w:rFonts w:ascii="inter" w:eastAsia="inter" w:hAnsi="inter" w:cs="inter"/>
                <w:color w:val="000000"/>
                <w:sz w:val="17"/>
              </w:rPr>
              <w:t xml:space="preserve">* </w:t>
            </w:r>
            <w:r w:rsidRPr="004455C7"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 w:rsidRPr="004455C7">
              <w:rPr>
                <w:rFonts w:ascii="inter" w:eastAsia="inter" w:hAnsi="inter" w:cs="inter"/>
                <w:color w:val="000000"/>
                <w:sz w:val="17"/>
              </w:rPr>
              <w:t xml:space="preserve"> Синусовая брадикардия с ЧСС </w:t>
            </w:r>
            <w:r w:rsidR="004455C7">
              <w:rPr>
                <w:rFonts w:ascii="inter" w:eastAsia="inter" w:hAnsi="inter" w:cs="inter"/>
                <w:color w:val="000000"/>
                <w:sz w:val="17"/>
              </w:rPr>
              <w:t>54</w:t>
            </w:r>
            <w:r w:rsidRPr="004455C7">
              <w:rPr>
                <w:rFonts w:ascii="inter" w:eastAsia="inter" w:hAnsi="inter" w:cs="inter"/>
                <w:color w:val="000000"/>
                <w:sz w:val="17"/>
              </w:rPr>
              <w:t xml:space="preserve"> ударов в минуту. </w:t>
            </w:r>
            <w:r w:rsidR="004455C7">
              <w:rPr>
                <w:rFonts w:ascii="inter" w:eastAsia="inter" w:hAnsi="inter" w:cs="inter"/>
                <w:color w:val="000000"/>
                <w:sz w:val="17"/>
              </w:rPr>
              <w:t xml:space="preserve">А-В блокада 1 ст. Замедление </w:t>
            </w:r>
            <w:proofErr w:type="spellStart"/>
            <w:r w:rsidR="004455C7">
              <w:rPr>
                <w:rFonts w:ascii="inter" w:eastAsia="inter" w:hAnsi="inter" w:cs="inter"/>
                <w:color w:val="000000"/>
                <w:sz w:val="17"/>
              </w:rPr>
              <w:t>внутрипредсердного</w:t>
            </w:r>
            <w:proofErr w:type="spellEnd"/>
            <w:r w:rsidR="004455C7">
              <w:rPr>
                <w:rFonts w:ascii="inter" w:eastAsia="inter" w:hAnsi="inter" w:cs="inter"/>
                <w:color w:val="000000"/>
                <w:sz w:val="17"/>
              </w:rPr>
              <w:t xml:space="preserve"> проведения. </w:t>
            </w:r>
            <w:r w:rsidRPr="004455C7">
              <w:rPr>
                <w:rFonts w:ascii="inter" w:eastAsia="inter" w:hAnsi="inter" w:cs="inter"/>
                <w:color w:val="000000"/>
                <w:sz w:val="17"/>
              </w:rPr>
              <w:t>Признаки перенесённого инфаркта миокарда задней стенки левого желудочка.</w:t>
            </w:r>
          </w:p>
          <w:p w14:paraId="29D281D6" w14:textId="539D74F5" w:rsidR="004455C7" w:rsidRPr="004455C7" w:rsidRDefault="004455C7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 w:rsidRPr="004455C7">
              <w:rPr>
                <w:rFonts w:ascii="inter" w:eastAsia="inter" w:hAnsi="inter" w:cs="inter"/>
                <w:noProof/>
                <w:color w:val="000000"/>
                <w:sz w:val="17"/>
              </w:rPr>
              <w:drawing>
                <wp:inline distT="0" distB="0" distL="0" distR="0" wp14:anchorId="5A9CB0DF" wp14:editId="4B248069">
                  <wp:extent cx="4654273" cy="3046567"/>
                  <wp:effectExtent l="0" t="0" r="0" b="1905"/>
                  <wp:docPr id="15569442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94424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6986" cy="3081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29E34" w14:textId="77777777" w:rsidR="004B0AA7" w:rsidRPr="004455C7" w:rsidRDefault="004B0AA7">
            <w:pPr>
              <w:spacing w:line="360" w:lineRule="auto"/>
            </w:pPr>
          </w:p>
          <w:p w14:paraId="3F57348B" w14:textId="2696D34E" w:rsidR="009C396A" w:rsidRPr="004455C7" w:rsidRDefault="00000000">
            <w:pPr>
              <w:spacing w:line="360" w:lineRule="auto"/>
            </w:pPr>
            <w:r w:rsidRPr="004455C7">
              <w:rPr>
                <w:rFonts w:ascii="inter" w:eastAsia="inter" w:hAnsi="inter" w:cs="inter"/>
                <w:color w:val="000000"/>
                <w:sz w:val="17"/>
              </w:rPr>
              <w:t xml:space="preserve"> * </w:t>
            </w:r>
            <w:r w:rsidRPr="004455C7">
              <w:rPr>
                <w:rFonts w:ascii="inter" w:eastAsia="inter" w:hAnsi="inter" w:cs="inter"/>
                <w:b/>
                <w:color w:val="000000"/>
                <w:sz w:val="17"/>
              </w:rPr>
              <w:t>Холтеровское мониторирование</w:t>
            </w:r>
            <w:proofErr w:type="gramStart"/>
            <w:r w:rsidRPr="004455C7"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 w:rsidRPr="004455C7">
              <w:rPr>
                <w:rFonts w:ascii="inter" w:eastAsia="inter" w:hAnsi="inter" w:cs="inter"/>
                <w:color w:val="000000"/>
                <w:sz w:val="17"/>
              </w:rPr>
              <w:t xml:space="preserve"> В течение</w:t>
            </w:r>
            <w:proofErr w:type="gramEnd"/>
            <w:r w:rsidRPr="004455C7">
              <w:rPr>
                <w:rFonts w:ascii="inter" w:eastAsia="inter" w:hAnsi="inter" w:cs="inter"/>
                <w:color w:val="000000"/>
                <w:sz w:val="17"/>
              </w:rPr>
              <w:t xml:space="preserve"> суток регистрируется синусовая брадикардия. В ночные часы зафиксированы </w:t>
            </w:r>
            <w:r w:rsidR="00DA32F9">
              <w:rPr>
                <w:rFonts w:ascii="inter" w:eastAsia="inter" w:hAnsi="inter" w:cs="inter"/>
                <w:color w:val="000000"/>
                <w:sz w:val="17"/>
              </w:rPr>
              <w:t xml:space="preserve">эпизоды </w:t>
            </w:r>
            <w:proofErr w:type="spellStart"/>
            <w:r w:rsidR="00DA32F9" w:rsidRPr="004455C7">
              <w:rPr>
                <w:rFonts w:ascii="inter" w:eastAsia="inter" w:hAnsi="inter" w:cs="inter"/>
                <w:color w:val="000000"/>
                <w:sz w:val="17"/>
              </w:rPr>
              <w:t>синоатриальной</w:t>
            </w:r>
            <w:proofErr w:type="spellEnd"/>
            <w:r w:rsidR="00DA32F9" w:rsidRPr="004455C7">
              <w:rPr>
                <w:rFonts w:ascii="inter" w:eastAsia="inter" w:hAnsi="inter" w:cs="inter"/>
                <w:color w:val="000000"/>
                <w:sz w:val="17"/>
              </w:rPr>
              <w:t xml:space="preserve"> блокадой </w:t>
            </w:r>
            <w:r w:rsidR="00DA32F9">
              <w:rPr>
                <w:rFonts w:ascii="inter" w:eastAsia="inter" w:hAnsi="inter" w:cs="inter"/>
                <w:color w:val="000000"/>
                <w:sz w:val="17"/>
              </w:rPr>
              <w:t xml:space="preserve">с </w:t>
            </w:r>
            <w:r w:rsidRPr="004455C7">
              <w:rPr>
                <w:rFonts w:ascii="inter" w:eastAsia="inter" w:hAnsi="inter" w:cs="inter"/>
                <w:color w:val="000000"/>
                <w:sz w:val="17"/>
              </w:rPr>
              <w:t>пауз</w:t>
            </w:r>
            <w:r w:rsidR="00DA32F9">
              <w:rPr>
                <w:rFonts w:ascii="inter" w:eastAsia="inter" w:hAnsi="inter" w:cs="inter"/>
                <w:color w:val="000000"/>
                <w:sz w:val="17"/>
              </w:rPr>
              <w:t xml:space="preserve">ами </w:t>
            </w:r>
            <w:r w:rsidRPr="004455C7">
              <w:rPr>
                <w:rFonts w:ascii="inter" w:eastAsia="inter" w:hAnsi="inter" w:cs="inter"/>
                <w:color w:val="000000"/>
                <w:sz w:val="17"/>
              </w:rPr>
              <w:t>ритма продолжительностью до 3.5 секунд</w:t>
            </w:r>
            <w:r w:rsidR="00DA32F9">
              <w:rPr>
                <w:rFonts w:ascii="inter" w:eastAsia="inter" w:hAnsi="inter" w:cs="inter"/>
                <w:color w:val="000000"/>
                <w:sz w:val="17"/>
              </w:rPr>
              <w:t xml:space="preserve">. </w:t>
            </w:r>
            <w:r w:rsidRPr="004455C7">
              <w:rPr>
                <w:rFonts w:ascii="inter" w:eastAsia="inter" w:hAnsi="inter" w:cs="inter"/>
                <w:color w:val="000000"/>
                <w:sz w:val="17"/>
              </w:rPr>
              <w:t xml:space="preserve"> Эпизоды головокружения, отмеченные пациенткой в дневнике, совпадают с урежением ЧСС до 40 ударов в минуту.</w:t>
            </w:r>
          </w:p>
          <w:p w14:paraId="0F8792F0" w14:textId="5AE229AB" w:rsidR="009C396A" w:rsidRPr="004455C7" w:rsidRDefault="00000000">
            <w:pPr>
              <w:spacing w:line="360" w:lineRule="auto"/>
            </w:pPr>
            <w:r w:rsidRPr="004455C7">
              <w:rPr>
                <w:rFonts w:ascii="inter" w:eastAsia="inter" w:hAnsi="inter" w:cs="inter"/>
                <w:color w:val="000000"/>
                <w:sz w:val="17"/>
              </w:rPr>
              <w:t xml:space="preserve"> * </w:t>
            </w:r>
            <w:proofErr w:type="spellStart"/>
            <w:r w:rsidRPr="004455C7">
              <w:rPr>
                <w:rFonts w:ascii="inter" w:eastAsia="inter" w:hAnsi="inter" w:cs="inter"/>
                <w:b/>
                <w:color w:val="000000"/>
                <w:sz w:val="17"/>
              </w:rPr>
              <w:t>Трансторакальная</w:t>
            </w:r>
            <w:proofErr w:type="spellEnd"/>
            <w:r w:rsidRPr="004455C7"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эхокардиография:</w:t>
            </w:r>
            <w:r w:rsidRPr="004455C7"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DA32F9">
              <w:rPr>
                <w:rFonts w:ascii="inter" w:eastAsia="inter" w:hAnsi="inter" w:cs="inter"/>
                <w:color w:val="000000"/>
                <w:sz w:val="17"/>
              </w:rPr>
              <w:t>Сохраненная</w:t>
            </w:r>
            <w:r w:rsidRPr="004455C7">
              <w:rPr>
                <w:rFonts w:ascii="inter" w:eastAsia="inter" w:hAnsi="inter" w:cs="inter"/>
                <w:color w:val="000000"/>
                <w:sz w:val="17"/>
              </w:rPr>
              <w:t xml:space="preserve"> сократительн</w:t>
            </w:r>
            <w:r w:rsidR="00DA32F9">
              <w:rPr>
                <w:rFonts w:ascii="inter" w:eastAsia="inter" w:hAnsi="inter" w:cs="inter"/>
                <w:color w:val="000000"/>
                <w:sz w:val="17"/>
              </w:rPr>
              <w:t>ая</w:t>
            </w:r>
            <w:r w:rsidRPr="004455C7">
              <w:rPr>
                <w:rFonts w:ascii="inter" w:eastAsia="inter" w:hAnsi="inter" w:cs="inter"/>
                <w:color w:val="000000"/>
                <w:sz w:val="17"/>
              </w:rPr>
              <w:t xml:space="preserve"> функци</w:t>
            </w:r>
            <w:r w:rsidR="00DA32F9">
              <w:rPr>
                <w:rFonts w:ascii="inter" w:eastAsia="inter" w:hAnsi="inter" w:cs="inter"/>
                <w:color w:val="000000"/>
                <w:sz w:val="17"/>
              </w:rPr>
              <w:t>я</w:t>
            </w:r>
            <w:r w:rsidRPr="004455C7">
              <w:rPr>
                <w:rFonts w:ascii="inter" w:eastAsia="inter" w:hAnsi="inter" w:cs="inter"/>
                <w:color w:val="000000"/>
                <w:sz w:val="17"/>
              </w:rPr>
              <w:t xml:space="preserve"> левого желудочка (фракция выброса 52%). Зоны гипокинезии в области задней стенки. Клапанной патологии не выявлено.</w:t>
            </w:r>
          </w:p>
        </w:tc>
      </w:tr>
      <w:tr w:rsidR="004455C7" w14:paraId="11443C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AD3F85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6AC8E7" w14:textId="77777777" w:rsidR="009C396A" w:rsidRDefault="00000000">
            <w:pPr>
              <w:spacing w:line="360" w:lineRule="auto"/>
            </w:pPr>
            <w:r w:rsidRPr="004B0AA7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Верный диагноз:</w:t>
            </w:r>
          </w:p>
          <w:p w14:paraId="14AA1BDD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Синдром слабости синусового узла (СССУ): симптоматическая синусовая брадикардия,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синоатриальная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блокада.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КР, раздел 1.5, стр. 16. Комментарий: Диагноз устанавливается на основании клинических проявлений (головокружение) и документированных пауз ритма и брадикардии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9C396A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5CFBADDF" w14:textId="77777777" w:rsidR="009C396A" w:rsidRDefault="009C396A"/>
          <w:p w14:paraId="3E4A33E1" w14:textId="77777777" w:rsidR="009C396A" w:rsidRDefault="00000000">
            <w:pPr>
              <w:spacing w:line="360" w:lineRule="auto"/>
            </w:pPr>
            <w:r w:rsidRPr="004B0AA7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Неверные диагнозы:</w:t>
            </w:r>
          </w:p>
          <w:p w14:paraId="3FB51FD8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Доброкачественное пароксизмальное позиционное головокружение (ДППГ).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: Опровергается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наличием значимых нарушений ритма на Холтере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22938AE5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Атриовентрикулярная блокада II степени.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По данным Холтера, нарушения проводимости связаны с дисфункцией синусового узла, а не с АВ-проведением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4455C7" w14:paraId="656F68C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D0BA2A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828652" w14:textId="77777777" w:rsidR="009C396A" w:rsidRDefault="00000000">
            <w:pPr>
              <w:spacing w:line="360" w:lineRule="auto"/>
            </w:pPr>
            <w:r w:rsidRPr="004B0AA7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Верная тактика:</w:t>
            </w:r>
          </w:p>
          <w:p w14:paraId="0D67BFF3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Имплантация постоянного электрокардиостимулятора (ЭКС).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КР, раздел 3.3.1, стр. 40. Комментарий: Пациентам с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симптомной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брадикардией, обусловленной ДСУ, рекомендована имплантация ЭКС для улучшения симптоматики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9C396A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603B94AF" w14:textId="77777777" w:rsidR="009C396A" w:rsidRDefault="009C396A"/>
          <w:p w14:paraId="68C3DB62" w14:textId="77777777" w:rsidR="009C396A" w:rsidRDefault="00000000">
            <w:pPr>
              <w:spacing w:line="360" w:lineRule="auto"/>
            </w:pPr>
            <w:r w:rsidRPr="004B0AA7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Неверная тактика:</w:t>
            </w:r>
          </w:p>
          <w:p w14:paraId="3CC42853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Назначение атропина на постоянной основе.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Атропин используется только для неотложной помощи и не подходит для длительного лечения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4C4BDD4E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Назначение бета-адреноблокаторов.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Препараты данной группы усугубят брадикардию и противопоказаны в этой ситуации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1575DB6C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Рекомендовать избегать резких движений.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: Это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не устранит причину симптомов и не является адекватным лечением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4455C7" w14:paraId="257A50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14142D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56F9C8" w14:textId="77777777" w:rsidR="009C396A" w:rsidRDefault="00000000">
            <w:pPr>
              <w:spacing w:line="360" w:lineRule="auto"/>
            </w:pPr>
            <w:r w:rsidRPr="004B0AA7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Верные рекомендации:</w:t>
            </w:r>
          </w:p>
          <w:p w14:paraId="1AB95C07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Регулярное наблюдение у кардиолога.</w:t>
            </w:r>
          </w:p>
          <w:p w14:paraId="540C415F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После имплантации ЭКС — контроль и программирование устройства через 3 месяца, затем каждые 6–12 месяцев.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КР, раздел 5, стр. 67-68. Комментарий: Пациентам с ЭКС рекомендуется регулярный мониторинг для оптимизации работы устройства и оценки клинического состояния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9C396A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7534C8A1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Мониторинг симптомов для своевременной коррекции параметров стимуляции.</w:t>
            </w:r>
          </w:p>
          <w:p w14:paraId="0501B0A4" w14:textId="77777777" w:rsidR="009C396A" w:rsidRDefault="009C396A"/>
          <w:p w14:paraId="2CE2497D" w14:textId="77777777" w:rsidR="009C396A" w:rsidRDefault="00000000">
            <w:pPr>
              <w:spacing w:line="360" w:lineRule="auto"/>
            </w:pPr>
            <w:r w:rsidRPr="004B0AA7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Неверные рекомендации:</w:t>
            </w:r>
          </w:p>
          <w:p w14:paraId="002A05F3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Наблюдение у невролога.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: После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установки кардиальной причины головокружения наблюдение у невролога не требуется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6732DDF8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Ежегодное проведение МРТ головного мозга.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: Не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показано при отсутствии неврологической симптоматики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4455C7" w14:paraId="17ABD99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78E649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27671F" w14:textId="77777777" w:rsidR="009C39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* Клинические рекомендации «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Брадиаритмии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и нарушения проводимости». Всероссийское научное общество специалистов по клинической электрофизиологии,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аритмологии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и кардиостимуляции (ВНОА), Российское кардиологическое общество (РКО), 2025.</w:t>
            </w:r>
          </w:p>
        </w:tc>
      </w:tr>
    </w:tbl>
    <w:p w14:paraId="36C85592" w14:textId="77777777" w:rsidR="009C396A" w:rsidRDefault="009C396A"/>
    <w:p w14:paraId="3E878D58" w14:textId="20C5D071" w:rsidR="004B0AA7" w:rsidRDefault="00000000" w:rsidP="004B0AA7">
      <w:pPr>
        <w:spacing w:line="360" w:lineRule="auto"/>
        <w:jc w:val="center"/>
        <w:rPr>
          <w:rFonts w:ascii="inter" w:eastAsia="inter" w:hAnsi="inter" w:cs="inter"/>
          <w:color w:val="000000"/>
          <w:sz w:val="18"/>
        </w:rPr>
      </w:pPr>
      <w:r>
        <w:rPr>
          <w:rFonts w:ascii="Segoe UI Symbol" w:eastAsia="inter" w:hAnsi="Segoe UI Symbol" w:cs="Segoe UI Symbol"/>
          <w:color w:val="000000"/>
        </w:rPr>
        <w:t>⁂</w:t>
      </w:r>
    </w:p>
    <w:p w14:paraId="2CE5CEBF" w14:textId="6762F059" w:rsidR="009C396A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9C396A"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15C3B" w14:textId="77777777" w:rsidR="000E2728" w:rsidRDefault="000E2728" w:rsidP="009E4082">
      <w:pPr>
        <w:spacing w:after="0" w:line="240" w:lineRule="auto"/>
      </w:pPr>
      <w:r>
        <w:separator/>
      </w:r>
    </w:p>
  </w:endnote>
  <w:endnote w:type="continuationSeparator" w:id="0">
    <w:p w14:paraId="2A322F2E" w14:textId="77777777" w:rsidR="000E2728" w:rsidRDefault="000E2728" w:rsidP="009E4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0444E" w14:textId="77777777" w:rsidR="000E2728" w:rsidRDefault="000E2728" w:rsidP="009E4082">
      <w:pPr>
        <w:spacing w:after="0" w:line="240" w:lineRule="auto"/>
      </w:pPr>
      <w:r>
        <w:separator/>
      </w:r>
    </w:p>
  </w:footnote>
  <w:footnote w:type="continuationSeparator" w:id="0">
    <w:p w14:paraId="23DFAD78" w14:textId="77777777" w:rsidR="000E2728" w:rsidRDefault="000E2728" w:rsidP="009E40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41AE1"/>
    <w:multiLevelType w:val="hybridMultilevel"/>
    <w:tmpl w:val="E5BE63C4"/>
    <w:lvl w:ilvl="0" w:tplc="F2B2260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40EB268">
      <w:numFmt w:val="decimal"/>
      <w:lvlText w:val=""/>
      <w:lvlJc w:val="left"/>
    </w:lvl>
    <w:lvl w:ilvl="2" w:tplc="F690A7EC">
      <w:numFmt w:val="decimal"/>
      <w:lvlText w:val=""/>
      <w:lvlJc w:val="left"/>
    </w:lvl>
    <w:lvl w:ilvl="3" w:tplc="A85C727E">
      <w:numFmt w:val="decimal"/>
      <w:lvlText w:val=""/>
      <w:lvlJc w:val="left"/>
    </w:lvl>
    <w:lvl w:ilvl="4" w:tplc="F02A3228">
      <w:numFmt w:val="decimal"/>
      <w:lvlText w:val=""/>
      <w:lvlJc w:val="left"/>
    </w:lvl>
    <w:lvl w:ilvl="5" w:tplc="9F0AC7C2">
      <w:numFmt w:val="decimal"/>
      <w:lvlText w:val=""/>
      <w:lvlJc w:val="left"/>
    </w:lvl>
    <w:lvl w:ilvl="6" w:tplc="0518EBE2">
      <w:numFmt w:val="decimal"/>
      <w:lvlText w:val=""/>
      <w:lvlJc w:val="left"/>
    </w:lvl>
    <w:lvl w:ilvl="7" w:tplc="F4D4149A">
      <w:numFmt w:val="decimal"/>
      <w:lvlText w:val=""/>
      <w:lvlJc w:val="left"/>
    </w:lvl>
    <w:lvl w:ilvl="8" w:tplc="BBBA7CF4">
      <w:numFmt w:val="decimal"/>
      <w:lvlText w:val=""/>
      <w:lvlJc w:val="left"/>
    </w:lvl>
  </w:abstractNum>
  <w:abstractNum w:abstractNumId="1" w15:restartNumberingAfterBreak="0">
    <w:nsid w:val="7E5B3966"/>
    <w:multiLevelType w:val="hybridMultilevel"/>
    <w:tmpl w:val="7B28526A"/>
    <w:lvl w:ilvl="0" w:tplc="0928B3B6">
      <w:numFmt w:val="decimal"/>
      <w:lvlText w:val=""/>
      <w:lvlJc w:val="left"/>
    </w:lvl>
    <w:lvl w:ilvl="1" w:tplc="CF94F486">
      <w:numFmt w:val="decimal"/>
      <w:lvlText w:val=""/>
      <w:lvlJc w:val="left"/>
    </w:lvl>
    <w:lvl w:ilvl="2" w:tplc="454CD5A6">
      <w:numFmt w:val="decimal"/>
      <w:lvlText w:val=""/>
      <w:lvlJc w:val="left"/>
    </w:lvl>
    <w:lvl w:ilvl="3" w:tplc="D562A11C">
      <w:numFmt w:val="decimal"/>
      <w:lvlText w:val=""/>
      <w:lvlJc w:val="left"/>
    </w:lvl>
    <w:lvl w:ilvl="4" w:tplc="2EA6DF26">
      <w:numFmt w:val="decimal"/>
      <w:lvlText w:val=""/>
      <w:lvlJc w:val="left"/>
    </w:lvl>
    <w:lvl w:ilvl="5" w:tplc="728CF314">
      <w:numFmt w:val="decimal"/>
      <w:lvlText w:val=""/>
      <w:lvlJc w:val="left"/>
    </w:lvl>
    <w:lvl w:ilvl="6" w:tplc="04880F3C">
      <w:numFmt w:val="decimal"/>
      <w:lvlText w:val=""/>
      <w:lvlJc w:val="left"/>
    </w:lvl>
    <w:lvl w:ilvl="7" w:tplc="E2DA7ED0">
      <w:numFmt w:val="decimal"/>
      <w:lvlText w:val=""/>
      <w:lvlJc w:val="left"/>
    </w:lvl>
    <w:lvl w:ilvl="8" w:tplc="676CF9AC">
      <w:numFmt w:val="decimal"/>
      <w:lvlText w:val=""/>
      <w:lvlJc w:val="left"/>
    </w:lvl>
  </w:abstractNum>
  <w:num w:numId="1" w16cid:durableId="1858276778">
    <w:abstractNumId w:val="1"/>
  </w:num>
  <w:num w:numId="2" w16cid:durableId="777018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96A"/>
    <w:rsid w:val="0000400F"/>
    <w:rsid w:val="000E2728"/>
    <w:rsid w:val="001508A2"/>
    <w:rsid w:val="00151D5C"/>
    <w:rsid w:val="00167D76"/>
    <w:rsid w:val="004455C7"/>
    <w:rsid w:val="00472566"/>
    <w:rsid w:val="004B0AA7"/>
    <w:rsid w:val="004C6D3D"/>
    <w:rsid w:val="007379BD"/>
    <w:rsid w:val="00814EC7"/>
    <w:rsid w:val="009C396A"/>
    <w:rsid w:val="009E4082"/>
    <w:rsid w:val="00DA3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4050B1"/>
  <w15:docId w15:val="{7C937DCD-5514-9B45-9847-870E93A8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header"/>
    <w:basedOn w:val="a"/>
    <w:link w:val="a4"/>
    <w:uiPriority w:val="99"/>
    <w:unhideWhenUsed/>
    <w:rsid w:val="009E40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E4082"/>
  </w:style>
  <w:style w:type="paragraph" w:styleId="a5">
    <w:name w:val="footer"/>
    <w:basedOn w:val="a"/>
    <w:link w:val="a6"/>
    <w:uiPriority w:val="99"/>
    <w:unhideWhenUsed/>
    <w:rsid w:val="009E40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E4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1170</Words>
  <Characters>6672</Characters>
  <Application>Microsoft Office Word</Application>
  <DocSecurity>0</DocSecurity>
  <Lines>55</Lines>
  <Paragraphs>15</Paragraphs>
  <ScaleCrop>false</ScaleCrop>
  <Company/>
  <LinksUpToDate>false</LinksUpToDate>
  <CharactersWithSpaces>7827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Виктор Тодосийчук</cp:lastModifiedBy>
  <cp:revision>7</cp:revision>
  <dcterms:created xsi:type="dcterms:W3CDTF">2025-08-15T06:12:00Z</dcterms:created>
  <dcterms:modified xsi:type="dcterms:W3CDTF">2026-01-13T12:41:00Z</dcterms:modified>
</cp:coreProperties>
</file>