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6238" w14:textId="43756283" w:rsidR="00116D22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Сценарий</w:t>
      </w:r>
      <w:r w:rsidR="002B58A1">
        <w:rPr>
          <w:rFonts w:ascii="inter" w:eastAsia="inter" w:hAnsi="inter" w:cs="inter"/>
          <w:color w:val="000000"/>
        </w:rPr>
        <w:t xml:space="preserve">1. </w:t>
      </w:r>
      <w:r>
        <w:rPr>
          <w:rFonts w:ascii="inter" w:eastAsia="inter" w:hAnsi="inter" w:cs="inter"/>
          <w:color w:val="000000"/>
        </w:rPr>
        <w:t xml:space="preserve"> основан на случае пациента с подозрением на семейную гиперхолестеринемию, что позволит оценить знания в области диагностики, стратификации риска и современных подходов к лечению дислипидемий.</w:t>
      </w:r>
    </w:p>
    <w:p w14:paraId="6C53C333" w14:textId="77777777" w:rsidR="00116D22" w:rsidRDefault="00F22A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EBD3DE0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32"/>
        <w:gridCol w:w="7572"/>
      </w:tblGrid>
      <w:tr w:rsidR="00116D22" w14:paraId="056229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7478F5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512B63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42 года.</w:t>
            </w:r>
          </w:p>
          <w:p w14:paraId="3BFA73BE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Место действия: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Амбулаторный приём в поликлинике у врача-кардиолога.</w:t>
            </w:r>
          </w:p>
          <w:p w14:paraId="123726C1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 обследование, установить клинический диагноз, определить тактику лечения и диспансерного наблюдения.</w:t>
            </w:r>
          </w:p>
          <w:p w14:paraId="68D66EB6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«Нарушения липидного обмена», 2023 г. Разработчик: Российское кардиологическое общество (РКО) </w:t>
            </w:r>
            <w:hyperlink w:anchor="fn1">
              <w:r w:rsidR="00116D22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116D22" w14:paraId="074826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E247CB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E90A98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 обратился с жалобами на появление и медленное увеличение безболезненных уплотнений в области ахилловых сухожилий с обеих сторон. Активных жалоб со стороны сердечно-сосудистой системы не предъявляет. Отмечает общую обеспокоенность состоянием своего здоровья в связи с неблагоприятным семейным анамнезом.</w:t>
            </w:r>
          </w:p>
        </w:tc>
      </w:tr>
      <w:tr w:rsidR="00116D22" w14:paraId="017D21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FA3964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78B9D0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Уплотнения в области ахилловых сухожилий заметил около 5 лет назад, к врачу не обращался. Резкое беспокойство возникло после того, как его старший брат (48 лет) месяц назад перенес острый инфаркт миокарда. Пациент ранее не обследовался, уровень холестерина не знает.</w:t>
            </w:r>
          </w:p>
        </w:tc>
      </w:tr>
      <w:tr w:rsidR="00116D22" w14:paraId="420A28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877D82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E6C69C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ОРВИ, детские инфекции. Хронические заболевания отрицает. Операций не было.</w:t>
            </w:r>
          </w:p>
          <w:p w14:paraId="705E2091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 старшего брата (48 лет) — инфаркт миокарда. Отец умер в 53 года от «проблем с сердцем» (точно не знает). Мать (68 лет) страдает артериальной гипертензией.</w:t>
            </w:r>
          </w:p>
          <w:p w14:paraId="661448F8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Курит по 1 пачке сигарет в день в течение 20 лет.</w:t>
            </w:r>
          </w:p>
          <w:p w14:paraId="33403A52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 отягощен.</w:t>
            </w:r>
          </w:p>
        </w:tc>
      </w:tr>
      <w:tr w:rsidR="00116D22" w14:paraId="66043A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C6E989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F9F633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удовлетворительное. Сознание ясное.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чистые, обычной окраски. В области век ксантелазм нет. При осмотре глаз отмечается серовато-белая полоса по периферии роговицы (липоидная дуга).</w:t>
            </w:r>
          </w:p>
          <w:p w14:paraId="1F66DCAB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Органы дыхания: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хрипов нет. ЧДД 16 в мин.</w:t>
            </w:r>
          </w:p>
          <w:p w14:paraId="482C534E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ясные, ритмичные. Шумов нет. АД 135/85 мм рт. ст. Пульс 72 уд/мин, ритмичный, удовлетворительного наполнения.</w:t>
            </w:r>
          </w:p>
          <w:p w14:paraId="6784A03D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Локальный статус: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При пальпации в области ахилловых сухожилий с обеих сторон определяются плотные, безболезненные, подвижные узлы до 2-3 см в диаметре (сухожильные ксантомы).</w:t>
            </w:r>
          </w:p>
        </w:tc>
      </w:tr>
      <w:tr w:rsidR="00116D22" w14:paraId="08A119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3B66EA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E80BA7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наиболее вероятный предварительный диагноз:</w:t>
            </w:r>
          </w:p>
          <w:p w14:paraId="2113EE0C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Семейная гиперхолестеринемия (СГХС)</w:t>
            </w:r>
          </w:p>
          <w:p w14:paraId="149FF6D0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492CB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3.5.1, стр. 30–32</w:t>
            </w:r>
            <w:bookmarkStart w:id="0" w:name="fnref1: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Наличие у пациента моложе 45 лет сухожильных ксантом, липоидной дуги роговицы и отягощенного семейного анамнеза по раннему развитию ССЗ делает диагноз СГХС наиболее вероятным.</w:t>
            </w:r>
          </w:p>
          <w:p w14:paraId="57CC42BB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Вторичная дислипидемия на фоне гипотиреоза</w:t>
            </w:r>
          </w:p>
          <w:p w14:paraId="5228F07A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492CB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1.2, стр. 7–8</w:t>
            </w:r>
            <w:bookmarkStart w:id="1" w:name="fnref1: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Хотя вторичные ДЛП необходимо исключать, клинические признаки (сухожильные ксантомы) являются патогномоничными для СГХС и крайне редко встречаются при других состояниях.</w:t>
            </w:r>
          </w:p>
          <w:p w14:paraId="079E4B6B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Полигенная гиперхолестеринемия</w:t>
            </w:r>
          </w:p>
          <w:p w14:paraId="5EC00C34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492CB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1.2, стр. 7</w:t>
            </w:r>
            <w:bookmarkStart w:id="2" w:name="fnref1: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При полигенной ГХС уровень холестерина обычно ниже, и отсутствуют специфические признаки, такие как сухожильные ксантомы.</w:t>
            </w:r>
          </w:p>
        </w:tc>
      </w:tr>
      <w:tr w:rsidR="00116D22" w14:paraId="0A2BEC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6BAC27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B829F5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необходимые лабораторные исследования:</w:t>
            </w:r>
          </w:p>
          <w:p w14:paraId="7C2E9B61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Липидный профиль (ОХС, ХС ЛНП, ХС ЛВП, ТГ)</w:t>
            </w:r>
          </w:p>
          <w:p w14:paraId="230BD05A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492CB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2.4, стр. 14–15</w:t>
            </w:r>
            <w:bookmarkStart w:id="3" w:name="fnref1: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Определение липидного профиля является основой для диагностики ДЛП и стратификации риска.</w:t>
            </w:r>
          </w:p>
          <w:p w14:paraId="1744C6C4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АЛТ, АСТ, КФК</w:t>
            </w:r>
          </w:p>
          <w:p w14:paraId="448A1E47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492CB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2.4, стр. 15</w:t>
            </w:r>
            <w:bookmarkStart w:id="4" w:name="fnref1: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Необходимо определить исходные уровни печеночных ферментов и КФК перед назначением гиполипидемической терапии (статинов).</w:t>
            </w:r>
          </w:p>
          <w:p w14:paraId="01B851CE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Глюкоза крови, креатинин (с расчетом СКФ)</w:t>
            </w:r>
          </w:p>
          <w:p w14:paraId="1726EE4E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Верно. Источник: КР Нарушения липидного обмена, 2023, раздел 2.4, стр. 15</w:t>
            </w:r>
            <w:bookmarkStart w:id="5" w:name="fnref1: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Необходимо для исключения СД и ХБП как причин вторичной ДЛП и для оценки общего сердечно-сосудистого риска.</w:t>
            </w:r>
          </w:p>
          <w:p w14:paraId="4B90EF18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Липопротеин(а)</w:t>
            </w:r>
          </w:p>
          <w:p w14:paraId="12314483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492CB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2.4, стр. 15</w:t>
            </w:r>
            <w:bookmarkStart w:id="6" w:name="fnref1: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Рекомендовано определить уровень Лп(а) хотя бы раз в жизни у любого взрослого для уточнения риска, особенно при подозрении на СГХС.</w:t>
            </w:r>
          </w:p>
          <w:p w14:paraId="071E126F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5.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Ревматоидный фактор и С-реактивный белок</w:t>
            </w:r>
          </w:p>
          <w:p w14:paraId="27B5F2AF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492CB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В данном клиническом случае нет данных, указывающих на системное воспалительное заболевание. Эти анализы не являются первоочередными для диагностики ДЛП.</w:t>
            </w:r>
          </w:p>
        </w:tc>
      </w:tr>
      <w:tr w:rsidR="00116D22" w14:paraId="4CEF4A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EDA47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A8B5B5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необходимые инструментальные исследования:</w:t>
            </w:r>
          </w:p>
          <w:p w14:paraId="574F810C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Дуплексное сканирование брахиоцефальных артерий</w:t>
            </w:r>
          </w:p>
          <w:p w14:paraId="20168E37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492CB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2.5, стр. 18</w:t>
            </w:r>
            <w:bookmarkStart w:id="7" w:name="fnref1: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Рекомендовано всем пациентам с дислипидемией для выявления субклинического атеросклероза и реклассификации риска.</w:t>
            </w:r>
          </w:p>
          <w:p w14:paraId="1C5A9A31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Электрокардиография (ЭКГ)</w:t>
            </w:r>
          </w:p>
          <w:p w14:paraId="5ADA04D8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492CB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2.2, стр. 13</w:t>
            </w:r>
            <w:bookmarkStart w:id="8" w:name="fnref1: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Является стандартным методом обследования кардиологического пациента для выявления признаков ишемии или перенесенных событий.</w:t>
            </w:r>
          </w:p>
          <w:p w14:paraId="78F8B166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КТ-ангиография коронарных артерий</w:t>
            </w:r>
          </w:p>
          <w:p w14:paraId="77BA9B93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492CB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2.5, стр. 17</w:t>
            </w:r>
            <w:bookmarkStart w:id="9" w:name="fnref1:1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Это исследование не является скрининговым. Его следует рассматривать при наличии клинических показаний. Для стратификации риска у бессимптомного пациента более оправдано определение кальциевого индекса (неконтрастная КТ).</w:t>
            </w:r>
          </w:p>
        </w:tc>
      </w:tr>
      <w:tr w:rsidR="00116D22" w14:paraId="48D9A3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089F02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C8D928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холестерин (ОХС):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9,8 ммоль/л</w:t>
            </w:r>
          </w:p>
          <w:p w14:paraId="503FADAB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ХС ЛНП: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8,0 ммоль/л</w:t>
            </w:r>
          </w:p>
          <w:p w14:paraId="35F666AB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ХС ЛВП: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1,0 ммоль/л</w:t>
            </w:r>
          </w:p>
          <w:p w14:paraId="48CD7707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Триглицериды (ТГ):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1,6 ммоль/л</w:t>
            </w:r>
          </w:p>
          <w:p w14:paraId="0D5C1745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Липопротеин(а):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65 мг/дл</w:t>
            </w:r>
          </w:p>
          <w:p w14:paraId="20F56FBC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25 Ед/л,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АСТ: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28 Ед/л</w:t>
            </w:r>
          </w:p>
          <w:p w14:paraId="02CC4595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КФК: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110 Ед/л</w:t>
            </w:r>
          </w:p>
          <w:p w14:paraId="71962723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Глюкоза: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5,1 ммоль/л</w:t>
            </w:r>
          </w:p>
          <w:p w14:paraId="28686AE5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Креатинин: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80 мкмоль/л,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СКФ: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95 мл/мин/1,73 м²</w:t>
            </w:r>
          </w:p>
        </w:tc>
      </w:tr>
      <w:tr w:rsidR="00116D22" w14:paraId="35FB6C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5A2E64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B28A5E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Дуплексное сканирование брахиоцефальных артерий: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области бифуркации общей сонной артерии с обеих сторон определяются атеросклеротические бляшки, стенозирующие просвет до 30%. Толщина комплекса интима-медиа увеличена до 1,1 мм.</w:t>
            </w:r>
          </w:p>
          <w:p w14:paraId="50B8F979" w14:textId="66BA9766" w:rsidR="00116D22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Ритм синусовый, ЧСС </w:t>
            </w:r>
            <w:r w:rsidR="00492CBA">
              <w:rPr>
                <w:rFonts w:ascii="inter" w:eastAsia="inter" w:hAnsi="inter" w:cs="inter"/>
                <w:color w:val="000000"/>
                <w:sz w:val="17"/>
              </w:rPr>
              <w:t>60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уд/мин. Признаков гипертрофии, ишемии или рубцовых изменений не выявлено.</w:t>
            </w:r>
          </w:p>
          <w:p w14:paraId="22732266" w14:textId="3B80EDD4" w:rsidR="00492CBA" w:rsidRDefault="00492CBA" w:rsidP="00492CBA">
            <w:pPr>
              <w:spacing w:line="360" w:lineRule="auto"/>
            </w:pPr>
            <w:r w:rsidRPr="00492CBA">
              <w:rPr>
                <w:noProof/>
              </w:rPr>
              <w:drawing>
                <wp:inline distT="0" distB="0" distL="0" distR="0" wp14:anchorId="5C30B814" wp14:editId="507C31F6">
                  <wp:extent cx="4528677" cy="2305292"/>
                  <wp:effectExtent l="0" t="0" r="5715" b="0"/>
                  <wp:docPr id="7" name="Рисунок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6945B5A-0EDC-ECCF-6A9D-140D26CCCCE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>
                            <a:extLst>
                              <a:ext uri="{FF2B5EF4-FFF2-40B4-BE49-F238E27FC236}">
                                <a16:creationId xmlns:a16="http://schemas.microsoft.com/office/drawing/2014/main" id="{96945B5A-0EDC-ECCF-6A9D-140D26CCCCE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8147" cy="232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6D22" w14:paraId="3AA6F4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750B94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49D9F2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Поставьте окончательный диагноз, используя полученные данные и шкалу DLCN (Приложение Г1, стр. 97</w:t>
            </w:r>
            <w:bookmarkStart w:id="10" w:name="fnref1:1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):</w:t>
            </w:r>
          </w:p>
          <w:p w14:paraId="2E3B070F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(Расчет баллов по DLCN: семейный анамнез (раннее ССЗ у отца/брата) - 1 балл; физикальное обследование (сухожильные ксантомы) - 6 баллов; уровень ХС ЛНП 8,0 ммоль/л - 5 баллов. Итого: 12 баллов.)</w:t>
            </w:r>
          </w:p>
          <w:p w14:paraId="298AA4BD" w14:textId="77777777" w:rsidR="00116D22" w:rsidRDefault="00116D22"/>
          <w:p w14:paraId="46DEBBC7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Определенная гетерозиготная семейная гиперхолестеринемия (12 баллов по DLCN). Атеросклероз брахиоцефальных артерий со стенозом до 30%. Очень высокий сердечно-сосудистый риск.</w:t>
            </w:r>
          </w:p>
          <w:p w14:paraId="69D6A851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492CB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3.5.1, стр. 32, Приложение Г1, стр. 97</w:t>
            </w:r>
            <w:bookmarkStart w:id="11" w:name="fnref1:1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Сумма баллов &gt;8 соответствует «определенному» диагнозу геСГХС. Пациенты с СГХС и атеросклеротическим ССЗ (включая субклинический атеросклероз) относятся к категории очень высокого риска (стр. 19)</w:t>
            </w:r>
            <w:bookmarkStart w:id="12" w:name="fnref1:1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6B042242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Вероятная семейная гиперхолестеринемия. Высокий сердечно-сосудистый риск.</w:t>
            </w:r>
          </w:p>
          <w:p w14:paraId="18A34154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492CB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3.5.1, стр. 32, Приложение Г1, стр. 97</w:t>
            </w:r>
            <w:bookmarkStart w:id="13" w:name="fnref1:1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Сумма баллов 12, что соответствует «определенной», а не «вероятной» СГХС. Наличие документированного атеросклероза переводит пациента в категорию очень высокого риска, а не высокого.</w:t>
            </w:r>
          </w:p>
          <w:p w14:paraId="4A0DF707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Смешанная гиперлипидемия (IIb тип по Фредриксону). Умеренный сердечно-сосудистый риск.</w:t>
            </w:r>
          </w:p>
          <w:p w14:paraId="14CA9446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492CB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стр. 11, 80</w:t>
            </w:r>
            <w:bookmarkStart w:id="14" w:name="fnref1:1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Уровень ТГ в норме, что исключает смешанную ГЛП. Диагноз СГХС и наличие атеросклероза определяют очень высокий риск, а не умеренный.</w:t>
            </w:r>
          </w:p>
        </w:tc>
      </w:tr>
      <w:tr w:rsidR="00116D22" w14:paraId="206C77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0E39F4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D21F07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оптимальную стартовую тактику лечения:</w:t>
            </w:r>
          </w:p>
          <w:p w14:paraId="25FD4422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Рекомендации по изменению образа жизни (отказ от курения, диета) и назначение Розувастатина 40 мг/сут + Эзетимиба 10 мг/сут.</w:t>
            </w:r>
          </w:p>
          <w:p w14:paraId="002B981C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492CB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3.5.1, стр. 34-35</w:t>
            </w:r>
            <w:bookmarkStart w:id="15" w:name="fnref1:1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Пациентам с СГХС показана высокоинтенсивная терапия статинами. При очень высоких исходных уровнях ХС ЛНП для достижения целевого значения (&lt;1,4 ммоль/л и снижение &gt;50%) целесообразно сразу начинать комбинированную терапию.</w:t>
            </w:r>
          </w:p>
          <w:p w14:paraId="23770FCA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Назначить Аторвастатин 20 мг/сут, контроль липидов через 3 месяца.</w:t>
            </w:r>
          </w:p>
          <w:p w14:paraId="29A572E8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492CB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3.5.1, стр. 34</w:t>
            </w:r>
            <w:bookmarkStart w:id="16" w:name="fnref1:1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Это умеренная доза статина, которой будет недостаточно для достижения целевого уровня ХС ЛНП &lt;1,4 ммоль/л у пациента с СГХС и очень высоким риском. Требуется высокоинтенсивная терапия.</w:t>
            </w:r>
          </w:p>
          <w:p w14:paraId="4B35EAD3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Рекомендовать диету с низким содержанием жиров на 6 месяцев, затем повторить анализ.</w:t>
            </w:r>
          </w:p>
          <w:p w14:paraId="6E7E717F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492CB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3.3.1, стр. 21-22</w:t>
            </w:r>
            <w:bookmarkStart w:id="17" w:name="fnref1:1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У пациента с определенным диагнозом СГХС и очень высоким риском немедикаментозная терапия в виде монотерапии недопустима. Необходимо немедленное назначение гиполипидемических препаратов.</w:t>
            </w:r>
          </w:p>
          <w:p w14:paraId="03D514F8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Назначить Фенофибрат 145 мг/сут.</w:t>
            </w:r>
          </w:p>
          <w:p w14:paraId="20921CED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492CB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3.3.2, стр. 23</w:t>
            </w:r>
            <w:bookmarkStart w:id="18" w:name="fnref1:1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Фибраты являются препаратами выбора для коррекции гипертриглицеридемии. У данного пациента уровень ТГ в норме, а основной целью является снижение ХС ЛНП, где препаратами первой линии являются статины.</w:t>
            </w:r>
          </w:p>
        </w:tc>
      </w:tr>
      <w:tr w:rsidR="00116D22" w14:paraId="3CB117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3A0D48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1C86E1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Составьте план диспансерного наблюдения:</w:t>
            </w:r>
          </w:p>
          <w:p w14:paraId="136F4C05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Контроль липидного профиля через 8 недель. Контроль АЛТ, АСТ, КФК через 4-6 недель. Обучение пациента, повышение приверженности. Повторное дуплексное сканирование артерий через 1 год.</w:t>
            </w:r>
          </w:p>
          <w:p w14:paraId="2FC40CF8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492CB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5, стр. 47-48</w:t>
            </w:r>
            <w:bookmarkStart w:id="19" w:name="fnref1:2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Рекомендована оценка эффективности и безопасности терапии через 8 (±4) недель. При наличии стенозов ≥50% контроль УЗИ ежегодный; при стенозах 25-49% — через 1 год, далее по ситуации.</w:t>
            </w:r>
          </w:p>
          <w:p w14:paraId="0F3265EE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Контроль липидного профиля через 1 год. Отказ от курения.</w:t>
            </w:r>
          </w:p>
          <w:p w14:paraId="1B7D1B27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492CB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5, стр. 48</w:t>
            </w:r>
            <w:bookmarkStart w:id="20" w:name="fnref1:2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Первый контроль эффективности и безопасности терапии должен быть проведен значительно раньше (через 8±4 недели), а не через год.</w:t>
            </w:r>
          </w:p>
          <w:p w14:paraId="298769C8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Ежемесячный контроль АЛТ, АСТ и КФК в течение года.</w:t>
            </w:r>
          </w:p>
          <w:p w14:paraId="4AF1E37D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492CB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5, стр. 48</w:t>
            </w:r>
            <w:bookmarkStart w:id="21" w:name="fnref1:2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Рутинный контроль ферментов после первого измерения (через 8-12 недель) не требуется при отсутствии жалоб. Ежемесячный мониторинг избыточен.</w:t>
            </w:r>
          </w:p>
        </w:tc>
      </w:tr>
      <w:tr w:rsidR="00116D22" w14:paraId="65CC71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D931C7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57A2F1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</w:p>
          <w:p w14:paraId="5812D6EF" w14:textId="77777777" w:rsidR="00116D2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Клинические рекомендации «Нарушения липидного обмена» 2023. Разработчики: Российское кардиологическое общество (РКО) при участии: Национального общества по изучению атеросклероза (НОА), Российской ассоциации эндокринологов (РАЭ), Российского общества кардиосоматической реабилитации и вторичной профилактики (РосОКР), Российского научного медицинского общества терапевтов (РНМОТ), Евразийской ассоциации кардиологов, Евразийской ассоциации терапевтов (ЕАТ), Российской ассоциации геронтологов и гериатров</w:t>
            </w:r>
            <w:hyperlink w:anchor="fn1">
              <w:r w:rsidR="00116D22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</w:tbl>
    <w:p w14:paraId="6F28644C" w14:textId="77777777" w:rsidR="00116D22" w:rsidRDefault="00116D22"/>
    <w:p w14:paraId="7B9CA18E" w14:textId="77777777" w:rsidR="00116D22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42EEBEA5" w14:textId="77777777" w:rsidR="00116D22" w:rsidRDefault="00F22A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C476DE2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C1495BC" w14:textId="78FDA1E9" w:rsidR="00116D22" w:rsidRDefault="00116D22" w:rsidP="00A92C03">
      <w:pPr>
        <w:spacing w:after="210" w:line="360" w:lineRule="auto"/>
        <w:ind w:left="540"/>
      </w:pPr>
      <w:bookmarkStart w:id="22" w:name="fn1"/>
      <w:bookmarkEnd w:id="22"/>
    </w:p>
    <w:sectPr w:rsidR="00116D2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7057A"/>
    <w:multiLevelType w:val="hybridMultilevel"/>
    <w:tmpl w:val="78AE449C"/>
    <w:lvl w:ilvl="0" w:tplc="8BE0897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4B0CA68">
      <w:numFmt w:val="decimal"/>
      <w:lvlText w:val=""/>
      <w:lvlJc w:val="left"/>
    </w:lvl>
    <w:lvl w:ilvl="2" w:tplc="9640A924">
      <w:numFmt w:val="decimal"/>
      <w:lvlText w:val=""/>
      <w:lvlJc w:val="left"/>
    </w:lvl>
    <w:lvl w:ilvl="3" w:tplc="347827F0">
      <w:numFmt w:val="decimal"/>
      <w:lvlText w:val=""/>
      <w:lvlJc w:val="left"/>
    </w:lvl>
    <w:lvl w:ilvl="4" w:tplc="8786C706">
      <w:numFmt w:val="decimal"/>
      <w:lvlText w:val=""/>
      <w:lvlJc w:val="left"/>
    </w:lvl>
    <w:lvl w:ilvl="5" w:tplc="AFFAB6DA">
      <w:numFmt w:val="decimal"/>
      <w:lvlText w:val=""/>
      <w:lvlJc w:val="left"/>
    </w:lvl>
    <w:lvl w:ilvl="6" w:tplc="7648169C">
      <w:numFmt w:val="decimal"/>
      <w:lvlText w:val=""/>
      <w:lvlJc w:val="left"/>
    </w:lvl>
    <w:lvl w:ilvl="7" w:tplc="A314BDD2">
      <w:numFmt w:val="decimal"/>
      <w:lvlText w:val=""/>
      <w:lvlJc w:val="left"/>
    </w:lvl>
    <w:lvl w:ilvl="8" w:tplc="A2CE2D66">
      <w:numFmt w:val="decimal"/>
      <w:lvlText w:val=""/>
      <w:lvlJc w:val="left"/>
    </w:lvl>
  </w:abstractNum>
  <w:abstractNum w:abstractNumId="1" w15:restartNumberingAfterBreak="0">
    <w:nsid w:val="724D3E58"/>
    <w:multiLevelType w:val="hybridMultilevel"/>
    <w:tmpl w:val="E00E2316"/>
    <w:lvl w:ilvl="0" w:tplc="63A88B36">
      <w:numFmt w:val="decimal"/>
      <w:lvlText w:val=""/>
      <w:lvlJc w:val="left"/>
    </w:lvl>
    <w:lvl w:ilvl="1" w:tplc="42926824">
      <w:numFmt w:val="decimal"/>
      <w:lvlText w:val=""/>
      <w:lvlJc w:val="left"/>
    </w:lvl>
    <w:lvl w:ilvl="2" w:tplc="B1267248">
      <w:numFmt w:val="decimal"/>
      <w:lvlText w:val=""/>
      <w:lvlJc w:val="left"/>
    </w:lvl>
    <w:lvl w:ilvl="3" w:tplc="945E3FEA">
      <w:numFmt w:val="decimal"/>
      <w:lvlText w:val=""/>
      <w:lvlJc w:val="left"/>
    </w:lvl>
    <w:lvl w:ilvl="4" w:tplc="71229C18">
      <w:numFmt w:val="decimal"/>
      <w:lvlText w:val=""/>
      <w:lvlJc w:val="left"/>
    </w:lvl>
    <w:lvl w:ilvl="5" w:tplc="E5161014">
      <w:numFmt w:val="decimal"/>
      <w:lvlText w:val=""/>
      <w:lvlJc w:val="left"/>
    </w:lvl>
    <w:lvl w:ilvl="6" w:tplc="2E3E5EAC">
      <w:numFmt w:val="decimal"/>
      <w:lvlText w:val=""/>
      <w:lvlJc w:val="left"/>
    </w:lvl>
    <w:lvl w:ilvl="7" w:tplc="737A7C5C">
      <w:numFmt w:val="decimal"/>
      <w:lvlText w:val=""/>
      <w:lvlJc w:val="left"/>
    </w:lvl>
    <w:lvl w:ilvl="8" w:tplc="5236607E">
      <w:numFmt w:val="decimal"/>
      <w:lvlText w:val=""/>
      <w:lvlJc w:val="left"/>
    </w:lvl>
  </w:abstractNum>
  <w:num w:numId="1" w16cid:durableId="146870809">
    <w:abstractNumId w:val="1"/>
  </w:num>
  <w:num w:numId="2" w16cid:durableId="184909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22"/>
    <w:rsid w:val="00116D22"/>
    <w:rsid w:val="00167D76"/>
    <w:rsid w:val="002B58A1"/>
    <w:rsid w:val="00472566"/>
    <w:rsid w:val="00492CBA"/>
    <w:rsid w:val="00A92C03"/>
    <w:rsid w:val="00F22AFB"/>
    <w:rsid w:val="00FB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30FA6F8A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1664</Words>
  <Characters>9490</Characters>
  <Application>Microsoft Office Word</Application>
  <DocSecurity>0</DocSecurity>
  <Lines>79</Lines>
  <Paragraphs>22</Paragraphs>
  <ScaleCrop>false</ScaleCrop>
  <Company/>
  <LinksUpToDate>false</LinksUpToDate>
  <CharactersWithSpaces>11132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4</cp:revision>
  <dcterms:created xsi:type="dcterms:W3CDTF">2025-08-13T20:26:00Z</dcterms:created>
  <dcterms:modified xsi:type="dcterms:W3CDTF">2026-01-13T12:44:00Z</dcterms:modified>
</cp:coreProperties>
</file>