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5EE65" w14:textId="77777777" w:rsidR="00940EA3" w:rsidRDefault="00940EA3">
      <w:pPr>
        <w:spacing w:after="0" w:line="360" w:lineRule="auto"/>
      </w:pPr>
    </w:p>
    <w:p w14:paraId="7D279418" w14:textId="77777777" w:rsidR="00940EA3" w:rsidRDefault="00E9794F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4. сценарий дислипидемии у пациента старческого возраста</w:t>
      </w:r>
    </w:p>
    <w:p w14:paraId="72696336" w14:textId="77777777" w:rsidR="00940EA3" w:rsidRDefault="006F368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5170096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41"/>
        <w:gridCol w:w="7563"/>
      </w:tblGrid>
      <w:tr w:rsidR="007F5795" w14:paraId="7C0F028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10109E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5A5CEF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Пациент: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Женщина, 82 года.</w:t>
            </w:r>
          </w:p>
          <w:p w14:paraId="09076735" w14:textId="1CE3F3D1" w:rsidR="00940EA3" w:rsidRDefault="00000000" w:rsidP="007F443E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Место действия: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Плановый амбулаторный приём у врача-кардиолога в поликлинике.</w:t>
            </w:r>
          </w:p>
        </w:tc>
      </w:tr>
      <w:tr w:rsidR="007F5795" w14:paraId="7D6C7E9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E1615D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6128F0" w14:textId="0217A5FF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Пациентка предъявляет жалобы на общую слабость, повышенную утомляемость, одышку при подъёме на 2-й этаж</w:t>
            </w:r>
            <w:r w:rsidR="008C6B86">
              <w:rPr>
                <w:rFonts w:ascii="inter" w:eastAsia="inter" w:hAnsi="inter" w:cs="inter"/>
                <w:color w:val="000000"/>
                <w:sz w:val="17"/>
              </w:rPr>
              <w:t>, периодически возникающие давящие боли в грудной клетке при умеренной физической нагрузке (ходьба 200-300 м), купирующиеся в покое.</w:t>
            </w:r>
          </w:p>
        </w:tc>
      </w:tr>
      <w:tr w:rsidR="007F5795" w14:paraId="17F9463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40526C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CA6D9AB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 течение последних 15 лет страдает артериальной гипертензией с максимальными подъёмами АД до 180/100 мм рт. ст. Около 10 лет назад был диагностирован сахарный диабет 2 типа. 5 лет назад перенесла транзиторную ишемическую атаку (ТИА) с преходящей слабостью в правой руке. После ТИА был рекомендован приём аторвастатина 20 мг, но пациентка принимала его нерегулярно из-за «боязни побочных эффектов на печень». Уровень холестерина не контролировала последние 3 года.</w:t>
            </w:r>
          </w:p>
        </w:tc>
      </w:tr>
      <w:tr w:rsidR="007F5795" w14:paraId="2E9D4EA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06B42B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93AC4D1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Перенесенные заболевания: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ОРВИ, холецистэктомия 20 лет назад.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Хронические заболевания: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Гипертоническая болезнь, ИБС, сахарный диабет 2 типа, хроническая болезнь почек (ХБП), остеоартроз коленных суставов.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Постоянно принимает: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Лизиноприл 10 мг/сут, Метформин 1000 мг/сут, Ацетилсалициловая кислота 100 мг/сут.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Наследственность: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Не отягощена.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Вредные привычки: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Не курит, алкоголь не употребляет.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Аллергологический анамнез: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Не отягощен.</w:t>
            </w:r>
          </w:p>
        </w:tc>
      </w:tr>
      <w:tr w:rsidR="007F5795" w14:paraId="60A5CC3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E0515C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F9E22B2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Общее состояние: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Удовлетворительное. Сознание ясное.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Кожные покровы: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Бледные, сухие. </w:t>
            </w:r>
            <w:bookmarkStart w:id="0" w:name="OLE_LINK1"/>
            <w:r>
              <w:rPr>
                <w:rFonts w:ascii="inter" w:eastAsia="inter" w:hAnsi="inter" w:cs="inter"/>
                <w:color w:val="000000"/>
                <w:sz w:val="17"/>
              </w:rPr>
              <w:t xml:space="preserve">Ксантом и ксантелазм </w:t>
            </w:r>
            <w:bookmarkEnd w:id="0"/>
            <w:r>
              <w:rPr>
                <w:rFonts w:ascii="inter" w:eastAsia="inter" w:hAnsi="inter" w:cs="inter"/>
                <w:color w:val="000000"/>
                <w:sz w:val="17"/>
              </w:rPr>
              <w:t xml:space="preserve">нет.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ИМТ: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29 кг/м².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Органы дыхания: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Дыхание везикулярное, хрипов нет. ЧДД 18 в мин.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Сердечно-сосудистая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Тоны сердца приглушены, ритмичные. Грубый систолический шум над аортой. АД 155/90 мм рт. ст. Пульс 76 уд/мин, ритмичный. Умеренные отеки голеней и стоп.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Органы пищеварения: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Живот мягкий, безболезненный.</w:t>
            </w:r>
          </w:p>
        </w:tc>
      </w:tr>
      <w:tr w:rsidR="007F5795" w14:paraId="23D28AC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1B3A1B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910AD4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необходимые лабораторные исследования для оценки состояния и коррекции терапии:</w:t>
            </w:r>
          </w:p>
          <w:p w14:paraId="7E594BF1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Липидный профиль (ОХС, ХС ЛНП, ХС ЛВП, ТГ), ХС неЛВП</w:t>
            </w:r>
          </w:p>
          <w:p w14:paraId="42C35017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AF748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раздел 2.4, стр. 15. Необходимо для оценки текущего липидного статуса и определения степени необходимого снижения ХС ЛНП для достижения целевого уровня.</w:t>
            </w:r>
          </w:p>
          <w:p w14:paraId="59E45FA4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Креатинин (с расчетом СКФ), мочевина</w:t>
            </w:r>
          </w:p>
          <w:p w14:paraId="2935F5E3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AF748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раздел 3.5.3, стр. 38. Обязательно для оценки функции почек, так как ХБП влияет на выбор и дозирование препаратов, в том числе статинов.</w:t>
            </w:r>
          </w:p>
          <w:p w14:paraId="1626E11B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Гликированный гемоглобин (HbA1c), глюкоза натощак</w:t>
            </w:r>
          </w:p>
          <w:p w14:paraId="6C9681E7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AF748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Необходимо для оценки компенсации сахарного диабета и коррекции сахароснижающей терапии.</w:t>
            </w:r>
          </w:p>
          <w:p w14:paraId="6502647D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4.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АЛТ, АСТ, КФК</w:t>
            </w:r>
          </w:p>
          <w:p w14:paraId="27D60D11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AF748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раздел 2.4, стр. 15. Важно определить исходные уровни ферментов перед интенсификацией или сменой гиполипидемической терапии, особенно у пожилых пациентов.</w:t>
            </w:r>
          </w:p>
          <w:p w14:paraId="59C0101A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5.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Общий анализ крови</w:t>
            </w:r>
          </w:p>
          <w:p w14:paraId="3836A7DD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AF748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Поможет исключить анемию как одну из причин слабости и одышки.</w:t>
            </w:r>
          </w:p>
        </w:tc>
      </w:tr>
      <w:tr w:rsidR="007F5795" w14:paraId="312864C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229E53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20D288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необходимые инструментальные исследования:</w:t>
            </w:r>
          </w:p>
          <w:p w14:paraId="5C399953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Электрокардиография (ЭКГ)</w:t>
            </w:r>
          </w:p>
          <w:p w14:paraId="28BBF0E7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AF748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Стандартное исследование для оценки ритма, выявления признаков ишемии и гипертрофии левого желудочка.</w:t>
            </w:r>
          </w:p>
          <w:p w14:paraId="4D158909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Эхокардиография (ЭхоКГ)</w:t>
            </w:r>
          </w:p>
          <w:p w14:paraId="4E37042C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AF748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Необходимо для оценки структуры и функции сердца, состояния клапанного аппарата (с учетом шума на аорте), выявления зон нарушения локальной сократимости и оценки фракции выброса.</w:t>
            </w:r>
          </w:p>
          <w:p w14:paraId="2FA7E706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Дуплексное сканирование брахиоцефальных артерий</w:t>
            </w:r>
          </w:p>
          <w:p w14:paraId="57569F41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AF748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раздел 2.5, стр. 18. Важно для оценки степени атеросклеротического поражения сосудов, питающих головной мозг, особенно с учетом ТИА в анамнезе.</w:t>
            </w:r>
          </w:p>
        </w:tc>
      </w:tr>
      <w:tr w:rsidR="007F5795" w14:paraId="22E42A9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AF93F6" w14:textId="13BAA238" w:rsidR="00940EA3" w:rsidRDefault="007F443E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Данные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BCC4ADC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Общий холестерин (ОХС):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6,8 ммоль/л</w:t>
            </w:r>
          </w:p>
          <w:p w14:paraId="1760DBED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ХС ЛНП: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4,5 ммоль/л</w:t>
            </w:r>
          </w:p>
          <w:p w14:paraId="79E1CC44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ХС ЛВП: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1,1 ммоль/л</w:t>
            </w:r>
          </w:p>
          <w:p w14:paraId="66663D3E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Триглицериды (ТГ):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2,6 ммоль/л</w:t>
            </w:r>
          </w:p>
          <w:p w14:paraId="7B486CFB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ХС неЛВП: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5,7 ммоль/л</w:t>
            </w:r>
          </w:p>
          <w:p w14:paraId="2489C3E2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Креатинин: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115 мкмоль/л,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СКФ (CKD-EPI):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48 мл/мин/1,73 м² (ХБП С3а стадия)</w:t>
            </w:r>
          </w:p>
          <w:p w14:paraId="542C81C1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HbA1c: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7,8%</w:t>
            </w:r>
          </w:p>
          <w:p w14:paraId="4A7A9BFC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АЛТ: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25 Ед/л,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АСТ: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29 Ед/л,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КФК: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120 Ед/л</w:t>
            </w:r>
          </w:p>
          <w:p w14:paraId="5CBEE857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Гемоглобин: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125 г/л</w:t>
            </w:r>
          </w:p>
        </w:tc>
      </w:tr>
      <w:tr w:rsidR="007F5795" w14:paraId="1797059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43E783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Оценка данных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154696" w14:textId="3D7D719E" w:rsidR="00940EA3" w:rsidRPr="007F5795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Ритм синусовый, ЧСС  </w:t>
            </w:r>
            <w:r w:rsidR="007F5795">
              <w:rPr>
                <w:rFonts w:ascii="inter" w:eastAsia="inter" w:hAnsi="inter" w:cs="inter"/>
                <w:color w:val="000000"/>
                <w:sz w:val="17"/>
              </w:rPr>
              <w:t xml:space="preserve">61 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уд/мин. </w:t>
            </w:r>
            <w:r w:rsidR="007F5795">
              <w:rPr>
                <w:rFonts w:ascii="inter" w:eastAsia="inter" w:hAnsi="inter" w:cs="inter"/>
                <w:color w:val="000000"/>
                <w:sz w:val="17"/>
              </w:rPr>
              <w:t xml:space="preserve"> Нарушение реполяризации в виде отрицательных зубцов Т </w:t>
            </w:r>
            <w:r w:rsidR="007F5795">
              <w:rPr>
                <w:rFonts w:ascii="inter" w:eastAsia="inter" w:hAnsi="inter" w:cs="inter"/>
                <w:color w:val="000000"/>
                <w:sz w:val="17"/>
                <w:lang w:val="en-US"/>
              </w:rPr>
              <w:t>V</w:t>
            </w:r>
            <w:r w:rsidR="007F5795" w:rsidRPr="007F5795">
              <w:rPr>
                <w:rFonts w:ascii="inter" w:eastAsia="inter" w:hAnsi="inter" w:cs="inter"/>
                <w:color w:val="000000"/>
                <w:sz w:val="17"/>
              </w:rPr>
              <w:t xml:space="preserve">2-5. </w:t>
            </w:r>
          </w:p>
          <w:p w14:paraId="2803C324" w14:textId="42F2AB77" w:rsidR="00AF748A" w:rsidRDefault="007F5795">
            <w:pPr>
              <w:spacing w:line="360" w:lineRule="auto"/>
            </w:pPr>
            <w:r w:rsidRPr="007F5795">
              <w:rPr>
                <w:noProof/>
              </w:rPr>
              <w:drawing>
                <wp:inline distT="0" distB="0" distL="0" distR="0" wp14:anchorId="72A8D543" wp14:editId="2823F750">
                  <wp:extent cx="4472648" cy="2911689"/>
                  <wp:effectExtent l="0" t="0" r="0" b="0"/>
                  <wp:docPr id="200358440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58440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483" cy="2931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41B299" w14:textId="4D78E5FB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Фракция выброса 58%. Уплотнение, кальциноз створок аортального клапана, аортальный стеноз легкой степени (градиент давления 15 мм рт. ст.).</w:t>
            </w:r>
            <w:r w:rsidR="008C6B86"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color w:val="000000"/>
                <w:sz w:val="17"/>
              </w:rPr>
              <w:t>Диффузный гипокинез.</w:t>
            </w:r>
          </w:p>
          <w:p w14:paraId="786D63B5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Дуплексное сканирование БЦА: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Стенозирующая атеросклеротическая бляшка в устье левой ВСА до 40%.</w:t>
            </w:r>
          </w:p>
        </w:tc>
      </w:tr>
      <w:tr w:rsidR="007F5795" w14:paraId="4644EA0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BDA4C2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665D79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Сформулируйте развернутый клинический диагноз:</w:t>
            </w:r>
          </w:p>
          <w:p w14:paraId="2F1CD13C" w14:textId="47AD1D52" w:rsidR="00940EA3" w:rsidRPr="00F64111" w:rsidRDefault="00000000">
            <w:pPr>
              <w:spacing w:line="360" w:lineRule="auto"/>
              <w:rPr>
                <w:b/>
                <w:bCs/>
              </w:rPr>
            </w:pPr>
            <w:r w:rsidRPr="00F64111">
              <w:rPr>
                <w:rFonts w:ascii="inter" w:eastAsia="inter" w:hAnsi="inter" w:cs="inter"/>
                <w:b/>
                <w:bCs/>
                <w:color w:val="000000"/>
                <w:sz w:val="17"/>
              </w:rPr>
              <w:t xml:space="preserve">ИБС: </w:t>
            </w:r>
            <w:r w:rsidR="008C6B86">
              <w:rPr>
                <w:rFonts w:ascii="inter" w:eastAsia="inter" w:hAnsi="inter" w:cs="inter"/>
                <w:b/>
                <w:bCs/>
                <w:color w:val="000000"/>
                <w:sz w:val="17"/>
              </w:rPr>
              <w:t>Стенокардия напряжения, 2 ФК</w:t>
            </w:r>
            <w:r w:rsidRPr="00F64111">
              <w:rPr>
                <w:rFonts w:ascii="inter" w:eastAsia="inter" w:hAnsi="inter" w:cs="inter"/>
                <w:b/>
                <w:bCs/>
                <w:color w:val="000000"/>
                <w:sz w:val="17"/>
              </w:rPr>
              <w:t xml:space="preserve">. Гипертоническая болезнь III стадии, степень АГ 2, риск 4 (очень высокий). Сахарный диабет 2 типа, целевой HbA1c &lt;8.0%. Дислипидемия. </w:t>
            </w:r>
            <w:r w:rsidR="008C6B86" w:rsidRPr="00F64111">
              <w:rPr>
                <w:rFonts w:ascii="inter" w:eastAsia="inter" w:hAnsi="inter" w:cs="inter"/>
                <w:b/>
                <w:bCs/>
                <w:color w:val="000000"/>
                <w:sz w:val="17"/>
              </w:rPr>
              <w:t xml:space="preserve">Атеросклероз брахиоцефальных артерий со стенозом левой ВСА до 40%. Перенесенная ТИА (дата). </w:t>
            </w:r>
            <w:r w:rsidRPr="00F64111">
              <w:rPr>
                <w:rFonts w:ascii="inter" w:eastAsia="inter" w:hAnsi="inter" w:cs="inter"/>
                <w:b/>
                <w:bCs/>
                <w:color w:val="000000"/>
                <w:sz w:val="17"/>
              </w:rPr>
              <w:t>ХСН IIА стадии, ФК II. ХБП С3а (СКФ 48 мл/мин/1,73м²).**</w:t>
            </w:r>
          </w:p>
          <w:p w14:paraId="7F93C24F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AF748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Диагноз полностью отражает все имеющиеся у пациентки состояния, их взаимосвязь и степень тяжести, что необходимо для определения комплексной тактики лечения.</w:t>
            </w:r>
          </w:p>
          <w:p w14:paraId="629256E5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Гипертоническая болезнь III стадии. ЦВБ: Дисциркуляторная энцефалопатия. Сахарный диабет 2 типа.</w:t>
            </w:r>
          </w:p>
          <w:p w14:paraId="231C7552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AF748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Диагноз неполный. Не отражена ИБС как основное проявление атеросклероза, не указан очень высокий риск, не классифицирована ХБП и ХСН.</w:t>
            </w:r>
          </w:p>
          <w:p w14:paraId="15CD945F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ИБС: Стенокардия напряжения ФК II. Очень высокий риск.</w:t>
            </w:r>
          </w:p>
          <w:p w14:paraId="0AC1C23A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AF748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Диагноз не отражает полиморбидность пациентки: не указаны гипертония, СД, ХБП, перенесенная ТИА, что критически важно для выбора терапии у пожилого человека.</w:t>
            </w:r>
          </w:p>
        </w:tc>
      </w:tr>
      <w:tr w:rsidR="007F5795" w14:paraId="7BCE7B2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D23EBE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BDEE12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оптимальную тактику коррекции гиполипидемической терапии:</w:t>
            </w:r>
          </w:p>
          <w:p w14:paraId="7962E35B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Рекомендации по диете и образу жизни. Назначить Розувастатин 10 мг/сут, контроль липидов, АЛТ, КФК и креатинина через 8 недель.</w:t>
            </w:r>
          </w:p>
          <w:p w14:paraId="61B90A73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AF748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раздел 3.5.5, стр. 40. Для вторичной профилактики у пожилых пациентов (особенно старше 75 лет) рекомендовано начинать терапию статином в умеренной дозе (Розувастатин 5-10 мг) с последующей титрацией для достижения целевого уровня ХС ЛНП &lt;1,4 ммоль/л при хорошей переносимости. Также необходим контроль безопасности.</w:t>
            </w:r>
          </w:p>
          <w:p w14:paraId="12D2C94D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Назначить Аторвастатин 80 мг/сут для максимального снижения ХС ЛНП.</w:t>
            </w:r>
          </w:p>
          <w:p w14:paraId="3B815B8D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AF748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раздел 3.5.5, стр. 40. Начинать терапию с высоких доз статинов у пожилых пациентов с полипрагмазией и ХБП не рекомендуется из-за высокого риска побочных эффектов. Предпочтительна тактика «start low, go slow» (начинай с малого, продвигайся медленно).</w:t>
            </w:r>
          </w:p>
          <w:p w14:paraId="6CA1FC1F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Отменить статины из-за возраста и риска побочных эффектов. Назначить Эзетимиб 10 мг/сут.</w:t>
            </w:r>
          </w:p>
          <w:p w14:paraId="1D52318B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AF748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раздел 3.5.5, стр. 40. У пожилых пациентов с АССЗ терапия статинами доказала свою эффективность и рекомендована. Эзетимиб не является препаратом первой линии и добавляется при недостижении цели на статинах или их непереносимости.</w:t>
            </w:r>
          </w:p>
          <w:p w14:paraId="754353C5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4.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Добавить к терапии Фенофибрат 145 мг/сут для коррекции уровня триглицеридов.</w:t>
            </w:r>
          </w:p>
          <w:p w14:paraId="32F1A833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AF748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раздел 3.3.4, стр. 29. Приоритетом у пациентки является снижение ХС ЛНП. Уровень ТГ повышен умеренно, и терапия статинами также его снижает. Комбинация с фенофибратом у пожилой пациентки с ХБП значительно увеличивает риск миопатии.</w:t>
            </w:r>
          </w:p>
        </w:tc>
      </w:tr>
      <w:tr w:rsidR="007F5795" w14:paraId="27C45B2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566938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Диспансеризация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0F6713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Определите план дальнейшего наблюдения:</w:t>
            </w:r>
          </w:p>
          <w:p w14:paraId="52F24D05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Контроль липидного профиля, АЛТ, КФК, креатинина (с СКФ) через 8 недель. При хорошей переносимости и недостижении цели (&lt;1.4 ммоль/л) — увеличение дозы Розувастатина до 20 мг/сут или добавление Эзетимиба 10 мг. Контроль АД и гликемии. Консультация эндокринолога. Повторная ЭхоКГ через 1 год.</w:t>
            </w:r>
          </w:p>
          <w:p w14:paraId="3481A217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AF748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раздел 5, стр. 48. План отражает необходимость оценки эффективности и безопасности терапии, поэтапного достижения цели, междисциплинарного подхода и контроля за сопутствующими заболеваниями.</w:t>
            </w:r>
          </w:p>
          <w:p w14:paraId="6C342E0F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Контроль липидов через 1 год.</w:t>
            </w:r>
          </w:p>
          <w:p w14:paraId="28D7F042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AF748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раздел 5, стр. 48. Первый контроль эффективности и безопасности после назначения или смены терапии должен проводиться через 8 (±4) недель, а не через год, чтобы своевременно скорректировать лечение.</w:t>
            </w:r>
          </w:p>
          <w:p w14:paraId="7F28E2B9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Ежемесячный контроль АЛТ и КФК.</w:t>
            </w:r>
          </w:p>
          <w:p w14:paraId="64B0ABEA" w14:textId="77777777" w:rsidR="00FD47E3" w:rsidRDefault="00000000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AF748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</w:p>
          <w:p w14:paraId="5E8ECFBC" w14:textId="44FE23D0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Приложение Б1, стр. 91. Рутинный мониторинг ферментов не требуется после первого контроля (через 8-12 недель) при отсутствии жалоб. Ежемесячный контроль избыточен и не рекомендован.</w:t>
            </w:r>
          </w:p>
        </w:tc>
      </w:tr>
      <w:tr w:rsidR="007F5795" w14:paraId="49A1FAC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E9CAAD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110AB7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</w:p>
          <w:p w14:paraId="7ED4ED56" w14:textId="77777777" w:rsidR="00940EA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Клинические рекомендации «Нарушения липидного обмена» 2023. Разработчики: Российское кардиологическое общество (РКО) при участии: Национального общества по изучению атеросклероза (НОА), Российской ассоциации эндокринологов (РАЭ), Российского общества кардиосоматической реабилитации и вторичной профилактики (РосОКР), Российского научного медицинского общества терапевтов (РНМОТ), Евразийской ассоциации кардиологов, Евразийской ассоциации терапевтов (ЕАТ), Российской ассоциации геронтологов и гериатров</w:t>
            </w:r>
            <w:hyperlink w:anchor="fn1">
              <w:r w:rsidR="00940EA3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</w:tbl>
    <w:p w14:paraId="661F3601" w14:textId="77777777" w:rsidR="00940EA3" w:rsidRDefault="00940EA3"/>
    <w:p w14:paraId="5667B2A8" w14:textId="77777777" w:rsidR="00940EA3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p w14:paraId="52DF13DA" w14:textId="07375D2C" w:rsidR="00940EA3" w:rsidRDefault="00940EA3" w:rsidP="00E928AE">
      <w:pPr>
        <w:spacing w:after="210" w:line="360" w:lineRule="auto"/>
        <w:ind w:left="540"/>
      </w:pPr>
    </w:p>
    <w:sectPr w:rsidR="00940EA3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613FA"/>
    <w:multiLevelType w:val="hybridMultilevel"/>
    <w:tmpl w:val="FFAC204A"/>
    <w:lvl w:ilvl="0" w:tplc="0B22580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17AAE16">
      <w:numFmt w:val="decimal"/>
      <w:lvlText w:val=""/>
      <w:lvlJc w:val="left"/>
    </w:lvl>
    <w:lvl w:ilvl="2" w:tplc="1FDA3D2A">
      <w:numFmt w:val="decimal"/>
      <w:lvlText w:val=""/>
      <w:lvlJc w:val="left"/>
    </w:lvl>
    <w:lvl w:ilvl="3" w:tplc="C5F25996">
      <w:numFmt w:val="decimal"/>
      <w:lvlText w:val=""/>
      <w:lvlJc w:val="left"/>
    </w:lvl>
    <w:lvl w:ilvl="4" w:tplc="20E663CE">
      <w:numFmt w:val="decimal"/>
      <w:lvlText w:val=""/>
      <w:lvlJc w:val="left"/>
    </w:lvl>
    <w:lvl w:ilvl="5" w:tplc="33221B38">
      <w:numFmt w:val="decimal"/>
      <w:lvlText w:val=""/>
      <w:lvlJc w:val="left"/>
    </w:lvl>
    <w:lvl w:ilvl="6" w:tplc="7AB291B6">
      <w:numFmt w:val="decimal"/>
      <w:lvlText w:val=""/>
      <w:lvlJc w:val="left"/>
    </w:lvl>
    <w:lvl w:ilvl="7" w:tplc="649E8316">
      <w:numFmt w:val="decimal"/>
      <w:lvlText w:val=""/>
      <w:lvlJc w:val="left"/>
    </w:lvl>
    <w:lvl w:ilvl="8" w:tplc="72DAA86C">
      <w:numFmt w:val="decimal"/>
      <w:lvlText w:val=""/>
      <w:lvlJc w:val="left"/>
    </w:lvl>
  </w:abstractNum>
  <w:abstractNum w:abstractNumId="1" w15:restartNumberingAfterBreak="0">
    <w:nsid w:val="7F344783"/>
    <w:multiLevelType w:val="hybridMultilevel"/>
    <w:tmpl w:val="6824C2C0"/>
    <w:lvl w:ilvl="0" w:tplc="FB7ED728">
      <w:numFmt w:val="decimal"/>
      <w:lvlText w:val=""/>
      <w:lvlJc w:val="left"/>
    </w:lvl>
    <w:lvl w:ilvl="1" w:tplc="9BACB2D2">
      <w:numFmt w:val="decimal"/>
      <w:lvlText w:val=""/>
      <w:lvlJc w:val="left"/>
    </w:lvl>
    <w:lvl w:ilvl="2" w:tplc="C5F61EE6">
      <w:numFmt w:val="decimal"/>
      <w:lvlText w:val=""/>
      <w:lvlJc w:val="left"/>
    </w:lvl>
    <w:lvl w:ilvl="3" w:tplc="9F1EB404">
      <w:numFmt w:val="decimal"/>
      <w:lvlText w:val=""/>
      <w:lvlJc w:val="left"/>
    </w:lvl>
    <w:lvl w:ilvl="4" w:tplc="9B50F012">
      <w:numFmt w:val="decimal"/>
      <w:lvlText w:val=""/>
      <w:lvlJc w:val="left"/>
    </w:lvl>
    <w:lvl w:ilvl="5" w:tplc="6ADA86B0">
      <w:numFmt w:val="decimal"/>
      <w:lvlText w:val=""/>
      <w:lvlJc w:val="left"/>
    </w:lvl>
    <w:lvl w:ilvl="6" w:tplc="80DE598A">
      <w:numFmt w:val="decimal"/>
      <w:lvlText w:val=""/>
      <w:lvlJc w:val="left"/>
    </w:lvl>
    <w:lvl w:ilvl="7" w:tplc="999467AA">
      <w:numFmt w:val="decimal"/>
      <w:lvlText w:val=""/>
      <w:lvlJc w:val="left"/>
    </w:lvl>
    <w:lvl w:ilvl="8" w:tplc="7C60D346">
      <w:numFmt w:val="decimal"/>
      <w:lvlText w:val=""/>
      <w:lvlJc w:val="left"/>
    </w:lvl>
  </w:abstractNum>
  <w:num w:numId="1" w16cid:durableId="1847013237">
    <w:abstractNumId w:val="1"/>
  </w:num>
  <w:num w:numId="2" w16cid:durableId="1845395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EA3"/>
    <w:rsid w:val="0003537F"/>
    <w:rsid w:val="00167D76"/>
    <w:rsid w:val="001D70FA"/>
    <w:rsid w:val="00472566"/>
    <w:rsid w:val="00680DF6"/>
    <w:rsid w:val="006F3681"/>
    <w:rsid w:val="007F443E"/>
    <w:rsid w:val="007F5795"/>
    <w:rsid w:val="008C6B86"/>
    <w:rsid w:val="00940EA3"/>
    <w:rsid w:val="009B1D1A"/>
    <w:rsid w:val="009C22FC"/>
    <w:rsid w:val="00AF748A"/>
    <w:rsid w:val="00E928AE"/>
    <w:rsid w:val="00E9794F"/>
    <w:rsid w:val="00F64111"/>
    <w:rsid w:val="00FD4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10F074EB"/>
  <w15:docId w15:val="{B5FBE760-5190-C444-99A9-1E901927E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5</Pages>
  <Words>1320</Words>
  <Characters>7527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Виктор Тодосийчук</cp:lastModifiedBy>
  <cp:revision>6</cp:revision>
  <dcterms:created xsi:type="dcterms:W3CDTF">2025-08-13T20:25:00Z</dcterms:created>
  <dcterms:modified xsi:type="dcterms:W3CDTF">2026-01-13T12:51:00Z</dcterms:modified>
</cp:coreProperties>
</file>