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92A7" w14:textId="77777777" w:rsidR="00B800B0" w:rsidRDefault="00B800B0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  <w:r>
        <w:rPr>
          <w:rFonts w:ascii="inter" w:eastAsia="inter" w:hAnsi="inter" w:cs="inter"/>
          <w:b/>
          <w:color w:val="000000"/>
          <w:sz w:val="39"/>
        </w:rPr>
        <w:t xml:space="preserve">5. </w:t>
      </w:r>
    </w:p>
    <w:p w14:paraId="1859BB3B" w14:textId="77777777" w:rsidR="00E64566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пациент с дислипидемией и сд</w:t>
      </w:r>
    </w:p>
    <w:p w14:paraId="45708081" w14:textId="77777777" w:rsidR="00E6456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сценарий, сфокусированный на диагностике и лечении дислипидемии у пациента с сахарным диабетом 2 типа, что является классическим примером коморбидности с очень высоким сердечно-сосудистым риском.</w:t>
      </w:r>
    </w:p>
    <w:p w14:paraId="07FEA5F0" w14:textId="77777777" w:rsidR="00E64566" w:rsidRDefault="005B303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20EB4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4"/>
        <w:gridCol w:w="7570"/>
      </w:tblGrid>
      <w:tr w:rsidR="00603CC6" w14:paraId="54AC85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0B031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E436FF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58 лет.</w:t>
            </w:r>
          </w:p>
          <w:p w14:paraId="280B4D98" w14:textId="6955EE8F" w:rsidR="00E64566" w:rsidRDefault="00000000" w:rsidP="00933DA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 действия: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Плановый амбулаторный приём у врача-эндокринолога/кардиолога.</w:t>
            </w:r>
          </w:p>
        </w:tc>
      </w:tr>
      <w:tr w:rsidR="00603CC6" w14:paraId="067C0E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4062A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BD7D4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Активных жалоб не предъявляет. Обратился для планового осмотра и коррекции терапии. Отмечает общую утомляемость, периодическую сухость во рту.</w:t>
            </w:r>
          </w:p>
        </w:tc>
      </w:tr>
      <w:tr w:rsidR="00603CC6" w14:paraId="60ADD9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620F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3AC53E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Сахарный диабет 2 типа был диагностирован 6 месяцев назад, когда при профосмотре был выявлен уровень глюкозы натощак 8,5 ммоль/л. Назначен Метформин 1000 мг/сут. Пациент принимает препарат нерегулярно, диету соблюдает с погрешностями. Уровень липидов ранее не проверял. Артериальная гипертензия в течение 10 лет, принимает Лизиноприл 10 мг/сут, на фоне которого АД держится в пределах 140–150/90 мм рт. ст.</w:t>
            </w:r>
          </w:p>
        </w:tc>
      </w:tr>
      <w:tr w:rsidR="00603CC6" w14:paraId="0D1601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B637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740CA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ОРВИ.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Хронические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болезнь, сахарный диабет 2 типа, ожирение I степени.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 отца — инфаркт миокарда в 62 года, сахарный диабет 2 типа.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курит. Алкоголь употребляет умеренно.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Образ жизни: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Работа сидячая (бухгалтер), физическая активность низкая.</w:t>
            </w:r>
          </w:p>
        </w:tc>
      </w:tr>
      <w:tr w:rsidR="00603CC6" w14:paraId="39EFD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77F54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C6F8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окраски, чистые. Ксантом и ксантелазм нет.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31 кг/м² (рост 175 см, вес 95 кг).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Окружность талии: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105 см.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дыхания: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ритмичные. Акцент II тона над аортой. АД 145/92 мм рт. ст. Пульс 78 уд/мин.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Органы пищеварения: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увеличен в объеме за счет подкожно-жировой клетчатки, мягкий, безболезненный.</w:t>
            </w:r>
          </w:p>
        </w:tc>
      </w:tr>
      <w:tr w:rsidR="00603CC6" w14:paraId="15C92E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9B696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E7374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вероятный тип нарушения липидного обмена у данного пациента:</w:t>
            </w:r>
          </w:p>
          <w:p w14:paraId="4380169C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Атерогенная (диабетическая) дислипидемия</w:t>
            </w:r>
          </w:p>
          <w:p w14:paraId="23F0470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разделы 1.2, 3.5.2, стр. 7, 35-36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Для пациентов с СД 2 типа и метаболическим синдромом характерна так называемая «липидная триада»: гипертриглицеридемия, низкий уровень ХС ЛВП и преобладание мелких плотных частиц ХС ЛНП, что в совокупности и является атерогенной дислипидемией</w:t>
            </w:r>
            <w:r w:rsidR="007444DC">
              <w:t xml:space="preserve"> </w:t>
            </w:r>
          </w:p>
          <w:p w14:paraId="53E2722C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Семейная гиперхолестеринемия (СГХС)</w:t>
            </w:r>
          </w:p>
          <w:p w14:paraId="3142E18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отсутствуют характерные для СГХС клинические признаки (ксантомы) и экстремально высокие уровни ХС ЛНП с молодого возраста. Его дислипидемия, скорее всего, вторична по отношению к СД и ожирению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DD2757E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Изолированная гипертриглицеридемия</w:t>
            </w:r>
          </w:p>
          <w:p w14:paraId="3DF25C3C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повышение триглицеридов является ключевым компонентом, у пациентов с СД 2 типа, как правило, наблюдаются и другие нарушения в липидном спектре, в частности, снижение ХС ЛВП</w:t>
            </w:r>
            <w:r w:rsidR="007444DC">
              <w:t xml:space="preserve"> </w:t>
            </w:r>
          </w:p>
        </w:tc>
      </w:tr>
      <w:tr w:rsidR="00603CC6" w14:paraId="3B2A2A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E7ADF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BCB21F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340A4BC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Липидный профиль (ОХС, ХС ЛНП, ХС ЛВП, ТГ) и расчет ХС неЛВП</w:t>
            </w:r>
          </w:p>
          <w:p w14:paraId="0A0A803E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 базовое исследование. Расчет ХС неЛВП особенно важен при СД и гипертриглицеридемии для более точной оценки риска</w:t>
            </w:r>
          </w:p>
          <w:p w14:paraId="4FE687AA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Гликированный гемоглобин (HbA1c)</w:t>
            </w:r>
          </w:p>
          <w:p w14:paraId="59EF66F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Ключевой показатель для оценки долгосрочного контроля гликемии и адекватности сахароснижающей терапии.</w:t>
            </w:r>
          </w:p>
          <w:p w14:paraId="504ED6C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 (с расчетом СКФ), общий анализ мочи с определением альбуминурии</w:t>
            </w:r>
          </w:p>
          <w:p w14:paraId="7B921BC1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3.5.3, стр. 38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Необходимо для оценки функции почек и выявления диабетической нефропатии как фактора, усугубляющего сердечно-сосудистый риск.</w:t>
            </w:r>
          </w:p>
          <w:p w14:paraId="2F3FB34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АЛТ, АСТ, КФК</w:t>
            </w:r>
          </w:p>
          <w:p w14:paraId="39CE51F0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2.4, стр. 15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Обязательное исследование перед назначением статинов для оценки исходного состояния печени и мышечной ткани.</w:t>
            </w:r>
          </w:p>
        </w:tc>
      </w:tr>
      <w:tr w:rsidR="00603CC6" w14:paraId="49E56C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0A67C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1FCE5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083BE40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</w:t>
            </w:r>
          </w:p>
          <w:p w14:paraId="7CA6D2A0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Стандартное обследование для всех пациентов с СД и АГ для выявления скрытой ишемии или гипертрофии миокарда.</w:t>
            </w:r>
          </w:p>
          <w:p w14:paraId="26EB434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брахиоцефальных артерий</w:t>
            </w:r>
          </w:p>
          <w:p w14:paraId="2A80DE13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2.5, стр. 18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Пациент с СД и множественными факторами риска автоматически относится к группе высокого/очень высокого риска. Выявление атеросклеротических бляшек подтвердит наличие АССЗ и определит тактику лечения.</w:t>
            </w:r>
          </w:p>
          <w:p w14:paraId="2CD44C3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(ЭхоКГ)</w:t>
            </w:r>
          </w:p>
          <w:p w14:paraId="677D384A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94A1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Показана для оценки структуры и функции сердца у пациента с длительной АГ и СД, для выявления гипертрофии ЛЖ и диастолической дисфункции.</w:t>
            </w:r>
          </w:p>
        </w:tc>
      </w:tr>
      <w:tr w:rsidR="00603CC6" w14:paraId="595353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91574" w14:textId="6FD18FD2" w:rsidR="00E64566" w:rsidRDefault="00933DA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Данные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38B53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холестерин (ОХС):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5.9 ммоль/л</w:t>
            </w:r>
          </w:p>
          <w:p w14:paraId="238BFF8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ЛНП: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3.5 ммоль/л</w:t>
            </w:r>
          </w:p>
          <w:p w14:paraId="4CD6C48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0.8 ммоль/л</w:t>
            </w:r>
          </w:p>
          <w:p w14:paraId="663D84F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Триглицериды (ТГ):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3.8 ммоль/л</w:t>
            </w:r>
          </w:p>
          <w:p w14:paraId="612379EF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ХС неЛВП: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5.1 ммоль/л</w:t>
            </w:r>
          </w:p>
          <w:p w14:paraId="29099D1E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HbA1c: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8.2%</w:t>
            </w:r>
          </w:p>
          <w:p w14:paraId="70DD52D3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90 мкмоль/л,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СКФ (CKD-EPI):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85 мл/мин/1,73 м²</w:t>
            </w:r>
          </w:p>
          <w:p w14:paraId="75BF5B11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Альбуминурия: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отсутствует</w:t>
            </w:r>
          </w:p>
          <w:p w14:paraId="4915831A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35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АСТ: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38 Ед/л,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КФК: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130 Ед/л</w:t>
            </w:r>
          </w:p>
        </w:tc>
      </w:tr>
      <w:tr w:rsidR="00603CC6" w14:paraId="069D13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60454" w14:textId="14F28034" w:rsidR="00E64566" w:rsidRDefault="00933DA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Данные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0F4B1" w14:textId="0685D696" w:rsidR="00E64566" w:rsidRPr="00603CC6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</w:t>
            </w:r>
            <w:r w:rsidR="00603CC6" w:rsidRPr="00603CC6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Признаки гипертрофии левого желудочка.</w:t>
            </w:r>
          </w:p>
          <w:p w14:paraId="7199F363" w14:textId="061A6969" w:rsidR="00694A17" w:rsidRPr="00694A17" w:rsidRDefault="00603CC6">
            <w:pPr>
              <w:spacing w:line="360" w:lineRule="auto"/>
              <w:rPr>
                <w:lang w:val="en-US"/>
              </w:rPr>
            </w:pPr>
            <w:r w:rsidRPr="00603CC6">
              <w:rPr>
                <w:noProof/>
                <w:lang w:val="en-US"/>
              </w:rPr>
              <w:drawing>
                <wp:inline distT="0" distB="0" distL="0" distR="0" wp14:anchorId="3E4A8AA8" wp14:editId="0E6989D2">
                  <wp:extent cx="4509456" cy="2292662"/>
                  <wp:effectExtent l="0" t="0" r="0" b="6350"/>
                  <wp:docPr id="7968115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115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475" cy="2310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7EC9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Дуплексное сканирование БЦА: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сонных артериях с обеих сторон визуализируются атеросклеротические бляшки, стенозирующие просвет до 25–30%.</w:t>
            </w:r>
          </w:p>
        </w:tc>
      </w:tr>
      <w:tr w:rsidR="00603CC6" w14:paraId="1F22B7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C7F7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46E045" w14:textId="77777777" w:rsidR="00875E91" w:rsidRDefault="00000000" w:rsidP="00875E9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Сформулируйте развернутый клинический диагноз:</w:t>
            </w:r>
          </w:p>
          <w:p w14:paraId="5F920239" w14:textId="7682E7CD" w:rsidR="00E64566" w:rsidRDefault="00000000" w:rsidP="00875E9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bookmarkStart w:id="6" w:name="OLE_LINK2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Гипертоническая болезнь III стадии, степень АГ 2, риск 4 (очень высокий). </w:t>
            </w:r>
            <w:r w:rsidR="00875E91" w:rsidRPr="00933DAB">
              <w:rPr>
                <w:rFonts w:ascii="inter" w:eastAsia="inter" w:hAnsi="inter" w:cs="inter"/>
                <w:b/>
                <w:color w:val="000000" w:themeColor="text1"/>
                <w:sz w:val="17"/>
              </w:rPr>
              <w:t xml:space="preserve">ХСН-1 ст. </w:t>
            </w:r>
            <w:r w:rsidR="00875E91">
              <w:rPr>
                <w:rFonts w:ascii="inter" w:eastAsia="inter" w:hAnsi="inter" w:cs="inter"/>
                <w:b/>
                <w:color w:val="000000" w:themeColor="text1"/>
                <w:sz w:val="17"/>
              </w:rPr>
              <w:t xml:space="preserve">ФК </w:t>
            </w:r>
            <w:r w:rsidR="00875E91">
              <w:rPr>
                <w:rFonts w:ascii="inter" w:eastAsia="inter" w:hAnsi="inter" w:cs="inter"/>
                <w:b/>
                <w:color w:val="000000" w:themeColor="text1"/>
                <w:sz w:val="17"/>
                <w:lang w:val="en-US"/>
              </w:rPr>
              <w:t>I</w:t>
            </w:r>
            <w:r w:rsidR="00875E91" w:rsidRPr="00875E91">
              <w:rPr>
                <w:rFonts w:ascii="inter" w:eastAsia="inter" w:hAnsi="inter" w:cs="inter"/>
                <w:b/>
                <w:color w:val="000000" w:themeColor="text1"/>
                <w:sz w:val="17"/>
              </w:rPr>
              <w:t xml:space="preserve">. </w:t>
            </w:r>
            <w:r w:rsidR="00933DAB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Смешанная гиперлипидемия.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Сахарный диабет 2 типа, целевой HbA1c &lt;7.0%. </w:t>
            </w:r>
            <w:r w:rsidR="00933DAB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Атеросклероз брахиоцефальных артерий со стенозом до 30%.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Ожирение I ст.</w:t>
            </w:r>
          </w:p>
          <w:bookmarkEnd w:id="6"/>
          <w:p w14:paraId="7F6C29B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Г3, стр. 100</w:t>
            </w:r>
            <w:bookmarkStart w:id="7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Пациент с СД и документированным атеросклерозом (бляшки в БЦА) относится к категории очень высокого риска. Диагноз полностью отражает все компоненты метаболического синдрома и их осложнения</w:t>
            </w:r>
          </w:p>
          <w:p w14:paraId="7388FF4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Сахарный диабет 2 типа, стадия декомпенсации. Дислипидемия. Артериальная гипертензия.</w:t>
            </w:r>
          </w:p>
          <w:p w14:paraId="69B58694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неполный, не отражает наличие установленного атеросклеротического заболевания (ИБС) и не стратифицирует пациента по категории риска, что является ключевым для выбора тактики лечения.</w:t>
            </w:r>
          </w:p>
          <w:p w14:paraId="73F8C27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Метаболический синдром. Высокий риск.</w:t>
            </w:r>
          </w:p>
          <w:p w14:paraId="294A36B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у пациента есть все компоненты метаболического синдрома, наличие атеросклеротических бляшек переводит его в категорию очень высокого риска, а не высокого. Также необходимо указывать конкретные нозологии, а не только синдромальный диагноз</w:t>
            </w:r>
            <w:bookmarkStart w:id="8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603CC6" w14:paraId="0481AE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0C28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62A2B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оптимальную стартовую тактику лечения:</w:t>
            </w:r>
          </w:p>
          <w:p w14:paraId="4F08DD68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Модификация образа жизни (диета с ограничением жиров и простых углеводов, повышение физ. активности). Назначение Розувастатина 40 мг/сут. Коррекция гипотензивной и сахароснижающей терапии.</w:t>
            </w:r>
          </w:p>
          <w:p w14:paraId="2222CEF3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3.5.2, стр. 35</w:t>
            </w:r>
            <w:bookmarkStart w:id="9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Пациентам с СД и очень высоким риском показана высокоинтенсивная терапия статинами для снижения ХС ЛНП на &gt;50% и достижения целевого уровня &lt;1,4 ммоль/л. Одновременно необходим контроль АД и гликемии</w:t>
            </w:r>
            <w:r w:rsidR="007444DC">
              <w:t xml:space="preserve"> </w:t>
            </w:r>
          </w:p>
          <w:p w14:paraId="2C6A16E5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Фенофибрат 145 мг/сут для коррекции высокого уровня триглицеридов.</w:t>
            </w:r>
          </w:p>
          <w:p w14:paraId="7CFD2821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3.3.4, стр. 29</w:t>
            </w:r>
            <w:bookmarkStart w:id="10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Препаратами первой линии для снижения сердечно-сосудистого риска у пациентов с СД являются статины. Фибраты могут быть добавлены к статинам при недостижении целевых уровней ТГ, но не в качестве монотерапии для первичной цели — снижения риска ССО, обусловленного ХС ЛНП</w:t>
            </w:r>
            <w:bookmarkStart w:id="11" w:name="fnref8:1"/>
            <w:r>
              <w:fldChar w:fldCharType="begin"/>
            </w:r>
            <w:r>
              <w:instrText>HYPERLINK \l "fn8"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[8]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6F96B2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Рекомендовать диету на 3 месяца, затем контроль липидов.</w:t>
            </w:r>
          </w:p>
          <w:p w14:paraId="798FB577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Неверно. У пациента с СД и очень высоким риском недопустимо откладывать назначение медикаментозной гиполипидемической терапии. Только немедикаментозные меры неэффективны для достижения целей лечения у этой категории больных</w:t>
            </w:r>
            <w:r w:rsidR="007444DC">
              <w:t xml:space="preserve"> </w:t>
            </w:r>
          </w:p>
          <w:p w14:paraId="19318653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Аторвастатин 20 мг/сут.</w:t>
            </w:r>
          </w:p>
          <w:p w14:paraId="1BFAEDCE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Приложение Б4, табл. Б3/4, стр. 93</w:t>
            </w:r>
            <w:bookmarkStart w:id="12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Это умеренно-интенсивная терапия. Для пациента очень высокого риска с исходным ХС ЛНП 3.5 ммоль/л требуется высокоинтенсивная терапия (Аторвастатин 40-80 мг или Розувастатин 20-40 мг) для достижения снижения &gt;50% и цели &lt;1,4 ммоль/л.</w:t>
            </w:r>
          </w:p>
        </w:tc>
      </w:tr>
      <w:tr w:rsidR="00603CC6" w14:paraId="03A28A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1882B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1E7FD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Определите план дальнейшего наблюдения:</w:t>
            </w:r>
          </w:p>
          <w:p w14:paraId="3B4D8CE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липидного профиля и АЛТ/АСТ через 8 недель. Контроль HbA1c через 3 месяца. При недостижении целевого ХС ЛНП (&lt;1,4 ммоль/л) рассмотреть добавление Эзетимиба. Усилить контроль за диетой и физической активностью.</w:t>
            </w:r>
          </w:p>
          <w:p w14:paraId="292287E1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5, стр. 48</w:t>
            </w:r>
            <w:bookmarkStart w:id="13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План отражает необходимость своевременной оценки эффективности и безопасности терапии (8±4 недели), а также поэтапный подход к достижению целей по всем факторам риска (липиды, гликемия)</w:t>
            </w:r>
            <w:r w:rsidR="007444DC">
              <w:t xml:space="preserve"> </w:t>
            </w:r>
          </w:p>
          <w:p w14:paraId="2CC39682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липидов и HbA1c через 1 год.</w:t>
            </w:r>
          </w:p>
          <w:p w14:paraId="6671D5E9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Первый контроль эффективности и безопасности терапии должен быть проведен значительно раньше для своевременной коррекции доз и комбинаций препаратов. Годовой интервал допустим только после стабилизации всех показателей на целевых уровнях</w:t>
            </w:r>
            <w:bookmarkStart w:id="14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8283FEF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Добавить к терапии ингибитор PCSK9.</w:t>
            </w:r>
          </w:p>
          <w:p w14:paraId="7B298A10" w14:textId="5F5B103B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603CC6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Нарушения липидного обмена, 2023, раздел 3.5.2, стр. 36</w:t>
            </w:r>
            <w:bookmarkStart w:id="15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Ингибиторы PCSK9 являются препаратами третьей линии и добавляются к терапии статином и эзетимибом при недостижении целевых значений ХС ЛНП у пациентов очень высокого риска</w:t>
            </w:r>
            <w:bookmarkStart w:id="16" w:name="fnref12"/>
            <w:r>
              <w:fldChar w:fldCharType="begin"/>
            </w:r>
            <w:r>
              <w:instrText>HYPERLINK \l "fn12"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[12]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 Начинать с них нецелесообразно.</w:t>
            </w:r>
          </w:p>
        </w:tc>
      </w:tr>
      <w:tr w:rsidR="00603CC6" w14:paraId="473C67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D6E9A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8C630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</w:p>
          <w:p w14:paraId="2157FAC7" w14:textId="77777777" w:rsidR="00E6456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«Нарушения липидного обмена» 2023. Разработчики: Российское кардиологическое общество (РКО) при участии: Национального общества по изучению атеросклероза (НОА), Российской ассоциации эндокринологов (РАЭ), Российского общества кардиосоматической реабилитации и вторичной профилактики (РосОКР), Российского научного медицинского общества терапевтов (РНМОТ), Евразийской ассоциации кардиологов, Евразийской ассоциации терапевтов (ЕАТ), Российской ассоциации геронтологов и гериатров</w:t>
            </w:r>
            <w:hyperlink w:anchor="fn1">
              <w:r w:rsidR="00E64566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431FD60B" w14:textId="66D769F6" w:rsidR="00E64566" w:rsidRDefault="00E64566" w:rsidP="005861BB">
      <w:pPr>
        <w:spacing w:line="360" w:lineRule="auto"/>
      </w:pPr>
    </w:p>
    <w:p w14:paraId="1B761345" w14:textId="5DAB58FA" w:rsidR="00E64566" w:rsidRDefault="00E64566" w:rsidP="007444DC">
      <w:pPr>
        <w:spacing w:after="210" w:line="360" w:lineRule="auto"/>
        <w:ind w:left="180"/>
      </w:pPr>
    </w:p>
    <w:sectPr w:rsidR="00E6456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C19"/>
    <w:multiLevelType w:val="hybridMultilevel"/>
    <w:tmpl w:val="8F5C4848"/>
    <w:lvl w:ilvl="0" w:tplc="42065BE8">
      <w:numFmt w:val="decimal"/>
      <w:lvlText w:val=""/>
      <w:lvlJc w:val="left"/>
    </w:lvl>
    <w:lvl w:ilvl="1" w:tplc="53567A2E">
      <w:numFmt w:val="decimal"/>
      <w:lvlText w:val=""/>
      <w:lvlJc w:val="left"/>
    </w:lvl>
    <w:lvl w:ilvl="2" w:tplc="BC9ADB0E">
      <w:numFmt w:val="decimal"/>
      <w:lvlText w:val=""/>
      <w:lvlJc w:val="left"/>
    </w:lvl>
    <w:lvl w:ilvl="3" w:tplc="3BCC909C">
      <w:numFmt w:val="decimal"/>
      <w:lvlText w:val=""/>
      <w:lvlJc w:val="left"/>
    </w:lvl>
    <w:lvl w:ilvl="4" w:tplc="44D64360">
      <w:numFmt w:val="decimal"/>
      <w:lvlText w:val=""/>
      <w:lvlJc w:val="left"/>
    </w:lvl>
    <w:lvl w:ilvl="5" w:tplc="2176317C">
      <w:numFmt w:val="decimal"/>
      <w:lvlText w:val=""/>
      <w:lvlJc w:val="left"/>
    </w:lvl>
    <w:lvl w:ilvl="6" w:tplc="D1461EEA">
      <w:numFmt w:val="decimal"/>
      <w:lvlText w:val=""/>
      <w:lvlJc w:val="left"/>
    </w:lvl>
    <w:lvl w:ilvl="7" w:tplc="4D1A4B8C">
      <w:numFmt w:val="decimal"/>
      <w:lvlText w:val=""/>
      <w:lvlJc w:val="left"/>
    </w:lvl>
    <w:lvl w:ilvl="8" w:tplc="86F4C83E">
      <w:numFmt w:val="decimal"/>
      <w:lvlText w:val=""/>
      <w:lvlJc w:val="left"/>
    </w:lvl>
  </w:abstractNum>
  <w:abstractNum w:abstractNumId="1" w15:restartNumberingAfterBreak="0">
    <w:nsid w:val="6F8A40E7"/>
    <w:multiLevelType w:val="hybridMultilevel"/>
    <w:tmpl w:val="4B86AF82"/>
    <w:lvl w:ilvl="0" w:tplc="B96042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487960">
      <w:numFmt w:val="decimal"/>
      <w:lvlText w:val=""/>
      <w:lvlJc w:val="left"/>
    </w:lvl>
    <w:lvl w:ilvl="2" w:tplc="BD863714">
      <w:numFmt w:val="decimal"/>
      <w:lvlText w:val=""/>
      <w:lvlJc w:val="left"/>
    </w:lvl>
    <w:lvl w:ilvl="3" w:tplc="6568E238">
      <w:numFmt w:val="decimal"/>
      <w:lvlText w:val=""/>
      <w:lvlJc w:val="left"/>
    </w:lvl>
    <w:lvl w:ilvl="4" w:tplc="1840C720">
      <w:numFmt w:val="decimal"/>
      <w:lvlText w:val=""/>
      <w:lvlJc w:val="left"/>
    </w:lvl>
    <w:lvl w:ilvl="5" w:tplc="9CC473C2">
      <w:numFmt w:val="decimal"/>
      <w:lvlText w:val=""/>
      <w:lvlJc w:val="left"/>
    </w:lvl>
    <w:lvl w:ilvl="6" w:tplc="71D6889A">
      <w:numFmt w:val="decimal"/>
      <w:lvlText w:val=""/>
      <w:lvlJc w:val="left"/>
    </w:lvl>
    <w:lvl w:ilvl="7" w:tplc="FD4038EE">
      <w:numFmt w:val="decimal"/>
      <w:lvlText w:val=""/>
      <w:lvlJc w:val="left"/>
    </w:lvl>
    <w:lvl w:ilvl="8" w:tplc="54E8C67A">
      <w:numFmt w:val="decimal"/>
      <w:lvlText w:val=""/>
      <w:lvlJc w:val="left"/>
    </w:lvl>
  </w:abstractNum>
  <w:num w:numId="1" w16cid:durableId="1865627173">
    <w:abstractNumId w:val="0"/>
  </w:num>
  <w:num w:numId="2" w16cid:durableId="173958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66"/>
    <w:rsid w:val="000341FA"/>
    <w:rsid w:val="00167D76"/>
    <w:rsid w:val="001D70FA"/>
    <w:rsid w:val="003D7606"/>
    <w:rsid w:val="00472566"/>
    <w:rsid w:val="005861BB"/>
    <w:rsid w:val="005B303B"/>
    <w:rsid w:val="00603CC6"/>
    <w:rsid w:val="00680DF6"/>
    <w:rsid w:val="00694A17"/>
    <w:rsid w:val="007444DC"/>
    <w:rsid w:val="00875E91"/>
    <w:rsid w:val="00933DAB"/>
    <w:rsid w:val="00B800B0"/>
    <w:rsid w:val="00E64566"/>
    <w:rsid w:val="00FE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74D4DE5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2025-08-13T20:33:00Z</dcterms:created>
  <dcterms:modified xsi:type="dcterms:W3CDTF">2026-01-13T12:53:00Z</dcterms:modified>
</cp:coreProperties>
</file>