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42BE" w14:textId="7A7C0E92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Сценарий </w:t>
      </w:r>
      <w:r w:rsidR="00CB6DC8">
        <w:rPr>
          <w:rFonts w:ascii="inter" w:eastAsia="inter" w:hAnsi="inter" w:cs="inter"/>
          <w:b/>
          <w:color w:val="000000"/>
          <w:sz w:val="24"/>
        </w:rPr>
        <w:t>1</w:t>
      </w:r>
      <w:r>
        <w:rPr>
          <w:rFonts w:ascii="inter" w:eastAsia="inter" w:hAnsi="inter" w:cs="inter"/>
          <w:b/>
          <w:color w:val="000000"/>
          <w:sz w:val="24"/>
        </w:rPr>
        <w:t>: Пациент со стабильной стенокардией</w:t>
      </w:r>
    </w:p>
    <w:p w14:paraId="344A4EF6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Общая информация</w:t>
      </w:r>
    </w:p>
    <w:p w14:paraId="21C40857" w14:textId="5175A0B2" w:rsidR="00E7114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Описание случая:</w:t>
      </w:r>
      <w:r>
        <w:rPr>
          <w:rFonts w:ascii="inter" w:eastAsia="inter" w:hAnsi="inter" w:cs="inter"/>
          <w:color w:val="000000"/>
        </w:rPr>
        <w:t xml:space="preserve"> Пациент, мужчина 55 лет, обратился в поликлинику к врачу-терапевту с жалобами на боли в грудной клетке.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Цели:</w:t>
      </w:r>
      <w:r>
        <w:rPr>
          <w:rFonts w:ascii="inter" w:eastAsia="inter" w:hAnsi="inter" w:cs="inter"/>
          <w:color w:val="000000"/>
        </w:rPr>
        <w:t xml:space="preserve"> Проведите обследование, поставьте диагноз, назначьте лечение и определите план диспансеризации.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Источник:</w:t>
      </w:r>
      <w:r>
        <w:rPr>
          <w:rFonts w:ascii="inter" w:eastAsia="inter" w:hAnsi="inter" w:cs="inter"/>
          <w:color w:val="000000"/>
        </w:rPr>
        <w:t xml:space="preserve"> Клинические рекомендации «Стабильная ишемическая болезнь сердца», 2024 (одобрены Минздравом России).</w:t>
      </w:r>
      <w:bookmarkStart w:id="0" w:name="fnref1: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5B99EB" w14:textId="77777777" w:rsidR="00020824" w:rsidRDefault="00000000" w:rsidP="0002082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Жалобы</w:t>
      </w:r>
    </w:p>
    <w:p w14:paraId="31A18875" w14:textId="594807AF" w:rsidR="00E7114D" w:rsidRDefault="00000000" w:rsidP="00020824">
      <w:pPr>
        <w:spacing w:before="315" w:after="105" w:line="360" w:lineRule="auto"/>
        <w:ind w:left="-30"/>
      </w:pPr>
      <w:r>
        <w:rPr>
          <w:rFonts w:ascii="inter" w:eastAsia="inter" w:hAnsi="inter" w:cs="inter"/>
          <w:color w:val="000000"/>
        </w:rPr>
        <w:t>Давящие боли за грудиной, возникающие при быстрой ходьбе на 200-300 метров или подъеме на 2 этаж, иррадиирующие в левое плечо. Боли проходят самостоятельно в покое через 3-5 минут или в течение 1-2 минут после приёма нитроглицерина.</w:t>
      </w:r>
    </w:p>
    <w:p w14:paraId="1CFCBB0F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Анамнез заболевания</w:t>
      </w:r>
    </w:p>
    <w:p w14:paraId="093E0247" w14:textId="2798B6AA" w:rsidR="00E7114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Боли отмечает около 3 месяцев. Ранее подобных приступов не было. За медицинской помощью не обращался, самостоятельно нитроглицерин ранее не принимал. </w:t>
      </w:r>
    </w:p>
    <w:p w14:paraId="2AEA05F5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Анамнез жизни</w:t>
      </w:r>
    </w:p>
    <w:p w14:paraId="10192B55" w14:textId="77777777" w:rsidR="00E7114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Сопутствующие заболевания:</w:t>
      </w:r>
      <w:r>
        <w:rPr>
          <w:rFonts w:ascii="inter" w:eastAsia="inter" w:hAnsi="inter" w:cs="inter"/>
          <w:color w:val="000000"/>
        </w:rPr>
        <w:t xml:space="preserve"> Артериальная гипертония в течение 5 лет, максимально до 160/100 мм рт. ст., принимает эналаприл нерегулярно. Сахарный диабет 2 типа, компенсированный диетой.</w:t>
      </w:r>
    </w:p>
    <w:p w14:paraId="30A02250" w14:textId="77777777" w:rsidR="00E7114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Вредные привычки:</w:t>
      </w:r>
      <w:r>
        <w:rPr>
          <w:rFonts w:ascii="inter" w:eastAsia="inter" w:hAnsi="inter" w:cs="inter"/>
          <w:color w:val="000000"/>
        </w:rPr>
        <w:t xml:space="preserve"> Курит 20 лет по пачке в день. Алкоголь употребляет умеренно.</w:t>
      </w:r>
    </w:p>
    <w:p w14:paraId="0A512704" w14:textId="77777777" w:rsidR="00E7114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Наследственность:</w:t>
      </w:r>
      <w:r>
        <w:rPr>
          <w:rFonts w:ascii="inter" w:eastAsia="inter" w:hAnsi="inter" w:cs="inter"/>
          <w:color w:val="000000"/>
        </w:rPr>
        <w:t xml:space="preserve"> У отца инфаркт миокарда в 58 лет.</w:t>
      </w:r>
    </w:p>
    <w:p w14:paraId="665270A9" w14:textId="77777777" w:rsidR="00E7114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Аллергологический анамнез:</w:t>
      </w:r>
      <w:r>
        <w:rPr>
          <w:rFonts w:ascii="inter" w:eastAsia="inter" w:hAnsi="inter" w:cs="inter"/>
          <w:color w:val="000000"/>
        </w:rPr>
        <w:t xml:space="preserve"> Аллергии нет.</w:t>
      </w:r>
    </w:p>
    <w:p w14:paraId="03B8E3AE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Объективное обследование</w:t>
      </w:r>
    </w:p>
    <w:p w14:paraId="19B75F36" w14:textId="77777777" w:rsidR="00E7114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Общее состояние:</w:t>
      </w:r>
      <w:r>
        <w:rPr>
          <w:rFonts w:ascii="inter" w:eastAsia="inter" w:hAnsi="inter" w:cs="inter"/>
          <w:color w:val="000000"/>
        </w:rPr>
        <w:t xml:space="preserve"> Удовлетворительное, сознание ясное.</w:t>
      </w:r>
    </w:p>
    <w:p w14:paraId="2ACC6A6B" w14:textId="77777777" w:rsidR="00E7114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Кожные покровы:</w:t>
      </w:r>
      <w:r>
        <w:rPr>
          <w:rFonts w:ascii="inter" w:eastAsia="inter" w:hAnsi="inter" w:cs="inter"/>
          <w:color w:val="000000"/>
        </w:rPr>
        <w:t xml:space="preserve"> Обычной окраски, чистые.</w:t>
      </w:r>
    </w:p>
    <w:p w14:paraId="7F1B4F80" w14:textId="77777777" w:rsidR="00E7114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Дыхательная система:</w:t>
      </w:r>
      <w:r>
        <w:rPr>
          <w:rFonts w:ascii="inter" w:eastAsia="inter" w:hAnsi="inter" w:cs="inter"/>
          <w:color w:val="000000"/>
        </w:rPr>
        <w:t xml:space="preserve"> Дыхание везикулярное, хрипов нет, ЧДД 16 в минуту.</w:t>
      </w:r>
    </w:p>
    <w:p w14:paraId="55C5F063" w14:textId="77777777" w:rsidR="00E7114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Сердечно-сосудистая система:</w:t>
      </w:r>
      <w:r>
        <w:rPr>
          <w:rFonts w:ascii="inter" w:eastAsia="inter" w:hAnsi="inter" w:cs="inter"/>
          <w:color w:val="000000"/>
        </w:rPr>
        <w:t xml:space="preserve"> Тоны сердца приглушены, ритмичные. ЧСС 88 уд/мин. АД 150/95 мм рт. ст. Пульс на лучевых артериях симметричный, 88 уд/мин.</w:t>
      </w:r>
    </w:p>
    <w:p w14:paraId="25A3EECB" w14:textId="77777777" w:rsidR="00E7114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Пищеварительная система:</w:t>
      </w:r>
      <w:r>
        <w:rPr>
          <w:rFonts w:ascii="inter" w:eastAsia="inter" w:hAnsi="inter" w:cs="inter"/>
          <w:color w:val="000000"/>
        </w:rPr>
        <w:t xml:space="preserve"> Живот мягкий, безболезненный при пальпации.</w:t>
      </w:r>
    </w:p>
    <w:p w14:paraId="1D0C99A5" w14:textId="77777777" w:rsidR="00E7114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Окружность талии:</w:t>
      </w:r>
      <w:r>
        <w:rPr>
          <w:rFonts w:ascii="inter" w:eastAsia="inter" w:hAnsi="inter" w:cs="inter"/>
          <w:color w:val="000000"/>
        </w:rPr>
        <w:t xml:space="preserve"> 102 см.</w:t>
      </w:r>
    </w:p>
    <w:p w14:paraId="076F15C1" w14:textId="77777777" w:rsidR="00E7114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Рост:</w:t>
      </w:r>
      <w:r>
        <w:rPr>
          <w:rFonts w:ascii="inter" w:eastAsia="inter" w:hAnsi="inter" w:cs="inter"/>
          <w:color w:val="000000"/>
        </w:rPr>
        <w:t xml:space="preserve"> 175 см.</w:t>
      </w:r>
    </w:p>
    <w:p w14:paraId="4BA2332D" w14:textId="77777777" w:rsidR="00E7114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Вес:</w:t>
      </w:r>
      <w:r>
        <w:rPr>
          <w:rFonts w:ascii="inter" w:eastAsia="inter" w:hAnsi="inter" w:cs="inter"/>
          <w:color w:val="000000"/>
        </w:rPr>
        <w:t xml:space="preserve"> 95 кг.</w:t>
      </w:r>
    </w:p>
    <w:p w14:paraId="289229AE" w14:textId="751451F2" w:rsidR="00E7114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ИМТ:</w:t>
      </w:r>
      <w:r>
        <w:rPr>
          <w:rFonts w:ascii="inter" w:eastAsia="inter" w:hAnsi="inter" w:cs="inter"/>
          <w:color w:val="000000"/>
        </w:rPr>
        <w:t xml:space="preserve"> 31 кг/м².</w:t>
      </w:r>
    </w:p>
    <w:p w14:paraId="0A55B402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Предварительный диагноз</w:t>
      </w:r>
    </w:p>
    <w:p w14:paraId="2821DC8C" w14:textId="77777777" w:rsidR="00E7114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Стабильная стенокардия напряжения, III функциональный класс.</w:t>
      </w:r>
    </w:p>
    <w:p w14:paraId="3616AB58" w14:textId="77777777" w:rsidR="00E7114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020824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Соответствует типичной клинике стенокардии напряжения и её выраженности.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2.1, стр. 16; раздел 1.5, стр. 13.</w:t>
      </w:r>
    </w:p>
    <w:p w14:paraId="1EB8298F" w14:textId="77777777" w:rsidR="00E7114D" w:rsidRPr="00B959FE" w:rsidRDefault="00000000">
      <w:pPr>
        <w:numPr>
          <w:ilvl w:val="0"/>
          <w:numId w:val="3"/>
        </w:numPr>
        <w:spacing w:before="105" w:after="105" w:line="360" w:lineRule="auto"/>
        <w:rPr>
          <w:b/>
          <w:bCs/>
        </w:rPr>
      </w:pPr>
      <w:r w:rsidRPr="00B959FE">
        <w:rPr>
          <w:rFonts w:ascii="inter" w:eastAsia="inter" w:hAnsi="inter" w:cs="inter"/>
          <w:b/>
          <w:bCs/>
          <w:color w:val="000000"/>
        </w:rPr>
        <w:t>Острый инфаркт миокарда.</w:t>
      </w:r>
    </w:p>
    <w:p w14:paraId="1A1F1D95" w14:textId="77777777" w:rsidR="00E7114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020824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Отсутствуют признаки острого некроза миокарда (длительность боли, отсутствие купирования нитроглицерином).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«Термины и определения», стр. 7.</w:t>
      </w:r>
    </w:p>
    <w:p w14:paraId="36BE8D4F" w14:textId="77777777" w:rsidR="00E7114D" w:rsidRPr="00B959FE" w:rsidRDefault="00000000">
      <w:pPr>
        <w:numPr>
          <w:ilvl w:val="0"/>
          <w:numId w:val="3"/>
        </w:numPr>
        <w:spacing w:before="105" w:after="105" w:line="360" w:lineRule="auto"/>
        <w:rPr>
          <w:b/>
          <w:bCs/>
        </w:rPr>
      </w:pPr>
      <w:r w:rsidRPr="00B959FE">
        <w:rPr>
          <w:rFonts w:ascii="inter" w:eastAsia="inter" w:hAnsi="inter" w:cs="inter"/>
          <w:b/>
          <w:bCs/>
          <w:color w:val="000000"/>
        </w:rPr>
        <w:t>Нестабильная стенокардия.</w:t>
      </w:r>
    </w:p>
    <w:p w14:paraId="473FE1AC" w14:textId="5368A9A4" w:rsidR="00E7114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020824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</w:t>
      </w:r>
      <w:r w:rsidR="00B959FE">
        <w:rPr>
          <w:rFonts w:ascii="inter" w:eastAsia="inter" w:hAnsi="inter" w:cs="inter"/>
          <w:color w:val="000000"/>
        </w:rPr>
        <w:t>Д</w:t>
      </w:r>
      <w:r>
        <w:rPr>
          <w:rFonts w:ascii="inter" w:eastAsia="inter" w:hAnsi="inter" w:cs="inter"/>
          <w:color w:val="000000"/>
        </w:rPr>
        <w:t xml:space="preserve">ля точного диагноза необходимо исключить другие острые состояния и провести дополнительную диагностику.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1.6, стр. 15.</w:t>
      </w:r>
    </w:p>
    <w:p w14:paraId="78C15261" w14:textId="77777777" w:rsidR="00E7114D" w:rsidRPr="00B959FE" w:rsidRDefault="00000000">
      <w:pPr>
        <w:numPr>
          <w:ilvl w:val="0"/>
          <w:numId w:val="3"/>
        </w:numPr>
        <w:spacing w:before="105" w:after="105" w:line="360" w:lineRule="auto"/>
        <w:rPr>
          <w:b/>
          <w:bCs/>
        </w:rPr>
      </w:pPr>
      <w:r w:rsidRPr="00B959FE">
        <w:rPr>
          <w:rFonts w:ascii="inter" w:eastAsia="inter" w:hAnsi="inter" w:cs="inter"/>
          <w:b/>
          <w:bCs/>
          <w:color w:val="000000"/>
        </w:rPr>
        <w:t>Межреберная невралгия.</w:t>
      </w:r>
    </w:p>
    <w:p w14:paraId="2B825DB5" w14:textId="77777777" w:rsidR="00E7114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020824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Боли имеют типичный ангинозный характер, купируются нитроглицерином и связаны с физической нагрузкой, что не характерно для невралгии.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2.1, стр. 17.</w:t>
      </w:r>
    </w:p>
    <w:p w14:paraId="4351B601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Назначение лабораторных исследований</w:t>
      </w:r>
    </w:p>
    <w:p w14:paraId="56E31096" w14:textId="77777777" w:rsidR="00E7114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Варианты лабораторных исследований:</w:t>
      </w:r>
    </w:p>
    <w:p w14:paraId="60002681" w14:textId="77777777" w:rsidR="00E7114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Общий (клинический) анализ крови развернутый.</w:t>
      </w:r>
    </w:p>
    <w:p w14:paraId="00D1FECE" w14:textId="77777777" w:rsidR="00E7114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Комментарий (</w:t>
      </w:r>
      <w:r w:rsidRPr="00020824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Рекомендуется всем пациентам с подозрением на ИБС для исключения сопутствующих заболеваний и вторичного характера стенокардии.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2.3, стр. 20-21.</w:t>
      </w:r>
    </w:p>
    <w:p w14:paraId="1328D372" w14:textId="7140DD34" w:rsidR="00E7114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Биохимический анализ крови (включая липидный спектр, креатинин, глюкозу).</w:t>
      </w:r>
    </w:p>
    <w:p w14:paraId="20446F25" w14:textId="77777777" w:rsidR="00E7114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020824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Обязателен для оценки липидного обмена, функции почек и выявления сахарного диабета как факторов риска ИБС и для коррекции терапии.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2.3, стр. 21.</w:t>
      </w:r>
    </w:p>
    <w:p w14:paraId="7C689C4B" w14:textId="77777777" w:rsidR="00E7114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Определение уровня тропонинов I, T в крови.</w:t>
      </w:r>
    </w:p>
    <w:p w14:paraId="5440D421" w14:textId="77777777" w:rsidR="00E7114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020824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Тропонины необходимы при подозрении на ОКС (клиническая нестабильность), в данном случае пока нет прямых показаний для экстренного определения.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2.3, стр. 22.</w:t>
      </w:r>
    </w:p>
    <w:p w14:paraId="5616E734" w14:textId="77777777" w:rsidR="00E7114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Исследование уровня тиреотропного гормона (ТТГ) в крови.</w:t>
      </w:r>
    </w:p>
    <w:p w14:paraId="47B0A156" w14:textId="77777777" w:rsidR="00E7114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020824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Рекомендуется при наличии клинических проявлений патологии щитовидной железы, так как она может влиять на состояние ССС.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2.3, стр. 22.</w:t>
      </w:r>
    </w:p>
    <w:p w14:paraId="5E2A4C36" w14:textId="77777777" w:rsidR="00E7114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Исследование уровня N-терминального фрагмента натрийуретического пропептида мозгового (NT-proBNP) в крови.</w:t>
      </w:r>
    </w:p>
    <w:p w14:paraId="17BAAA02" w14:textId="77777777" w:rsidR="00E7114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020824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Рекомендуется при подозрении на сердечную недостаточность, в данном случае нет явных признаков СН.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2.3, стр. 22.</w:t>
      </w:r>
    </w:p>
    <w:p w14:paraId="53D402AD" w14:textId="77777777" w:rsidR="008A2F18" w:rsidRDefault="00000000" w:rsidP="00020824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  <w:sz w:val="24"/>
        </w:rPr>
        <w:t>Назначение инструментальных исследований</w:t>
      </w:r>
    </w:p>
    <w:p w14:paraId="4D0C65CE" w14:textId="211593CE" w:rsidR="00E7114D" w:rsidRDefault="00000000" w:rsidP="0002082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Регистрация 12-канальной электрокардиограммы (ЭКГ) в покое.</w:t>
      </w:r>
    </w:p>
    <w:p w14:paraId="6FAA69AC" w14:textId="77777777" w:rsidR="00E7114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8A2F18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Рекомендована всем пациентам с подозрением на ИБС для выявления признаков ишемии, нарушений ритма и проводимости.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2.4.1, стр. 23.</w:t>
      </w:r>
    </w:p>
    <w:p w14:paraId="77A4E384" w14:textId="77777777" w:rsidR="00E7114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Трансторакальная эхокардиография (ЭхоКГ) в покое.</w:t>
      </w:r>
    </w:p>
    <w:p w14:paraId="0BB93EB6" w14:textId="77777777" w:rsidR="00E7114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8A2F18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Рекомендована для исключения других причин боли в груди, выявления нарушений локальной сократимости ЛЖ, оценки ФВ ЛЖ и клапанного аппарата.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2.4.1, стр. 24.</w:t>
      </w:r>
    </w:p>
    <w:p w14:paraId="5CA7740D" w14:textId="77777777" w:rsidR="00E7114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Дуплексное сканирование экстракраниальных отделов брахиоцефальных артерий.</w:t>
      </w:r>
    </w:p>
    <w:p w14:paraId="1F1C0FCF" w14:textId="77777777" w:rsidR="00E7114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Комментарий (</w:t>
      </w:r>
      <w:r w:rsidRPr="008A2F18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Рекомендуется для выявления атеросклеротических бляшек и оценки риска ССО.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2.4.1, стр. 25.</w:t>
      </w:r>
    </w:p>
    <w:p w14:paraId="1297400F" w14:textId="77777777" w:rsidR="00E7114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Холтеровское мониторирование сердечного ритма.</w:t>
      </w:r>
    </w:p>
    <w:p w14:paraId="4F813A58" w14:textId="77777777" w:rsidR="00E7114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8A2F18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Рекомендуется при сопутствующих нарушениях ритма, проводимости или подозрении на вазоспастическую стенокардию. В данном случае нет прямых показаний.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2.4.1, стр. 26.</w:t>
      </w:r>
    </w:p>
    <w:p w14:paraId="2BA812F8" w14:textId="77777777" w:rsidR="00E7114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Нагрузочная ЭКГ (тредмил-тест или велоэргометрия).</w:t>
      </w:r>
    </w:p>
    <w:p w14:paraId="69EC7521" w14:textId="77777777" w:rsidR="00E7114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8A2F18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Рекомендуется рассмотреть возможность проведения для выявления факторов, изменяющих ПТВ ИБС.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2.4.1, стр. 27.</w:t>
      </w:r>
    </w:p>
    <w:p w14:paraId="23000628" w14:textId="77777777" w:rsidR="00E7114D" w:rsidRPr="00412C60" w:rsidRDefault="00000000">
      <w:pPr>
        <w:spacing w:after="210" w:line="360" w:lineRule="auto"/>
        <w:rPr>
          <w:sz w:val="24"/>
          <w:szCs w:val="28"/>
        </w:rPr>
      </w:pPr>
      <w:r w:rsidRPr="00412C60">
        <w:rPr>
          <w:rFonts w:ascii="inter" w:eastAsia="inter" w:hAnsi="inter" w:cs="inter"/>
          <w:b/>
          <w:color w:val="000000"/>
          <w:sz w:val="24"/>
          <w:szCs w:val="28"/>
        </w:rPr>
        <w:t>Результаты лабораторных исследований:</w:t>
      </w:r>
    </w:p>
    <w:p w14:paraId="52F8E0AE" w14:textId="77777777" w:rsidR="00E7114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Общий анализ крови:</w:t>
      </w:r>
      <w:r>
        <w:rPr>
          <w:rFonts w:ascii="inter" w:eastAsia="inter" w:hAnsi="inter" w:cs="inter"/>
          <w:color w:val="000000"/>
        </w:rPr>
        <w:t xml:space="preserve"> Гемоглобин 145 г/л, эритроциты 4,8 * 10¹²/л, лейкоциты 6,5 * 10⁹/л. (</w:t>
      </w:r>
      <w:r w:rsidRPr="008A2F18">
        <w:rPr>
          <w:rFonts w:ascii="inter" w:eastAsia="inter" w:hAnsi="inter" w:cs="inter"/>
          <w:color w:val="000000"/>
        </w:rPr>
        <w:t>Норма</w:t>
      </w:r>
      <w:r>
        <w:rPr>
          <w:rFonts w:ascii="inter" w:eastAsia="inter" w:hAnsi="inter" w:cs="inter"/>
          <w:color w:val="000000"/>
        </w:rPr>
        <w:t>)</w:t>
      </w:r>
    </w:p>
    <w:p w14:paraId="30D05D3C" w14:textId="77777777" w:rsidR="00E7114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Биохимический анализ крови:</w:t>
      </w:r>
    </w:p>
    <w:p w14:paraId="4495A176" w14:textId="77777777" w:rsidR="00E7114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Общий холестерин: 6,2 ммоль/л (повышен)</w:t>
      </w:r>
    </w:p>
    <w:p w14:paraId="3B5FFD77" w14:textId="77777777" w:rsidR="00E7114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Холестерин ЛНП: 4,1 ммоль/л (повышен)</w:t>
      </w:r>
    </w:p>
    <w:p w14:paraId="6C8B90A6" w14:textId="77777777" w:rsidR="00E7114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Холестерин ЛВП: 0,9 ммоль/л (снижен)</w:t>
      </w:r>
    </w:p>
    <w:p w14:paraId="41392904" w14:textId="77777777" w:rsidR="00E7114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Триглицериды: 2,5 ммоль/л (повышен)</w:t>
      </w:r>
    </w:p>
    <w:p w14:paraId="48E749E8" w14:textId="77777777" w:rsidR="00E7114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Глюкоза натощак: 6,8 ммоль/л (повышен)</w:t>
      </w:r>
    </w:p>
    <w:p w14:paraId="6C0B1FBF" w14:textId="77777777" w:rsidR="00E7114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Креатинин: 80 мкмоль/л (СКФ &gt;60 мл/мин/1.73м²) (Норма)</w:t>
      </w:r>
    </w:p>
    <w:p w14:paraId="01CDD3C2" w14:textId="77777777" w:rsidR="00E7114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Тиреотропный гормон (ТТГ):</w:t>
      </w:r>
      <w:r>
        <w:rPr>
          <w:rFonts w:ascii="inter" w:eastAsia="inter" w:hAnsi="inter" w:cs="inter"/>
          <w:color w:val="000000"/>
        </w:rPr>
        <w:t xml:space="preserve"> 2,5 мЕд/л (Норма)</w:t>
      </w:r>
    </w:p>
    <w:p w14:paraId="6FEE194B" w14:textId="77777777" w:rsidR="00E7114D" w:rsidRPr="00412C60" w:rsidRDefault="00000000">
      <w:pPr>
        <w:spacing w:after="210" w:line="360" w:lineRule="auto"/>
        <w:rPr>
          <w:sz w:val="24"/>
          <w:szCs w:val="28"/>
        </w:rPr>
      </w:pPr>
      <w:r w:rsidRPr="00412C60">
        <w:rPr>
          <w:rFonts w:ascii="inter" w:eastAsia="inter" w:hAnsi="inter" w:cs="inter"/>
          <w:b/>
          <w:color w:val="000000"/>
          <w:sz w:val="24"/>
          <w:szCs w:val="28"/>
        </w:rPr>
        <w:t>Результаты инструментальных исследований:</w:t>
      </w:r>
    </w:p>
    <w:p w14:paraId="1C4D426B" w14:textId="13B19537" w:rsidR="00E7114D" w:rsidRPr="00412C6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ЭКГ в покое:</w:t>
      </w:r>
      <w:r>
        <w:rPr>
          <w:rFonts w:ascii="inter" w:eastAsia="inter" w:hAnsi="inter" w:cs="inter"/>
          <w:color w:val="000000"/>
        </w:rPr>
        <w:t xml:space="preserve"> Синусовый ритм</w:t>
      </w:r>
      <w:r w:rsidR="00412C60">
        <w:rPr>
          <w:rFonts w:ascii="inter" w:eastAsia="inter" w:hAnsi="inter" w:cs="inter"/>
          <w:color w:val="000000"/>
        </w:rPr>
        <w:t xml:space="preserve">. </w:t>
      </w:r>
      <w:r>
        <w:rPr>
          <w:rFonts w:ascii="inter" w:eastAsia="inter" w:hAnsi="inter" w:cs="inter"/>
          <w:color w:val="000000"/>
        </w:rPr>
        <w:t>Признаки гипертрофии левого желудочка. ST-T без значимых изменений.</w:t>
      </w:r>
    </w:p>
    <w:p w14:paraId="6A357C12" w14:textId="20E5A664" w:rsidR="00412C60" w:rsidRPr="00412C60" w:rsidRDefault="00412C60">
      <w:pPr>
        <w:numPr>
          <w:ilvl w:val="0"/>
          <w:numId w:val="7"/>
        </w:numPr>
        <w:spacing w:before="105" w:after="105" w:line="360" w:lineRule="auto"/>
      </w:pPr>
      <w:r w:rsidRPr="00440C54">
        <w:rPr>
          <w:noProof/>
        </w:rPr>
        <w:lastRenderedPageBreak/>
        <w:drawing>
          <wp:inline distT="0" distB="0" distL="0" distR="0" wp14:anchorId="252D1ABA" wp14:editId="14AE4E69">
            <wp:extent cx="5284099" cy="2896531"/>
            <wp:effectExtent l="0" t="0" r="0" b="0"/>
            <wp:docPr id="1623620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20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814" cy="295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5809" w14:textId="77777777" w:rsidR="00412C60" w:rsidRDefault="00412C60" w:rsidP="00412C60">
      <w:pPr>
        <w:spacing w:before="105" w:after="105" w:line="360" w:lineRule="auto"/>
        <w:ind w:left="540"/>
      </w:pPr>
    </w:p>
    <w:p w14:paraId="5AF9B333" w14:textId="77777777" w:rsidR="00E7114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ЭхоКГ в покое:</w:t>
      </w:r>
      <w:r>
        <w:rPr>
          <w:rFonts w:ascii="inter" w:eastAsia="inter" w:hAnsi="inter" w:cs="inter"/>
          <w:color w:val="000000"/>
        </w:rPr>
        <w:t xml:space="preserve"> Умеренная гипертрофия миокарда левого желудочка. ФВ ЛЖ 60%. Нарушений локальной сократимости не выявлено. Клапанный аппарат без патологии.</w:t>
      </w:r>
    </w:p>
    <w:p w14:paraId="385C8B70" w14:textId="77777777" w:rsidR="00E7114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Дуплексное сканирование брахиоцефальных артерий:</w:t>
      </w:r>
      <w:r>
        <w:rPr>
          <w:rFonts w:ascii="inter" w:eastAsia="inter" w:hAnsi="inter" w:cs="inter"/>
          <w:color w:val="000000"/>
        </w:rPr>
        <w:t xml:space="preserve"> В правой внутренней сонной артерии атеросклеротическая бляшка, стеноз 30%.</w:t>
      </w:r>
    </w:p>
    <w:p w14:paraId="515E0E58" w14:textId="77777777" w:rsidR="00E7114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Нагрузочная ЭКГ (тредмил-тест):</w:t>
      </w:r>
      <w:r>
        <w:rPr>
          <w:rFonts w:ascii="inter" w:eastAsia="inter" w:hAnsi="inter" w:cs="inter"/>
          <w:color w:val="000000"/>
        </w:rPr>
        <w:t xml:space="preserve"> Проба прекращена на 5 минуте по причине возникновения типичной давящей боли за грудиной и горизонтальной депрессии сегмента ST на 2 мм в отведениях V4-V6. Толерантность к физической нагрузке низкая (4 METs).</w:t>
      </w:r>
    </w:p>
    <w:p w14:paraId="20592AD3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диагноз</w:t>
      </w:r>
    </w:p>
    <w:p w14:paraId="6933A073" w14:textId="77777777" w:rsidR="00E7114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Ишемическая болезнь сердца: стабильная стенокардия напряжения, III функциональный класс.</w:t>
      </w:r>
    </w:p>
    <w:p w14:paraId="7C9F3AEF" w14:textId="77777777" w:rsidR="00E7114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Клиническая картина, данные анамнеза, факторов риска и положительный нагрузочный тест подтверждают наличие ИБС и III ФК стенокардии.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1.5, стр. 13; раздел 2.4.1, стр. 32.</w:t>
      </w:r>
    </w:p>
    <w:p w14:paraId="03A4D6E4" w14:textId="77777777" w:rsidR="00E7114D" w:rsidRPr="00B959FE" w:rsidRDefault="00000000">
      <w:pPr>
        <w:numPr>
          <w:ilvl w:val="0"/>
          <w:numId w:val="8"/>
        </w:numPr>
        <w:spacing w:before="105" w:after="105" w:line="360" w:lineRule="auto"/>
        <w:rPr>
          <w:b/>
          <w:bCs/>
        </w:rPr>
      </w:pPr>
      <w:r w:rsidRPr="00B959FE">
        <w:rPr>
          <w:rFonts w:ascii="inter" w:eastAsia="inter" w:hAnsi="inter" w:cs="inter"/>
          <w:b/>
          <w:bCs/>
          <w:color w:val="000000"/>
        </w:rPr>
        <w:t>Ишемическая болезнь сердца: бессимптомная ишемия миокарда.</w:t>
      </w:r>
    </w:p>
    <w:p w14:paraId="65D4AA3D" w14:textId="77777777" w:rsidR="00E7114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Пациент предъявляет типичные жалобы, поэтому диагноз бессимптомной ишемии не подходит.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1.5, стр. 13.</w:t>
      </w:r>
    </w:p>
    <w:p w14:paraId="2A93D5F4" w14:textId="77777777" w:rsidR="00E7114D" w:rsidRPr="00B959FE" w:rsidRDefault="00000000">
      <w:pPr>
        <w:numPr>
          <w:ilvl w:val="0"/>
          <w:numId w:val="8"/>
        </w:numPr>
        <w:spacing w:before="105" w:after="105" w:line="360" w:lineRule="auto"/>
        <w:rPr>
          <w:b/>
          <w:bCs/>
        </w:rPr>
      </w:pPr>
      <w:r w:rsidRPr="00B959FE">
        <w:rPr>
          <w:rFonts w:ascii="inter" w:eastAsia="inter" w:hAnsi="inter" w:cs="inter"/>
          <w:b/>
          <w:bCs/>
          <w:color w:val="000000"/>
        </w:rPr>
        <w:t>Острый коронарный синдром без подъема сегмента ST.</w:t>
      </w:r>
    </w:p>
    <w:p w14:paraId="0483CBC9" w14:textId="77777777" w:rsidR="00E7114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Отсутствуют маркеры некроза миокарда (тропонины не оценивались, но характер боли и ее купирование, отсутствие изменений ЭКГ в покое не указывают на острый процесс).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«Термины и определения», стр. 7.</w:t>
      </w:r>
    </w:p>
    <w:p w14:paraId="4F2D7ED6" w14:textId="77777777" w:rsidR="00E7114D" w:rsidRPr="00B959FE" w:rsidRDefault="00000000">
      <w:pPr>
        <w:numPr>
          <w:ilvl w:val="0"/>
          <w:numId w:val="8"/>
        </w:numPr>
        <w:spacing w:before="105" w:after="105" w:line="360" w:lineRule="auto"/>
        <w:rPr>
          <w:b/>
          <w:bCs/>
        </w:rPr>
      </w:pPr>
      <w:r w:rsidRPr="00B959FE">
        <w:rPr>
          <w:rFonts w:ascii="inter" w:eastAsia="inter" w:hAnsi="inter" w:cs="inter"/>
          <w:b/>
          <w:bCs/>
          <w:color w:val="000000"/>
        </w:rPr>
        <w:t>Миокардит.</w:t>
      </w:r>
    </w:p>
    <w:p w14:paraId="1F67C703" w14:textId="77777777" w:rsidR="00E7114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Отсутствуют признаки воспалительного заболевания миокарда, клиника характерна для ишемии.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2.4.1, стр. 24.</w:t>
      </w:r>
    </w:p>
    <w:p w14:paraId="6B4A8DD0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Лечение</w:t>
      </w:r>
    </w:p>
    <w:p w14:paraId="5942B7BF" w14:textId="77777777" w:rsidR="00E7114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Модификация факторов риска (отказ от курения, снижение веса, диетотерапия, регулярная физическая активность).</w:t>
      </w:r>
    </w:p>
    <w:p w14:paraId="6F8FF114" w14:textId="77777777" w:rsidR="00E7114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Основа консервативного лечения ИБС, обязательна для всех пациентов.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3.1.1, стр. 46-47.</w:t>
      </w:r>
    </w:p>
    <w:p w14:paraId="00206C2E" w14:textId="77777777" w:rsidR="00E7114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Медикаментозное лечение:</w:t>
      </w:r>
    </w:p>
    <w:p w14:paraId="76E2C101" w14:textId="77777777" w:rsidR="00E7114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Ацетилсалициловая кислота (АСК) 75-100 мг/сутки.</w:t>
      </w:r>
    </w:p>
    <w:p w14:paraId="74132837" w14:textId="77777777" w:rsidR="00E7114D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Рекомендуется всем пациентам со стабильной ИБС для профилактики ССО.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3.1.2.2, стр. 52.</w:t>
      </w:r>
    </w:p>
    <w:p w14:paraId="1DFAC0F1" w14:textId="77777777" w:rsidR="00E7114D" w:rsidRPr="00B959FE" w:rsidRDefault="00000000">
      <w:pPr>
        <w:numPr>
          <w:ilvl w:val="1"/>
          <w:numId w:val="9"/>
        </w:numPr>
        <w:spacing w:before="105" w:after="105" w:line="360" w:lineRule="auto"/>
        <w:rPr>
          <w:b/>
          <w:bCs/>
        </w:rPr>
      </w:pPr>
      <w:r w:rsidRPr="00B959FE">
        <w:rPr>
          <w:rFonts w:ascii="inter" w:eastAsia="inter" w:hAnsi="inter" w:cs="inter"/>
          <w:b/>
          <w:bCs/>
          <w:color w:val="000000"/>
        </w:rPr>
        <w:t>Клопидогрел 75 мг/сутки.</w:t>
      </w:r>
    </w:p>
    <w:p w14:paraId="37C893E0" w14:textId="77777777" w:rsidR="00E7114D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Клопидогрел назначается при непереносимости АСК или в составе двойной антитромботической терапии после ЧКВ/ОКС. В данном случае АСК является препаратом выбора.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3.1.2.2, стр. 53.</w:t>
      </w:r>
    </w:p>
    <w:p w14:paraId="24DDC64D" w14:textId="77777777" w:rsidR="00E7114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Бета-адреноблокаторы (например, Бисопролол) для снижения ЧСС и ЧСС до 55-60 уд/мин.</w:t>
      </w:r>
    </w:p>
    <w:p w14:paraId="6B0D4E36" w14:textId="77777777" w:rsidR="00E7114D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Препарат первой линии для лечения стенокардии напряжения, снижает потребность миокарда в кислороде.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3.1.2.1, стр. 50-51.</w:t>
      </w:r>
    </w:p>
    <w:p w14:paraId="787E7070" w14:textId="77777777" w:rsidR="00E7114D" w:rsidRPr="0070509B" w:rsidRDefault="00000000">
      <w:pPr>
        <w:numPr>
          <w:ilvl w:val="1"/>
          <w:numId w:val="9"/>
        </w:numPr>
        <w:spacing w:before="105" w:after="105" w:line="360" w:lineRule="auto"/>
        <w:rPr>
          <w:b/>
          <w:bCs/>
        </w:rPr>
      </w:pPr>
      <w:r w:rsidRPr="0070509B">
        <w:rPr>
          <w:rFonts w:ascii="inter" w:eastAsia="inter" w:hAnsi="inter" w:cs="inter"/>
          <w:b/>
          <w:bCs/>
          <w:color w:val="000000"/>
        </w:rPr>
        <w:t>Дигидропиридиновые блокаторы «медленных» кальциевых каналов (например, Амлодипин).</w:t>
      </w:r>
    </w:p>
    <w:p w14:paraId="25AC7E70" w14:textId="77777777" w:rsidR="00E7114D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Могут применяться в комбинации с БАБ или как монотерапия при противопоказаниях к БАБ. В данном случае, учитывая АГ, можно добавить, но не как первый выбор для монотерапии стенокардии.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3.1.2.1, стр. 50-51.</w:t>
      </w:r>
    </w:p>
    <w:p w14:paraId="657B4B01" w14:textId="77777777" w:rsidR="00E7114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Статины (например, Аторвастатин или Розувастатин) в дозе, необходимой для достижения целевого ХС ЛНП &lt; 1,4 ммоль/л.</w:t>
      </w:r>
    </w:p>
    <w:p w14:paraId="45F947AB" w14:textId="77777777" w:rsidR="00E7114D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Все пациенты с ИБС относятся к категории очень высокого риска и нуждаются в гиполипидемической терапии статинами.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3.1.2.2, стр. 61.</w:t>
      </w:r>
    </w:p>
    <w:p w14:paraId="073F50F4" w14:textId="77777777" w:rsidR="00E7114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Ингибиторы АПФ (например, Периндоприл или Рамиприл).</w:t>
      </w:r>
    </w:p>
    <w:p w14:paraId="23114E59" w14:textId="77777777" w:rsidR="00E7114D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Рекомендуются при сопутствующих АГ, СД, СН, для профилактики ССО.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3.1.2.2, стр. 63.</w:t>
      </w:r>
    </w:p>
    <w:p w14:paraId="69F77E87" w14:textId="77777777" w:rsidR="00E7114D" w:rsidRPr="00412C60" w:rsidRDefault="00000000">
      <w:pPr>
        <w:numPr>
          <w:ilvl w:val="1"/>
          <w:numId w:val="9"/>
        </w:numPr>
        <w:spacing w:before="105" w:after="105" w:line="360" w:lineRule="auto"/>
        <w:rPr>
          <w:b/>
          <w:bCs/>
        </w:rPr>
      </w:pPr>
      <w:r w:rsidRPr="00412C60">
        <w:rPr>
          <w:rFonts w:ascii="inter" w:eastAsia="inter" w:hAnsi="inter" w:cs="inter"/>
          <w:b/>
          <w:bCs/>
          <w:color w:val="000000"/>
        </w:rPr>
        <w:t>Органические нитраты длительного действия.</w:t>
      </w:r>
    </w:p>
    <w:p w14:paraId="56BDE4D9" w14:textId="77777777" w:rsidR="00E7114D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Препараты второй линии терапии, назначаются при недостаточной эффективности БАБ или не-ДГП-БКК, или при наличии противопоказаний к ним.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3.1.2.1, стр. 51.</w:t>
      </w:r>
    </w:p>
    <w:p w14:paraId="4E013093" w14:textId="77777777" w:rsidR="00E7114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Нитроглицерин сублингвально (для купирования приступов).</w:t>
      </w:r>
    </w:p>
    <w:p w14:paraId="1EB145C8" w14:textId="77777777" w:rsidR="00E7114D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Средство для купирования приступов стенокардии.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3.1.2.1, стр. 49-50.</w:t>
      </w:r>
    </w:p>
    <w:p w14:paraId="11CEBCFC" w14:textId="77777777" w:rsidR="00E7114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Рассмотрение вопроса о реваскуляризации миокарда (КАГ с возможным ЧКВ/КШ) при неэффективности оптимальной медикаментозной терапии.</w:t>
      </w:r>
    </w:p>
    <w:p w14:paraId="4334D348" w14:textId="77777777" w:rsidR="00E7114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У пациента III ФК стенокардии и есть факторы высокого риска ССО (положительный нагрузочный тест, атеросклероз брахиоцефальных артерий). При неэффективности медикаментозной терапии следует рассмотреть инвазивные методы.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2.4.2, стр. 39; раздел 3.2, стр. 65.</w:t>
      </w:r>
    </w:p>
    <w:p w14:paraId="5C9A52C9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Диспансеризация</w:t>
      </w:r>
    </w:p>
    <w:p w14:paraId="4AF57FAB" w14:textId="77777777" w:rsidR="00E7114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Ежегодный контроль общего анализа крови, биохимического анализа крови (липидный спектр, креатинин, глюкоза).</w:t>
      </w:r>
    </w:p>
    <w:p w14:paraId="472FA042" w14:textId="77777777" w:rsidR="00E7114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Рекомендуется ежегодно для своевременной коррекции терапии.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2.3, стр. 22-23.</w:t>
      </w:r>
    </w:p>
    <w:p w14:paraId="0923D55A" w14:textId="77777777" w:rsidR="00E7114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Повторная нагрузочная ЭКГ каждые 6 месяцев.</w:t>
      </w:r>
    </w:p>
    <w:p w14:paraId="3EBC9B36" w14:textId="77777777" w:rsidR="00E7114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Нагрузочная ЭКГ не рекомендуется как рутинный метод контроля, а используется для оценки ТФН и эффективности лечения по показаниям.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2.4.2, стр. 38.</w:t>
      </w:r>
    </w:p>
    <w:p w14:paraId="649B4553" w14:textId="77777777" w:rsidR="00E7114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Ежегодная вакцинация против гриппа.</w:t>
      </w:r>
    </w:p>
    <w:p w14:paraId="33BF71C5" w14:textId="77777777" w:rsidR="00E7114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Рекомендуется всем пациентам с ИБС, особенно пожилым, для снижения риска ССО.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3.1.1, стр. 47; раздел 5, стр. 84.</w:t>
      </w:r>
    </w:p>
    <w:p w14:paraId="527C6CA1" w14:textId="77777777" w:rsidR="00E7114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Контроль артериального давления и частоты сердечных сокращений ежедневно.</w:t>
      </w:r>
    </w:p>
    <w:p w14:paraId="0A604312" w14:textId="77777777" w:rsidR="00E7114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Важный аспект самоконтроля и часть модификации факторов риска.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4, стр. 78.</w:t>
      </w:r>
    </w:p>
    <w:p w14:paraId="29F9B034" w14:textId="77777777" w:rsidR="00E7114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Повторная коронароангиография (КАГ) через год.</w:t>
      </w:r>
    </w:p>
    <w:p w14:paraId="6AE98A3D" w14:textId="77777777" w:rsidR="00E7114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Неверно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Рутинное проведение контрольной КАГ после ЧКВ или при стабильном течении заболевания не рекомендуется. Показания к КАГ определяются при нарастании симптоматики или высоком риске ССО.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5, стр. 83.</w:t>
      </w:r>
    </w:p>
    <w:p w14:paraId="1C692DB7" w14:textId="77777777" w:rsidR="00E7114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Консультация кардиолога 1 раз в 3-6 месяцев (или чаще по показаниям).</w:t>
      </w:r>
    </w:p>
    <w:p w14:paraId="0A0B7A02" w14:textId="77777777" w:rsidR="00E7114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Комментарий (</w:t>
      </w:r>
      <w:r w:rsidRPr="00412C60">
        <w:rPr>
          <w:rFonts w:ascii="inter" w:eastAsia="inter" w:hAnsi="inter" w:cs="inter"/>
          <w:b/>
          <w:color w:val="000000"/>
          <w:highlight w:val="yellow"/>
        </w:rPr>
        <w:t>Верно</w:t>
      </w:r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Регулярное наблюдение у специалиста необходимо для оценки состояния, коррекции терапии и контроля факторов риска. </w:t>
      </w:r>
      <w:r>
        <w:rPr>
          <w:rFonts w:ascii="inter" w:eastAsia="inter" w:hAnsi="inter" w:cs="inter"/>
          <w:i/>
          <w:color w:val="000000"/>
        </w:rPr>
        <w:t>Источник: КР «Стабильная ИБС», 2024, раздел 5, стр. 83.</w:t>
      </w:r>
    </w:p>
    <w:p w14:paraId="75545EDD" w14:textId="77777777" w:rsidR="00E7114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Дополнительная информация</w:t>
      </w:r>
    </w:p>
    <w:p w14:paraId="40C830B5" w14:textId="0447E81C" w:rsidR="00E7114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br/>
        <w:t>Клинические рекомендации «Стабильная ишемическая болезнь сердца», 2024. Одобрены Министерством здравоохранения Российской Федерации. (Приложение А2, стр. 129 ).</w:t>
      </w:r>
      <w:bookmarkStart w:id="1" w:name="fnref1:2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B01634C" w14:textId="77777777" w:rsidR="00E7114D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5F4B48C1" w14:textId="77777777" w:rsidR="00E7114D" w:rsidRDefault="00165E5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1FF195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F0BA89" w14:textId="70EF521F" w:rsidR="00E7114D" w:rsidRDefault="00E7114D" w:rsidP="00CB6DC8">
      <w:pPr>
        <w:spacing w:after="210" w:line="360" w:lineRule="auto"/>
        <w:ind w:left="540"/>
      </w:pPr>
      <w:bookmarkStart w:id="2" w:name="fn1"/>
      <w:bookmarkStart w:id="3" w:name="fn2"/>
      <w:bookmarkEnd w:id="2"/>
      <w:bookmarkEnd w:id="3"/>
    </w:p>
    <w:sectPr w:rsidR="00E7114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A90"/>
    <w:multiLevelType w:val="hybridMultilevel"/>
    <w:tmpl w:val="DB0E256C"/>
    <w:lvl w:ilvl="0" w:tplc="EBFEF2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5EE146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BD23F32">
      <w:numFmt w:val="decimal"/>
      <w:lvlText w:val=""/>
      <w:lvlJc w:val="left"/>
    </w:lvl>
    <w:lvl w:ilvl="3" w:tplc="B57CCF3A">
      <w:numFmt w:val="decimal"/>
      <w:lvlText w:val=""/>
      <w:lvlJc w:val="left"/>
    </w:lvl>
    <w:lvl w:ilvl="4" w:tplc="934C6002">
      <w:numFmt w:val="decimal"/>
      <w:lvlText w:val=""/>
      <w:lvlJc w:val="left"/>
    </w:lvl>
    <w:lvl w:ilvl="5" w:tplc="B08221CA">
      <w:numFmt w:val="decimal"/>
      <w:lvlText w:val=""/>
      <w:lvlJc w:val="left"/>
    </w:lvl>
    <w:lvl w:ilvl="6" w:tplc="8DB4A946">
      <w:numFmt w:val="decimal"/>
      <w:lvlText w:val=""/>
      <w:lvlJc w:val="left"/>
    </w:lvl>
    <w:lvl w:ilvl="7" w:tplc="76AE50E0">
      <w:numFmt w:val="decimal"/>
      <w:lvlText w:val=""/>
      <w:lvlJc w:val="left"/>
    </w:lvl>
    <w:lvl w:ilvl="8" w:tplc="F10AB53E">
      <w:numFmt w:val="decimal"/>
      <w:lvlText w:val=""/>
      <w:lvlJc w:val="left"/>
    </w:lvl>
  </w:abstractNum>
  <w:abstractNum w:abstractNumId="1" w15:restartNumberingAfterBreak="0">
    <w:nsid w:val="051C31D7"/>
    <w:multiLevelType w:val="hybridMultilevel"/>
    <w:tmpl w:val="7142524A"/>
    <w:lvl w:ilvl="0" w:tplc="5C6AE9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EBEF2A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3A010D8">
      <w:numFmt w:val="decimal"/>
      <w:lvlText w:val=""/>
      <w:lvlJc w:val="left"/>
    </w:lvl>
    <w:lvl w:ilvl="3" w:tplc="78D40092">
      <w:numFmt w:val="decimal"/>
      <w:lvlText w:val=""/>
      <w:lvlJc w:val="left"/>
    </w:lvl>
    <w:lvl w:ilvl="4" w:tplc="22403DDE">
      <w:numFmt w:val="decimal"/>
      <w:lvlText w:val=""/>
      <w:lvlJc w:val="left"/>
    </w:lvl>
    <w:lvl w:ilvl="5" w:tplc="EFC4DC8E">
      <w:numFmt w:val="decimal"/>
      <w:lvlText w:val=""/>
      <w:lvlJc w:val="left"/>
    </w:lvl>
    <w:lvl w:ilvl="6" w:tplc="D0D62336">
      <w:numFmt w:val="decimal"/>
      <w:lvlText w:val=""/>
      <w:lvlJc w:val="left"/>
    </w:lvl>
    <w:lvl w:ilvl="7" w:tplc="32DEC344">
      <w:numFmt w:val="decimal"/>
      <w:lvlText w:val=""/>
      <w:lvlJc w:val="left"/>
    </w:lvl>
    <w:lvl w:ilvl="8" w:tplc="B8507434">
      <w:numFmt w:val="decimal"/>
      <w:lvlText w:val=""/>
      <w:lvlJc w:val="left"/>
    </w:lvl>
  </w:abstractNum>
  <w:abstractNum w:abstractNumId="2" w15:restartNumberingAfterBreak="0">
    <w:nsid w:val="1EE30EEE"/>
    <w:multiLevelType w:val="hybridMultilevel"/>
    <w:tmpl w:val="E4BC7E30"/>
    <w:lvl w:ilvl="0" w:tplc="6CC659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9042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D069D76">
      <w:numFmt w:val="decimal"/>
      <w:lvlText w:val=""/>
      <w:lvlJc w:val="left"/>
    </w:lvl>
    <w:lvl w:ilvl="3" w:tplc="375E6228">
      <w:numFmt w:val="decimal"/>
      <w:lvlText w:val=""/>
      <w:lvlJc w:val="left"/>
    </w:lvl>
    <w:lvl w:ilvl="4" w:tplc="0A98A402">
      <w:numFmt w:val="decimal"/>
      <w:lvlText w:val=""/>
      <w:lvlJc w:val="left"/>
    </w:lvl>
    <w:lvl w:ilvl="5" w:tplc="4FDAC2EC">
      <w:numFmt w:val="decimal"/>
      <w:lvlText w:val=""/>
      <w:lvlJc w:val="left"/>
    </w:lvl>
    <w:lvl w:ilvl="6" w:tplc="82C2C520">
      <w:numFmt w:val="decimal"/>
      <w:lvlText w:val=""/>
      <w:lvlJc w:val="left"/>
    </w:lvl>
    <w:lvl w:ilvl="7" w:tplc="0F00B5B0">
      <w:numFmt w:val="decimal"/>
      <w:lvlText w:val=""/>
      <w:lvlJc w:val="left"/>
    </w:lvl>
    <w:lvl w:ilvl="8" w:tplc="C4220546">
      <w:numFmt w:val="decimal"/>
      <w:lvlText w:val=""/>
      <w:lvlJc w:val="left"/>
    </w:lvl>
  </w:abstractNum>
  <w:abstractNum w:abstractNumId="3" w15:restartNumberingAfterBreak="0">
    <w:nsid w:val="21395176"/>
    <w:multiLevelType w:val="hybridMultilevel"/>
    <w:tmpl w:val="EABA986C"/>
    <w:lvl w:ilvl="0" w:tplc="E6A019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B49510">
      <w:numFmt w:val="decimal"/>
      <w:lvlText w:val=""/>
      <w:lvlJc w:val="left"/>
    </w:lvl>
    <w:lvl w:ilvl="2" w:tplc="2F7AA744">
      <w:numFmt w:val="decimal"/>
      <w:lvlText w:val=""/>
      <w:lvlJc w:val="left"/>
    </w:lvl>
    <w:lvl w:ilvl="3" w:tplc="7B5E59A0">
      <w:numFmt w:val="decimal"/>
      <w:lvlText w:val=""/>
      <w:lvlJc w:val="left"/>
    </w:lvl>
    <w:lvl w:ilvl="4" w:tplc="C5BEC760">
      <w:numFmt w:val="decimal"/>
      <w:lvlText w:val=""/>
      <w:lvlJc w:val="left"/>
    </w:lvl>
    <w:lvl w:ilvl="5" w:tplc="349A6710">
      <w:numFmt w:val="decimal"/>
      <w:lvlText w:val=""/>
      <w:lvlJc w:val="left"/>
    </w:lvl>
    <w:lvl w:ilvl="6" w:tplc="31C48598">
      <w:numFmt w:val="decimal"/>
      <w:lvlText w:val=""/>
      <w:lvlJc w:val="left"/>
    </w:lvl>
    <w:lvl w:ilvl="7" w:tplc="99DAE6E6">
      <w:numFmt w:val="decimal"/>
      <w:lvlText w:val=""/>
      <w:lvlJc w:val="left"/>
    </w:lvl>
    <w:lvl w:ilvl="8" w:tplc="946A4D6E">
      <w:numFmt w:val="decimal"/>
      <w:lvlText w:val=""/>
      <w:lvlJc w:val="left"/>
    </w:lvl>
  </w:abstractNum>
  <w:abstractNum w:abstractNumId="4" w15:restartNumberingAfterBreak="0">
    <w:nsid w:val="27603865"/>
    <w:multiLevelType w:val="hybridMultilevel"/>
    <w:tmpl w:val="6DE42DE8"/>
    <w:lvl w:ilvl="0" w:tplc="820EC3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CE745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1DE1822">
      <w:numFmt w:val="decimal"/>
      <w:lvlText w:val=""/>
      <w:lvlJc w:val="left"/>
    </w:lvl>
    <w:lvl w:ilvl="3" w:tplc="266EC094">
      <w:numFmt w:val="decimal"/>
      <w:lvlText w:val=""/>
      <w:lvlJc w:val="left"/>
    </w:lvl>
    <w:lvl w:ilvl="4" w:tplc="A6DCE260">
      <w:numFmt w:val="decimal"/>
      <w:lvlText w:val=""/>
      <w:lvlJc w:val="left"/>
    </w:lvl>
    <w:lvl w:ilvl="5" w:tplc="1B46B2A0">
      <w:numFmt w:val="decimal"/>
      <w:lvlText w:val=""/>
      <w:lvlJc w:val="left"/>
    </w:lvl>
    <w:lvl w:ilvl="6" w:tplc="39A4A436">
      <w:numFmt w:val="decimal"/>
      <w:lvlText w:val=""/>
      <w:lvlJc w:val="left"/>
    </w:lvl>
    <w:lvl w:ilvl="7" w:tplc="333E5BD0">
      <w:numFmt w:val="decimal"/>
      <w:lvlText w:val=""/>
      <w:lvlJc w:val="left"/>
    </w:lvl>
    <w:lvl w:ilvl="8" w:tplc="9D60F11A">
      <w:numFmt w:val="decimal"/>
      <w:lvlText w:val=""/>
      <w:lvlJc w:val="left"/>
    </w:lvl>
  </w:abstractNum>
  <w:abstractNum w:abstractNumId="5" w15:restartNumberingAfterBreak="0">
    <w:nsid w:val="2BAC3256"/>
    <w:multiLevelType w:val="hybridMultilevel"/>
    <w:tmpl w:val="72883BCE"/>
    <w:lvl w:ilvl="0" w:tplc="B218F172">
      <w:numFmt w:val="decimal"/>
      <w:lvlText w:val=""/>
      <w:lvlJc w:val="left"/>
    </w:lvl>
    <w:lvl w:ilvl="1" w:tplc="36081B74">
      <w:numFmt w:val="decimal"/>
      <w:lvlText w:val=""/>
      <w:lvlJc w:val="left"/>
    </w:lvl>
    <w:lvl w:ilvl="2" w:tplc="79984096">
      <w:numFmt w:val="decimal"/>
      <w:lvlText w:val=""/>
      <w:lvlJc w:val="left"/>
    </w:lvl>
    <w:lvl w:ilvl="3" w:tplc="32E4B8FC">
      <w:numFmt w:val="decimal"/>
      <w:lvlText w:val=""/>
      <w:lvlJc w:val="left"/>
    </w:lvl>
    <w:lvl w:ilvl="4" w:tplc="171E3AC8">
      <w:numFmt w:val="decimal"/>
      <w:lvlText w:val=""/>
      <w:lvlJc w:val="left"/>
    </w:lvl>
    <w:lvl w:ilvl="5" w:tplc="8B8E668A">
      <w:numFmt w:val="decimal"/>
      <w:lvlText w:val=""/>
      <w:lvlJc w:val="left"/>
    </w:lvl>
    <w:lvl w:ilvl="6" w:tplc="4C90A556">
      <w:numFmt w:val="decimal"/>
      <w:lvlText w:val=""/>
      <w:lvlJc w:val="left"/>
    </w:lvl>
    <w:lvl w:ilvl="7" w:tplc="8632BB48">
      <w:numFmt w:val="decimal"/>
      <w:lvlText w:val=""/>
      <w:lvlJc w:val="left"/>
    </w:lvl>
    <w:lvl w:ilvl="8" w:tplc="64C0AE24">
      <w:numFmt w:val="decimal"/>
      <w:lvlText w:val=""/>
      <w:lvlJc w:val="left"/>
    </w:lvl>
  </w:abstractNum>
  <w:abstractNum w:abstractNumId="6" w15:restartNumberingAfterBreak="0">
    <w:nsid w:val="2D500A31"/>
    <w:multiLevelType w:val="hybridMultilevel"/>
    <w:tmpl w:val="45E4A8B0"/>
    <w:lvl w:ilvl="0" w:tplc="D6CCE3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987246">
      <w:numFmt w:val="decimal"/>
      <w:lvlText w:val=""/>
      <w:lvlJc w:val="left"/>
    </w:lvl>
    <w:lvl w:ilvl="2" w:tplc="43208C6E">
      <w:numFmt w:val="decimal"/>
      <w:lvlText w:val=""/>
      <w:lvlJc w:val="left"/>
    </w:lvl>
    <w:lvl w:ilvl="3" w:tplc="F47E15C2">
      <w:numFmt w:val="decimal"/>
      <w:lvlText w:val=""/>
      <w:lvlJc w:val="left"/>
    </w:lvl>
    <w:lvl w:ilvl="4" w:tplc="F83E2EC4">
      <w:numFmt w:val="decimal"/>
      <w:lvlText w:val=""/>
      <w:lvlJc w:val="left"/>
    </w:lvl>
    <w:lvl w:ilvl="5" w:tplc="61B61D64">
      <w:numFmt w:val="decimal"/>
      <w:lvlText w:val=""/>
      <w:lvlJc w:val="left"/>
    </w:lvl>
    <w:lvl w:ilvl="6" w:tplc="F17E2FB4">
      <w:numFmt w:val="decimal"/>
      <w:lvlText w:val=""/>
      <w:lvlJc w:val="left"/>
    </w:lvl>
    <w:lvl w:ilvl="7" w:tplc="83DE64A2">
      <w:numFmt w:val="decimal"/>
      <w:lvlText w:val=""/>
      <w:lvlJc w:val="left"/>
    </w:lvl>
    <w:lvl w:ilvl="8" w:tplc="007CD19C">
      <w:numFmt w:val="decimal"/>
      <w:lvlText w:val=""/>
      <w:lvlJc w:val="left"/>
    </w:lvl>
  </w:abstractNum>
  <w:abstractNum w:abstractNumId="7" w15:restartNumberingAfterBreak="0">
    <w:nsid w:val="3D5C2F7A"/>
    <w:multiLevelType w:val="hybridMultilevel"/>
    <w:tmpl w:val="1AB2A488"/>
    <w:lvl w:ilvl="0" w:tplc="9610579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329C2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E9AA714">
      <w:numFmt w:val="decimal"/>
      <w:lvlText w:val=""/>
      <w:lvlJc w:val="left"/>
    </w:lvl>
    <w:lvl w:ilvl="3" w:tplc="30BE4F58">
      <w:numFmt w:val="decimal"/>
      <w:lvlText w:val=""/>
      <w:lvlJc w:val="left"/>
    </w:lvl>
    <w:lvl w:ilvl="4" w:tplc="34F068F6">
      <w:numFmt w:val="decimal"/>
      <w:lvlText w:val=""/>
      <w:lvlJc w:val="left"/>
    </w:lvl>
    <w:lvl w:ilvl="5" w:tplc="0C9863EE">
      <w:numFmt w:val="decimal"/>
      <w:lvlText w:val=""/>
      <w:lvlJc w:val="left"/>
    </w:lvl>
    <w:lvl w:ilvl="6" w:tplc="0C8A8E70">
      <w:numFmt w:val="decimal"/>
      <w:lvlText w:val=""/>
      <w:lvlJc w:val="left"/>
    </w:lvl>
    <w:lvl w:ilvl="7" w:tplc="E1D64B26">
      <w:numFmt w:val="decimal"/>
      <w:lvlText w:val=""/>
      <w:lvlJc w:val="left"/>
    </w:lvl>
    <w:lvl w:ilvl="8" w:tplc="7E6464D8">
      <w:numFmt w:val="decimal"/>
      <w:lvlText w:val=""/>
      <w:lvlJc w:val="left"/>
    </w:lvl>
  </w:abstractNum>
  <w:abstractNum w:abstractNumId="8" w15:restartNumberingAfterBreak="0">
    <w:nsid w:val="50B9162E"/>
    <w:multiLevelType w:val="hybridMultilevel"/>
    <w:tmpl w:val="24CC262E"/>
    <w:lvl w:ilvl="0" w:tplc="19F42B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04A72BE">
      <w:numFmt w:val="decimal"/>
      <w:lvlText w:val=""/>
      <w:lvlJc w:val="left"/>
    </w:lvl>
    <w:lvl w:ilvl="2" w:tplc="6CB26482">
      <w:numFmt w:val="decimal"/>
      <w:lvlText w:val=""/>
      <w:lvlJc w:val="left"/>
    </w:lvl>
    <w:lvl w:ilvl="3" w:tplc="27A07876">
      <w:numFmt w:val="decimal"/>
      <w:lvlText w:val=""/>
      <w:lvlJc w:val="left"/>
    </w:lvl>
    <w:lvl w:ilvl="4" w:tplc="C6AA1346">
      <w:numFmt w:val="decimal"/>
      <w:lvlText w:val=""/>
      <w:lvlJc w:val="left"/>
    </w:lvl>
    <w:lvl w:ilvl="5" w:tplc="C3648C9C">
      <w:numFmt w:val="decimal"/>
      <w:lvlText w:val=""/>
      <w:lvlJc w:val="left"/>
    </w:lvl>
    <w:lvl w:ilvl="6" w:tplc="D8E8B5BA">
      <w:numFmt w:val="decimal"/>
      <w:lvlText w:val=""/>
      <w:lvlJc w:val="left"/>
    </w:lvl>
    <w:lvl w:ilvl="7" w:tplc="4C84B766">
      <w:numFmt w:val="decimal"/>
      <w:lvlText w:val=""/>
      <w:lvlJc w:val="left"/>
    </w:lvl>
    <w:lvl w:ilvl="8" w:tplc="49E41466">
      <w:numFmt w:val="decimal"/>
      <w:lvlText w:val=""/>
      <w:lvlJc w:val="left"/>
    </w:lvl>
  </w:abstractNum>
  <w:abstractNum w:abstractNumId="9" w15:restartNumberingAfterBreak="0">
    <w:nsid w:val="54F45613"/>
    <w:multiLevelType w:val="hybridMultilevel"/>
    <w:tmpl w:val="D2AC8906"/>
    <w:lvl w:ilvl="0" w:tplc="5108F19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2E0B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8222AF4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5D701CBE">
      <w:numFmt w:val="decimal"/>
      <w:lvlText w:val=""/>
      <w:lvlJc w:val="left"/>
    </w:lvl>
    <w:lvl w:ilvl="4" w:tplc="2C90DE06">
      <w:numFmt w:val="decimal"/>
      <w:lvlText w:val=""/>
      <w:lvlJc w:val="left"/>
    </w:lvl>
    <w:lvl w:ilvl="5" w:tplc="09BE314C">
      <w:numFmt w:val="decimal"/>
      <w:lvlText w:val=""/>
      <w:lvlJc w:val="left"/>
    </w:lvl>
    <w:lvl w:ilvl="6" w:tplc="AE404D02">
      <w:numFmt w:val="decimal"/>
      <w:lvlText w:val=""/>
      <w:lvlJc w:val="left"/>
    </w:lvl>
    <w:lvl w:ilvl="7" w:tplc="D36A1C56">
      <w:numFmt w:val="decimal"/>
      <w:lvlText w:val=""/>
      <w:lvlJc w:val="left"/>
    </w:lvl>
    <w:lvl w:ilvl="8" w:tplc="59EE9A28">
      <w:numFmt w:val="decimal"/>
      <w:lvlText w:val=""/>
      <w:lvlJc w:val="left"/>
    </w:lvl>
  </w:abstractNum>
  <w:abstractNum w:abstractNumId="10" w15:restartNumberingAfterBreak="0">
    <w:nsid w:val="5EBD3C2C"/>
    <w:multiLevelType w:val="hybridMultilevel"/>
    <w:tmpl w:val="4468B35C"/>
    <w:lvl w:ilvl="0" w:tplc="754C57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5EB21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81CC36A">
      <w:numFmt w:val="decimal"/>
      <w:lvlText w:val=""/>
      <w:lvlJc w:val="left"/>
    </w:lvl>
    <w:lvl w:ilvl="3" w:tplc="56080702">
      <w:numFmt w:val="decimal"/>
      <w:lvlText w:val=""/>
      <w:lvlJc w:val="left"/>
    </w:lvl>
    <w:lvl w:ilvl="4" w:tplc="49A47406">
      <w:numFmt w:val="decimal"/>
      <w:lvlText w:val=""/>
      <w:lvlJc w:val="left"/>
    </w:lvl>
    <w:lvl w:ilvl="5" w:tplc="ADCCE59A">
      <w:numFmt w:val="decimal"/>
      <w:lvlText w:val=""/>
      <w:lvlJc w:val="left"/>
    </w:lvl>
    <w:lvl w:ilvl="6" w:tplc="FD3A225C">
      <w:numFmt w:val="decimal"/>
      <w:lvlText w:val=""/>
      <w:lvlJc w:val="left"/>
    </w:lvl>
    <w:lvl w:ilvl="7" w:tplc="9CF4C914">
      <w:numFmt w:val="decimal"/>
      <w:lvlText w:val=""/>
      <w:lvlJc w:val="left"/>
    </w:lvl>
    <w:lvl w:ilvl="8" w:tplc="B57E4B78">
      <w:numFmt w:val="decimal"/>
      <w:lvlText w:val=""/>
      <w:lvlJc w:val="left"/>
    </w:lvl>
  </w:abstractNum>
  <w:abstractNum w:abstractNumId="11" w15:restartNumberingAfterBreak="0">
    <w:nsid w:val="6E8B2138"/>
    <w:multiLevelType w:val="hybridMultilevel"/>
    <w:tmpl w:val="15E8C3EA"/>
    <w:lvl w:ilvl="0" w:tplc="646AC8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208B88">
      <w:numFmt w:val="decimal"/>
      <w:lvlText w:val=""/>
      <w:lvlJc w:val="left"/>
    </w:lvl>
    <w:lvl w:ilvl="2" w:tplc="512A4C40">
      <w:numFmt w:val="decimal"/>
      <w:lvlText w:val=""/>
      <w:lvlJc w:val="left"/>
    </w:lvl>
    <w:lvl w:ilvl="3" w:tplc="B45EECBE">
      <w:numFmt w:val="decimal"/>
      <w:lvlText w:val=""/>
      <w:lvlJc w:val="left"/>
    </w:lvl>
    <w:lvl w:ilvl="4" w:tplc="CAA0153C">
      <w:numFmt w:val="decimal"/>
      <w:lvlText w:val=""/>
      <w:lvlJc w:val="left"/>
    </w:lvl>
    <w:lvl w:ilvl="5" w:tplc="160E5B20">
      <w:numFmt w:val="decimal"/>
      <w:lvlText w:val=""/>
      <w:lvlJc w:val="left"/>
    </w:lvl>
    <w:lvl w:ilvl="6" w:tplc="2D5EE212">
      <w:numFmt w:val="decimal"/>
      <w:lvlText w:val=""/>
      <w:lvlJc w:val="left"/>
    </w:lvl>
    <w:lvl w:ilvl="7" w:tplc="6BCCFD6A">
      <w:numFmt w:val="decimal"/>
      <w:lvlText w:val=""/>
      <w:lvlJc w:val="left"/>
    </w:lvl>
    <w:lvl w:ilvl="8" w:tplc="59F68E4A">
      <w:numFmt w:val="decimal"/>
      <w:lvlText w:val=""/>
      <w:lvlJc w:val="left"/>
    </w:lvl>
  </w:abstractNum>
  <w:num w:numId="1" w16cid:durableId="1341083172">
    <w:abstractNumId w:val="6"/>
  </w:num>
  <w:num w:numId="2" w16cid:durableId="402919540">
    <w:abstractNumId w:val="3"/>
  </w:num>
  <w:num w:numId="3" w16cid:durableId="2135366421">
    <w:abstractNumId w:val="2"/>
  </w:num>
  <w:num w:numId="4" w16cid:durableId="195385547">
    <w:abstractNumId w:val="4"/>
  </w:num>
  <w:num w:numId="5" w16cid:durableId="1606812628">
    <w:abstractNumId w:val="1"/>
  </w:num>
  <w:num w:numId="6" w16cid:durableId="1119030958">
    <w:abstractNumId w:val="10"/>
  </w:num>
  <w:num w:numId="7" w16cid:durableId="934097760">
    <w:abstractNumId w:val="11"/>
  </w:num>
  <w:num w:numId="8" w16cid:durableId="1232691813">
    <w:abstractNumId w:val="0"/>
  </w:num>
  <w:num w:numId="9" w16cid:durableId="1578513774">
    <w:abstractNumId w:val="9"/>
  </w:num>
  <w:num w:numId="10" w16cid:durableId="1281842026">
    <w:abstractNumId w:val="7"/>
  </w:num>
  <w:num w:numId="11" w16cid:durableId="1606575814">
    <w:abstractNumId w:val="5"/>
  </w:num>
  <w:num w:numId="12" w16cid:durableId="644168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14D"/>
    <w:rsid w:val="00020824"/>
    <w:rsid w:val="00165E5E"/>
    <w:rsid w:val="00167D76"/>
    <w:rsid w:val="001D70FA"/>
    <w:rsid w:val="00412C60"/>
    <w:rsid w:val="00472566"/>
    <w:rsid w:val="005D0C6A"/>
    <w:rsid w:val="0070509B"/>
    <w:rsid w:val="008A2F18"/>
    <w:rsid w:val="009950B9"/>
    <w:rsid w:val="009A64D2"/>
    <w:rsid w:val="00B959FE"/>
    <w:rsid w:val="00CB6DC8"/>
    <w:rsid w:val="00E7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DE82FAC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1809</Words>
  <Characters>10313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2025-08-16T08:09:00Z</dcterms:created>
  <dcterms:modified xsi:type="dcterms:W3CDTF">2026-01-14T09:59:00Z</dcterms:modified>
</cp:coreProperties>
</file>