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E1F5" w14:textId="4ED6983E" w:rsidR="00C107B8" w:rsidRDefault="006C06F9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Сценарий</w:t>
      </w:r>
      <w:r w:rsidR="000B62F7">
        <w:rPr>
          <w:rFonts w:ascii="inter" w:eastAsia="inter" w:hAnsi="inter" w:cs="inter"/>
          <w:b/>
          <w:color w:val="000000"/>
          <w:sz w:val="24"/>
        </w:rPr>
        <w:t xml:space="preserve"> 3</w:t>
      </w:r>
      <w:r>
        <w:rPr>
          <w:rFonts w:ascii="inter" w:eastAsia="inter" w:hAnsi="inter" w:cs="inter"/>
          <w:b/>
          <w:color w:val="000000"/>
          <w:sz w:val="24"/>
        </w:rPr>
        <w:t>: Артериальная гипертензия у профессионального спортсмена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5"/>
        <w:gridCol w:w="7569"/>
      </w:tblGrid>
      <w:tr w:rsidR="00166CFD" w14:paraId="64F359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04992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535082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Мужчина, 28 лет, профессиональный спортсмен (тяжелая атлетика), обратился на плановый ежегодный медицинский осмотр.</w:t>
            </w:r>
          </w:p>
          <w:p w14:paraId="6A448FB3" w14:textId="77777777" w:rsidR="00C107B8" w:rsidRDefault="00C107B8"/>
          <w:p w14:paraId="6349A542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обследование, поставить диагноз, назначить лечение и определить тактику ведения с учетом профессиональной деятельности.</w:t>
            </w:r>
          </w:p>
          <w:p w14:paraId="1B55D003" w14:textId="77777777" w:rsidR="00C107B8" w:rsidRDefault="00C107B8"/>
          <w:p w14:paraId="4619C04E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«Артериальная гипертензия у взрослых», 2024 г.</w:t>
            </w:r>
          </w:p>
        </w:tc>
      </w:tr>
      <w:tr w:rsidR="00166CFD" w14:paraId="441410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EB781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92CECB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Активных жалоб не предъявляет. Отмечает периодические неинтенсивные давящие головные боли в затылочной области после тренировок с максимальными весами, которые проходят самостоятельно в течение часа.</w:t>
            </w:r>
          </w:p>
        </w:tc>
      </w:tr>
      <w:tr w:rsidR="00166CFD" w14:paraId="28D8B6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86F14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8A407C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здоровым. Повышение артериального давления (АД) до 150/95 мм рт. ст. впервые зафиксировано 6 месяцев назад во время диспансеризации, однако спортсмен связал это с волнением и не обследовался. Головные боли беспокоят около года, специального лечения не получал.</w:t>
            </w:r>
          </w:p>
        </w:tc>
      </w:tr>
      <w:tr w:rsidR="00166CFD" w14:paraId="56D12C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D69F56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AB6747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Отрицает.</w:t>
            </w:r>
          </w:p>
          <w:p w14:paraId="7AA6021B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Хронические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Нет.</w:t>
            </w:r>
          </w:p>
          <w:p w14:paraId="4DABB4A1" w14:textId="4A150E21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отца артериальная гипертензия (АГ) с 50 лет </w:t>
            </w:r>
          </w:p>
          <w:p w14:paraId="4F3D50D7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курит, алкоголь употребляет редко.</w:t>
            </w:r>
          </w:p>
          <w:p w14:paraId="7E532576" w14:textId="637CE82A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Особенности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Профессионально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занимается тяжелой атлетикой 10 лет. Соблюдает высокобелковую диету. Регулярно принимает спортивное питание (протеиновые смеси, креатин), состав других добавок назвать затрудняется. Прием запрещенных препаратов (анаболических стероидов, стимуляторов) отрицает</w:t>
            </w:r>
          </w:p>
        </w:tc>
      </w:tr>
      <w:tr w:rsidR="00166CFD" w14:paraId="066F2A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54ED2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CD8EBB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ясное.</w:t>
            </w:r>
          </w:p>
          <w:p w14:paraId="41E95780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Телосложение: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гиперстеническое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, мускулатура развита хорошо. Индекс массы тела (ИМТ) — 31 кг/м².</w:t>
            </w:r>
          </w:p>
          <w:p w14:paraId="2FCEB2DA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чистые, обычной окраски.</w:t>
            </w:r>
          </w:p>
          <w:p w14:paraId="27B01782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ЧДД 16 в минуту.</w:t>
            </w:r>
          </w:p>
          <w:p w14:paraId="2982A68D" w14:textId="46309A70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ясные, ритм правильный. ЧСС — 55 уд/мин. АД на правой руке — 165/105 мм рт. ст., на левой — 162/102 мм рт. ст. </w:t>
            </w:r>
          </w:p>
          <w:p w14:paraId="143C3E46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Пищеварительная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мягкий, безболезненный.</w:t>
            </w:r>
          </w:p>
          <w:p w14:paraId="662DCF1B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Неврологический статус: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особенностей.</w:t>
            </w:r>
          </w:p>
        </w:tc>
      </w:tr>
      <w:tr w:rsidR="00166CFD" w14:paraId="335859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20BB6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783FA0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верные и неверные варианты, проведите дифференциальную диагностику.</w:t>
            </w:r>
          </w:p>
          <w:p w14:paraId="5E2DB65D" w14:textId="77777777" w:rsidR="00C107B8" w:rsidRDefault="00C107B8"/>
          <w:p w14:paraId="1AB9F471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Гипертоническая болезнь</w:t>
            </w:r>
          </w:p>
          <w:p w14:paraId="6AE340AE" w14:textId="2EDFF687" w:rsidR="00C107B8" w:rsidRPr="0013006C" w:rsidRDefault="006C06F9" w:rsidP="0013006C">
            <w:pPr>
              <w:spacing w:line="360" w:lineRule="auto"/>
              <w:rPr>
                <w:rFonts w:ascii="inter" w:eastAsia="inter" w:hAnsi="inter" w:cs="inter"/>
                <w:i/>
                <w:sz w:val="28"/>
                <w:szCs w:val="44"/>
                <w:vertAlign w:val="superscript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наиболее вероятный диагноз, учитывая стойкое повышение АД и наследственный анамнез. У спортсменов силовых видов спорта АГ встречается чаще, чем в общей популяции</w:t>
            </w:r>
            <w:r w:rsidR="0013006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sz w:val="28"/>
                <w:szCs w:val="44"/>
                <w:vertAlign w:val="superscript"/>
              </w:rPr>
              <w:t xml:space="preserve"> </w:t>
            </w:r>
            <w:r w:rsidRPr="0013006C">
              <w:rPr>
                <w:rFonts w:ascii="inter" w:eastAsia="inter" w:hAnsi="inter" w:cs="inter"/>
                <w:i/>
                <w:sz w:val="28"/>
                <w:szCs w:val="44"/>
                <w:vertAlign w:val="superscript"/>
              </w:rPr>
              <w:t>Источник: КР Артериальная гипертензия у взрослых, 2024, раздел 1.1, стр. 13.</w:t>
            </w:r>
          </w:p>
          <w:p w14:paraId="2B3544CE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Вторичная (симптоматическая) АГ</w:t>
            </w:r>
          </w:p>
          <w:p w14:paraId="359D5466" w14:textId="7ABB0099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Учитывая молодой возраст и высокую степень АГ, необходимо исключить вторичные причины, в том числе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ренопаренхиматозные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эндокринные заболевания. Источник: КР Артериальная гипертензия у взрослых, 2024, раздел 2.1, стр. 24.</w:t>
            </w:r>
          </w:p>
          <w:p w14:paraId="6FBBA46B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Изолированная офисная АГ («гипертония белого халата»)</w:t>
            </w:r>
          </w:p>
          <w:p w14:paraId="0C9F9522" w14:textId="3A57A871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Данное состояние необходимо исключить с помощью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внеофисных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измерений АД (СМАД), так как оно не требует назначения постоянной медикаментозной терапии. Источник: КР Артериальная гипертензия у взрослых, 2024, раздел 3.6.12, стр. 71.</w:t>
            </w:r>
          </w:p>
          <w:p w14:paraId="6129015B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Нейроциркуляторная дистония</w:t>
            </w:r>
          </w:p>
          <w:p w14:paraId="7D25EF40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Этот диагноз не используется в современной классификации и не отражает органическую природу заболевания с поражением органов-мишеней. Источник: КР Артериальная гипертензия у взрослых, 2024, раздел 1.1, стр. 13.</w:t>
            </w:r>
          </w:p>
        </w:tc>
      </w:tr>
      <w:tr w:rsidR="00166CFD" w14:paraId="783897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69535F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B056C0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все необходимые исследования.</w:t>
            </w:r>
          </w:p>
          <w:p w14:paraId="15FCEB87" w14:textId="77777777" w:rsidR="00C107B8" w:rsidRDefault="00C107B8"/>
          <w:p w14:paraId="22E4637A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(клинический) анализ крови, общий анализ мочи с определением отношения альбумин/креатинин</w:t>
            </w:r>
          </w:p>
          <w:p w14:paraId="2EC8F319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базовые исследования для оценки общего состояния и выявления поражения почек как органа-мишени. Источник: КР Артериальная гипертензия у взрослых, 2024, раздел 2.7, стр. 31, 32.</w:t>
            </w:r>
          </w:p>
          <w:p w14:paraId="6E22CD43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 крови: глюкоза, креатинин (с расчетом СКФ), калий, натрий, мочевая кислота, липидный профиль (ОХС, ЛПНП, ЛПВП, ТГ), АЛТ, АСТ</w:t>
            </w:r>
          </w:p>
          <w:p w14:paraId="4829729C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Комплексное исследование для оценки функции почек, выявления метаболических нарушений и стратификации сердечно-сосудистого риска. Источник: КР Артериальная гипертензия у взрослых, 2024, раздел 2.7, стр. 31-34.</w:t>
            </w:r>
          </w:p>
          <w:p w14:paraId="791E9A78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Исследование уровня ТТГ в крови</w:t>
            </w:r>
          </w:p>
          <w:p w14:paraId="2618D898" w14:textId="3F64D13E" w:rsidR="00C107B8" w:rsidRPr="00600690" w:rsidRDefault="006C06F9">
            <w:pPr>
              <w:spacing w:line="360" w:lineRule="auto"/>
              <w:rPr>
                <w:color w:val="FF000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для исключения патологии щитовидной железы как возможной причины вторичной АГ. Источник: КР Артериальная гипертензия у взрослых, 2024, таблица П5/А3, стр. 170</w:t>
            </w:r>
            <w:r w:rsidRPr="00600690">
              <w:rPr>
                <w:rFonts w:ascii="inter" w:eastAsia="inter" w:hAnsi="inter" w:cs="inter"/>
                <w:i/>
                <w:color w:val="FF0000"/>
                <w:sz w:val="17"/>
              </w:rPr>
              <w:t>.</w:t>
            </w:r>
            <w:r w:rsidR="00600690" w:rsidRPr="00600690">
              <w:rPr>
                <w:rFonts w:ascii="inter" w:eastAsia="inter" w:hAnsi="inter" w:cs="inter"/>
                <w:i/>
                <w:color w:val="FF0000"/>
                <w:sz w:val="17"/>
              </w:rPr>
              <w:t xml:space="preserve"> </w:t>
            </w:r>
          </w:p>
          <w:p w14:paraId="6FEB7EAD" w14:textId="77777777" w:rsidR="0013006C" w:rsidRDefault="006C06F9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="0013006C" w:rsidRPr="0013006C">
              <w:rPr>
                <w:rFonts w:ascii="inter" w:eastAsia="inter" w:hAnsi="inter" w:cs="inter"/>
                <w:b/>
                <w:color w:val="000000"/>
                <w:sz w:val="17"/>
              </w:rPr>
              <w:t>Кортизол крови, суточная моча на кортизол</w:t>
            </w:r>
          </w:p>
          <w:p w14:paraId="2653CEFD" w14:textId="25D49CFE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Данное исследование не имеет отношения к диагностике эссенциальной А</w:t>
            </w:r>
            <w:r w:rsidR="004248C1">
              <w:rPr>
                <w:rFonts w:ascii="inter" w:eastAsia="inter" w:hAnsi="inter" w:cs="inter"/>
                <w:i/>
                <w:color w:val="000000"/>
                <w:sz w:val="17"/>
              </w:rPr>
              <w:t>. Назначается</w:t>
            </w:r>
            <w:r w:rsidR="0013006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при </w:t>
            </w:r>
            <w:r w:rsidR="004248C1">
              <w:rPr>
                <w:rFonts w:ascii="inter" w:eastAsia="inter" w:hAnsi="inter" w:cs="inter"/>
                <w:i/>
                <w:color w:val="000000"/>
                <w:sz w:val="17"/>
              </w:rPr>
              <w:t>наличии</w:t>
            </w:r>
            <w:r w:rsidR="0013006C" w:rsidRPr="0013006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симптомов синдрома Иценко-Кушинга (ожирение специфического типа, стрии, лунообразное лицо, мышечная слабость).</w:t>
            </w:r>
          </w:p>
        </w:tc>
      </w:tr>
      <w:tr w:rsidR="00166CFD" w14:paraId="7C30E3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D70D2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ADF457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все необходимые исследования.</w:t>
            </w:r>
          </w:p>
          <w:p w14:paraId="30839575" w14:textId="77777777" w:rsidR="00C107B8" w:rsidRDefault="00C107B8"/>
          <w:p w14:paraId="430979E7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12-канальная ЭКГ</w:t>
            </w:r>
          </w:p>
          <w:p w14:paraId="5D9668EF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Обязательное исследование для выявления гипертрофии левого желудочка (ГЛЖ) и нарушений ритма. Источник: КР Артериальная гипертензия у взрослых, 2024, раздел 2.8, стр. 34.</w:t>
            </w:r>
          </w:p>
          <w:p w14:paraId="6E4486BE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Эхокардиография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55F212C5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«Золотой стандарт» для оценки структуры сердца, выявления ГЛЖ и дифференциальной диагностики физиологических изменений («спортивное сердце») и патологического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ремоделирования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КР Артериальная гипертензия у взрослых, 2024, раздел 2.8, стр. 34.</w:t>
            </w:r>
          </w:p>
          <w:p w14:paraId="42C6F10C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Суточное мониторирование АД (СМАД)</w:t>
            </w:r>
          </w:p>
          <w:p w14:paraId="651A3F43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для подтверждения диагноза, исключения «гипертонии белого халата» и оценки суточного профиля АД. Источник: КР Артериальная гипертензия у взрослых, 2024, раздел 2.3, стр. 26.</w:t>
            </w:r>
          </w:p>
          <w:p w14:paraId="3AF9C861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УЗИ почек и дуплексное сканирование почечных артерий</w:t>
            </w:r>
          </w:p>
          <w:p w14:paraId="1B88FF51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Проводится для исключения вторичного характера АГ, связанного с патологией почек или их сосудов. Источник: КР Артериальная гипертензия у взрослых, 2024, раздел 2.8, стр. 35.</w:t>
            </w:r>
          </w:p>
          <w:p w14:paraId="71B7843D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5.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Электроэнцефалография (ЭЭГ)</w:t>
            </w:r>
          </w:p>
          <w:p w14:paraId="285912BF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ЭЭГ используется для диагностики заболеваний головного мозга (например, эпилепсии) и не входит в стандартный план обследования при АГ.</w:t>
            </w:r>
          </w:p>
        </w:tc>
      </w:tr>
      <w:tr w:rsidR="00166CFD" w14:paraId="15D6CD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75117" w14:textId="1631885E" w:rsidR="00C107B8" w:rsidRDefault="004F022A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</w:t>
            </w:r>
            <w:r w:rsidR="006C06F9">
              <w:rPr>
                <w:rFonts w:ascii="inter" w:eastAsia="inter" w:hAnsi="inter" w:cs="inter"/>
                <w:b/>
                <w:color w:val="000000"/>
                <w:sz w:val="17"/>
              </w:rPr>
              <w:t>анны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</w:t>
            </w:r>
            <w:r w:rsidR="006C06F9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3EDE36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исследования: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все показатели в пределах референсных значений.</w:t>
            </w:r>
          </w:p>
          <w:p w14:paraId="6ADF8506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исследования:</w:t>
            </w:r>
          </w:p>
          <w:p w14:paraId="1BFF14FE" w14:textId="5B683468" w:rsidR="00C107B8" w:rsidRDefault="006C06F9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Синусовая брадикардия, ЧСС 55 в мин. </w:t>
            </w:r>
            <w:r w:rsidR="004F022A">
              <w:rPr>
                <w:rFonts w:ascii="inter" w:eastAsia="inter" w:hAnsi="inter" w:cs="inter"/>
                <w:color w:val="000000"/>
                <w:sz w:val="17"/>
              </w:rPr>
              <w:t xml:space="preserve">ЭОС не отклонена.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Признаки ГЛЖ (индекс Соколова-Лайона </w:t>
            </w:r>
            <w:r w:rsidR="00166CFD">
              <w:rPr>
                <w:rFonts w:ascii="inter" w:eastAsia="inter" w:hAnsi="inter" w:cs="inter"/>
                <w:color w:val="000000"/>
                <w:sz w:val="17"/>
              </w:rPr>
              <w:t>57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мм).</w:t>
            </w:r>
          </w:p>
          <w:p w14:paraId="3FED1C98" w14:textId="26DAFF7A" w:rsidR="00166CFD" w:rsidRDefault="00166CFD">
            <w:pPr>
              <w:spacing w:line="360" w:lineRule="auto"/>
            </w:pPr>
            <w:r w:rsidRPr="00166CFD">
              <w:rPr>
                <w:noProof/>
              </w:rPr>
              <w:drawing>
                <wp:inline distT="0" distB="0" distL="0" distR="0" wp14:anchorId="3A87C53C" wp14:editId="065CD861">
                  <wp:extent cx="4531670" cy="2516049"/>
                  <wp:effectExtent l="0" t="0" r="2540" b="0"/>
                  <wp:docPr id="4278191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819169" name=""/>
                          <pic:cNvPicPr/>
                        </pic:nvPicPr>
                        <pic:blipFill rotWithShape="1">
                          <a:blip r:embed="rId5"/>
                          <a:srcRect t="2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9088" cy="2586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D517A3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СМАД: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Среднесуточное АД — 158/98 мм рт. ст. Дневное — 161/101 мм рт. ст., ночное — 149/90 мм рт. ст. Недостаточное снижение АД в ночное время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non-dipper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).</w:t>
            </w:r>
          </w:p>
          <w:p w14:paraId="40F88701" w14:textId="2A6BC476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Концентрическая гипертрофия миокарда левого желудочка (индекс массы миокарда ЛЖ 125 г/м²).</w:t>
            </w:r>
            <w:r w:rsidR="004F022A">
              <w:rPr>
                <w:rFonts w:ascii="inter" w:eastAsia="inter" w:hAnsi="inter" w:cs="inter"/>
                <w:color w:val="000000"/>
                <w:sz w:val="17"/>
              </w:rPr>
              <w:t xml:space="preserve"> Т</w:t>
            </w:r>
            <w:r w:rsidR="004F022A" w:rsidRPr="004F022A">
              <w:rPr>
                <w:rFonts w:ascii="inter" w:eastAsia="inter" w:hAnsi="inter" w:cs="inter"/>
                <w:color w:val="000000"/>
                <w:sz w:val="17"/>
              </w:rPr>
              <w:t>олщина задней стенки левого желудочка (ТЗСЛЖ) в диастолу</w:t>
            </w:r>
            <w:r w:rsidR="004F022A">
              <w:rPr>
                <w:rFonts w:ascii="inter" w:eastAsia="inter" w:hAnsi="inter" w:cs="inter"/>
                <w:color w:val="000000"/>
                <w:sz w:val="17"/>
              </w:rPr>
              <w:t xml:space="preserve"> 13</w:t>
            </w:r>
            <w:r w:rsidR="004F022A" w:rsidRPr="004F022A">
              <w:rPr>
                <w:rFonts w:ascii="inter" w:eastAsia="inter" w:hAnsi="inter" w:cs="inter"/>
                <w:color w:val="000000"/>
                <w:sz w:val="17"/>
              </w:rPr>
              <w:t xml:space="preserve"> мм</w:t>
            </w:r>
            <w:r w:rsidR="00E23226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Полости сердца не расширены. Систолическая и диастолическая функции сохранены.</w:t>
            </w:r>
          </w:p>
          <w:p w14:paraId="19601372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УЗИ почек и почечных артерий: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патологии не выявлено.</w:t>
            </w:r>
          </w:p>
        </w:tc>
      </w:tr>
      <w:tr w:rsidR="00166CFD" w14:paraId="2EEF3E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03CAC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7489EB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единственно верный диагноз.</w:t>
            </w:r>
          </w:p>
          <w:p w14:paraId="35DBEABE" w14:textId="77777777" w:rsidR="00C107B8" w:rsidRDefault="00C107B8"/>
          <w:p w14:paraId="50C943EE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Гипертоническая болезнь II стадии. Степень АГ 2. Риск 3 (высокий). Гипертрофия левого желудочка.</w:t>
            </w:r>
          </w:p>
          <w:p w14:paraId="543FD12F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Стадия II определена наличием поражения органа-мишени (ГЛЖ). Степень АГ 2 соответствует уровню АД. Риск 3 (высокий) устанавливается у пациентов с АГ 2 степени и ПОМ. Источник: КР Артериальная гипертензия у взрослых, 2024, раздел 1.5 и 2.2, стр. 19, 25.</w:t>
            </w:r>
          </w:p>
          <w:p w14:paraId="2F48DC1B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Гипертоническая болезнь I стадии. Степень АГ 2. Риск 2 (умеренный).</w:t>
            </w:r>
          </w:p>
          <w:p w14:paraId="1930BE18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Стадия заболевания определена неверно, так как имеется поражение органа-мишени (ГЛЖ). Источник: КР Артериальная гипертензия у взрослых, 2024, раздел 1.5, стр. 19.</w:t>
            </w:r>
          </w:p>
          <w:p w14:paraId="7DF960BA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Вторичная артериальная гипертензия неуточненная.</w:t>
            </w:r>
          </w:p>
          <w:p w14:paraId="6300C0BF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В ходе обследования не было выявлено причин для постановки диагноза вторичной АГ. Источник: КР Артериальная гипертензия у взрослых, 2024, таблица П5/А3, стр. 170.</w:t>
            </w:r>
          </w:p>
        </w:tc>
      </w:tr>
      <w:tr w:rsidR="00166CFD" w14:paraId="5624BE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DADEA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15BD1A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правильную тактику лечения.</w:t>
            </w:r>
          </w:p>
          <w:p w14:paraId="03047926" w14:textId="77777777" w:rsidR="00C107B8" w:rsidRDefault="00C107B8"/>
          <w:p w14:paraId="5DA84D17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Рекомендовать только изменение образа жизни (снижение потребления соли, диета) и динамическое наблюдение.</w:t>
            </w:r>
          </w:p>
          <w:p w14:paraId="1CA26498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пациентов с АГ 2-й степени и ПОМ показано незамедлительное начало медикаментозной терапии. Источник: КР Артериальная гипертензия у взрослых, 2024, раздел 3.1, стр. 37-38.</w:t>
            </w:r>
          </w:p>
          <w:p w14:paraId="1CF9E1A7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стартовую двойную комбинированную терапию (например, блокатор рецепторов ангиотензина II + антагонист кальция) и немедикаментозные мероприятия.</w:t>
            </w:r>
          </w:p>
          <w:p w14:paraId="3952939E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соответствует современным рекомендациям. Данные классы препаратов не запрещены антидопинговыми правилами в тяжелой атлетике, эффективны для регресса ГЛЖ и хорошо подходят для старта терапии. Целевой уровень АД &lt;140/90 мм рт. ст., при хорошей переносимости &lt;130/80 мм рт. ст. Источник: КР Артериальная гипертензия у взрослых, 2024, разделы 3.2 и 3.4.1, стр. 38, 43.</w:t>
            </w:r>
          </w:p>
          <w:p w14:paraId="2FF5E6F9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Назначить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монотерапию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бета-блокатором.</w:t>
            </w:r>
          </w:p>
          <w:p w14:paraId="07AA9861" w14:textId="099F7D53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u w:val="single"/>
              </w:rPr>
              <w:t>Бета-блокаторы запрещены в тяжелой атлетике, их назначение требует оформления терапевтического исключения.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Кроме того, стартовая терапия у большинства пациентов должна быть комбинированной. Источник: КР Артериальная гипертензия у взрослых, 2024, раздел 3.4.1, стр. 43; Антидопинговые правила.</w:t>
            </w:r>
          </w:p>
          <w:p w14:paraId="36A48460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Назначить тройную терапию: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иАПФ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+ диуретик + бета-блокатор.</w:t>
            </w:r>
          </w:p>
          <w:p w14:paraId="6077271F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 w:rsidRPr="00166CFD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Тройная терапия не является стартовой. Диуретики и бета-блокаторы запрещены в данном виде спорта и требуют специального разрешения. Источник: КР Артериальная гипертензия у взрослых, 2024, раздел 3.4.1, стр. 43.</w:t>
            </w:r>
          </w:p>
        </w:tc>
      </w:tr>
      <w:tr w:rsidR="00166CFD" w14:paraId="07C146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4F58D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3D0D38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«Артериальная гипертензия у взрослых». 2024. Разработчик: Российское кардиологическое общество (РКО).</w:t>
            </w:r>
          </w:p>
          <w:p w14:paraId="203105DF" w14:textId="77777777" w:rsidR="00C107B8" w:rsidRDefault="00C107B8"/>
          <w:p w14:paraId="13BAFE7A" w14:textId="77777777" w:rsidR="00C107B8" w:rsidRDefault="006C06F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Примечание: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Ведение спортсмена с АГ требует междисциплинарного подхода с участием кардиолога и спортивного врача. При выборе терапии необходимо сверяться с актуальным Запрещенным списком ВАДА/РУСАДА. Решение о допуске к тренировочной и соревновательной деятельности принимается индивидуально после достижения контроля АД и оценки сердечно-сосудистого риска.</w:t>
            </w:r>
          </w:p>
        </w:tc>
      </w:tr>
    </w:tbl>
    <w:p w14:paraId="1CAF9927" w14:textId="77777777" w:rsidR="00C107B8" w:rsidRDefault="00C107B8"/>
    <w:p w14:paraId="17933999" w14:textId="77777777" w:rsidR="00C107B8" w:rsidRDefault="006C06F9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2BD11A58" w14:textId="199B6F2C" w:rsidR="00C107B8" w:rsidRDefault="00C107B8" w:rsidP="0051234E">
      <w:pPr>
        <w:spacing w:after="210" w:line="360" w:lineRule="auto"/>
      </w:pPr>
      <w:bookmarkStart w:id="0" w:name="fn2"/>
      <w:bookmarkEnd w:id="0"/>
    </w:p>
    <w:sectPr w:rsidR="00C107B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39EF"/>
    <w:multiLevelType w:val="hybridMultilevel"/>
    <w:tmpl w:val="857ED0B0"/>
    <w:lvl w:ilvl="0" w:tplc="6CC68732">
      <w:numFmt w:val="decimal"/>
      <w:lvlText w:val=""/>
      <w:lvlJc w:val="left"/>
    </w:lvl>
    <w:lvl w:ilvl="1" w:tplc="EC2E2B8C">
      <w:numFmt w:val="decimal"/>
      <w:lvlText w:val=""/>
      <w:lvlJc w:val="left"/>
    </w:lvl>
    <w:lvl w:ilvl="2" w:tplc="E00A60FC">
      <w:numFmt w:val="decimal"/>
      <w:lvlText w:val=""/>
      <w:lvlJc w:val="left"/>
    </w:lvl>
    <w:lvl w:ilvl="3" w:tplc="18AE508E">
      <w:numFmt w:val="decimal"/>
      <w:lvlText w:val=""/>
      <w:lvlJc w:val="left"/>
    </w:lvl>
    <w:lvl w:ilvl="4" w:tplc="ED94CE32">
      <w:numFmt w:val="decimal"/>
      <w:lvlText w:val=""/>
      <w:lvlJc w:val="left"/>
    </w:lvl>
    <w:lvl w:ilvl="5" w:tplc="F6F25908">
      <w:numFmt w:val="decimal"/>
      <w:lvlText w:val=""/>
      <w:lvlJc w:val="left"/>
    </w:lvl>
    <w:lvl w:ilvl="6" w:tplc="EF146BE2">
      <w:numFmt w:val="decimal"/>
      <w:lvlText w:val=""/>
      <w:lvlJc w:val="left"/>
    </w:lvl>
    <w:lvl w:ilvl="7" w:tplc="5E6A92D2">
      <w:numFmt w:val="decimal"/>
      <w:lvlText w:val=""/>
      <w:lvlJc w:val="left"/>
    </w:lvl>
    <w:lvl w:ilvl="8" w:tplc="E91444EE">
      <w:numFmt w:val="decimal"/>
      <w:lvlText w:val=""/>
      <w:lvlJc w:val="left"/>
    </w:lvl>
  </w:abstractNum>
  <w:abstractNum w:abstractNumId="1" w15:restartNumberingAfterBreak="0">
    <w:nsid w:val="5DE86753"/>
    <w:multiLevelType w:val="hybridMultilevel"/>
    <w:tmpl w:val="46DE264E"/>
    <w:lvl w:ilvl="0" w:tplc="E878FC2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E447AD4">
      <w:numFmt w:val="decimal"/>
      <w:lvlText w:val=""/>
      <w:lvlJc w:val="left"/>
    </w:lvl>
    <w:lvl w:ilvl="2" w:tplc="A1AE27A6">
      <w:numFmt w:val="decimal"/>
      <w:lvlText w:val=""/>
      <w:lvlJc w:val="left"/>
    </w:lvl>
    <w:lvl w:ilvl="3" w:tplc="67C2D60E">
      <w:numFmt w:val="decimal"/>
      <w:lvlText w:val=""/>
      <w:lvlJc w:val="left"/>
    </w:lvl>
    <w:lvl w:ilvl="4" w:tplc="543E43B0">
      <w:numFmt w:val="decimal"/>
      <w:lvlText w:val=""/>
      <w:lvlJc w:val="left"/>
    </w:lvl>
    <w:lvl w:ilvl="5" w:tplc="3B104DEC">
      <w:numFmt w:val="decimal"/>
      <w:lvlText w:val=""/>
      <w:lvlJc w:val="left"/>
    </w:lvl>
    <w:lvl w:ilvl="6" w:tplc="B0868384">
      <w:numFmt w:val="decimal"/>
      <w:lvlText w:val=""/>
      <w:lvlJc w:val="left"/>
    </w:lvl>
    <w:lvl w:ilvl="7" w:tplc="F5542832">
      <w:numFmt w:val="decimal"/>
      <w:lvlText w:val=""/>
      <w:lvlJc w:val="left"/>
    </w:lvl>
    <w:lvl w:ilvl="8" w:tplc="63622CC0">
      <w:numFmt w:val="decimal"/>
      <w:lvlText w:val=""/>
      <w:lvlJc w:val="left"/>
    </w:lvl>
  </w:abstractNum>
  <w:num w:numId="1" w16cid:durableId="738404621">
    <w:abstractNumId w:val="0"/>
  </w:num>
  <w:num w:numId="2" w16cid:durableId="1596329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7B8"/>
    <w:rsid w:val="000B62F7"/>
    <w:rsid w:val="0013006C"/>
    <w:rsid w:val="00151D5C"/>
    <w:rsid w:val="00166CFD"/>
    <w:rsid w:val="00167D76"/>
    <w:rsid w:val="001D70FA"/>
    <w:rsid w:val="004248C1"/>
    <w:rsid w:val="004F022A"/>
    <w:rsid w:val="0051234E"/>
    <w:rsid w:val="00600690"/>
    <w:rsid w:val="006B0688"/>
    <w:rsid w:val="006C06F9"/>
    <w:rsid w:val="008618B5"/>
    <w:rsid w:val="009C3990"/>
    <w:rsid w:val="00C107B8"/>
    <w:rsid w:val="00C569B3"/>
    <w:rsid w:val="00E23226"/>
    <w:rsid w:val="00FA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D5558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1378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8</cp:revision>
  <dcterms:created xsi:type="dcterms:W3CDTF">2025-08-14T16:57:00Z</dcterms:created>
  <dcterms:modified xsi:type="dcterms:W3CDTF">2026-01-13T09:31:00Z</dcterms:modified>
</cp:coreProperties>
</file>