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FEBF" w14:textId="56216A49" w:rsidR="00513D9C" w:rsidRDefault="00513D9C">
      <w:pPr>
        <w:spacing w:after="210" w:line="360" w:lineRule="auto"/>
        <w:rPr>
          <w:rFonts w:ascii="inter" w:eastAsia="inter" w:hAnsi="inter" w:cs="inter"/>
          <w:b/>
          <w:color w:val="000000"/>
          <w:sz w:val="39"/>
        </w:rPr>
      </w:pPr>
      <w:r>
        <w:rPr>
          <w:rFonts w:ascii="inter" w:eastAsia="inter" w:hAnsi="inter" w:cs="inter"/>
          <w:b/>
          <w:color w:val="000000"/>
          <w:sz w:val="39"/>
        </w:rPr>
        <w:t xml:space="preserve">4. ИБС АГ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сах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диабет ожирение</w:t>
      </w:r>
    </w:p>
    <w:p w14:paraId="668EA33B" w14:textId="1607D563" w:rsidR="00A24CE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Пациент: мужчина, 58 лет, стабильная ИБС; сопутствующие: сахарный диабет 2 типа, ожирение (ИМТ 33), АГ. Цель: провести обследование, оценить риск, поставить диагноз, назначить лечение и план диспансерного наблюдения по клиническим рекомендациям ВНОК/РКО «Ишемическая болезнь сердца. Стабильные формы. 2024».</w:t>
      </w:r>
    </w:p>
    <w:p w14:paraId="1E2E791A" w14:textId="77777777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Общая информация</w:t>
      </w:r>
    </w:p>
    <w:p w14:paraId="77E89077" w14:textId="4616819D" w:rsidR="00A24CE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Мужчина 58 лет обратился в поликлинику к врачу‑кардиологу с жалобами на загрудинные боли при ходьбе 200–300 м и подъеме на 1 этаж, купируются нитроглицерином за 2–3 минуты, стабильны последние 4 месяца; одышка при быстрой ходьбе; периодические головные боли и повышение АД до 150–160/90–95 мм </w:t>
      </w:r>
      <w:proofErr w:type="spellStart"/>
      <w:r>
        <w:rPr>
          <w:rFonts w:ascii="inter" w:eastAsia="inter" w:hAnsi="inter" w:cs="inter"/>
          <w:color w:val="000000"/>
        </w:rPr>
        <w:t>рт.ст</w:t>
      </w:r>
      <w:proofErr w:type="spellEnd"/>
      <w:r>
        <w:rPr>
          <w:rFonts w:ascii="inter" w:eastAsia="inter" w:hAnsi="inter" w:cs="inter"/>
          <w:color w:val="000000"/>
        </w:rPr>
        <w:t xml:space="preserve">. Сопутствующие: </w:t>
      </w:r>
      <w:r w:rsidR="006B7814">
        <w:rPr>
          <w:rFonts w:ascii="inter" w:eastAsia="inter" w:hAnsi="inter" w:cs="inter"/>
          <w:color w:val="000000"/>
        </w:rPr>
        <w:t>сахарный диабет 2 типа</w:t>
      </w:r>
      <w:r>
        <w:rPr>
          <w:rFonts w:ascii="inter" w:eastAsia="inter" w:hAnsi="inter" w:cs="inter"/>
          <w:color w:val="000000"/>
        </w:rPr>
        <w:t xml:space="preserve"> (8 лет, HbA1c 7.8%), ожирение (ИМТ 33), дислипидемия. Курит 15 лет. Цель: 1) провести обследование согласно маршруту пациента со стабильной ИБС, 2) подтвердить диагноз и стратифицировать риск, 3) назначить лечение (симптоматическое, профилактика ССО, коррекция ФР), 4) определить показания к </w:t>
      </w:r>
      <w:proofErr w:type="spellStart"/>
      <w:r>
        <w:rPr>
          <w:rFonts w:ascii="inter" w:eastAsia="inter" w:hAnsi="inter" w:cs="inter"/>
          <w:color w:val="000000"/>
        </w:rPr>
        <w:t>реваскуляризации</w:t>
      </w:r>
      <w:proofErr w:type="spellEnd"/>
      <w:r>
        <w:rPr>
          <w:rFonts w:ascii="inter" w:eastAsia="inter" w:hAnsi="inter" w:cs="inter"/>
          <w:color w:val="000000"/>
        </w:rPr>
        <w:t xml:space="preserve"> и 5) разработать план диспансерного наблюдения </w:t>
      </w:r>
    </w:p>
    <w:p w14:paraId="2FFB2403" w14:textId="43474B52" w:rsidR="00A24CE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Источник: Клинические рекомендации «Ишемическая болезнь сердца (стабильные формы)», РКО, 2024.</w:t>
      </w:r>
    </w:p>
    <w:p w14:paraId="50A14774" w14:textId="77777777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Жалобы</w:t>
      </w:r>
    </w:p>
    <w:p w14:paraId="563F081A" w14:textId="3178D714" w:rsidR="00A24CE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Загрудинная боль сжимающего характера при нагрузке (ходьба 200–300 м, подъем по лестнице), </w:t>
      </w:r>
      <w:proofErr w:type="spellStart"/>
      <w:r>
        <w:rPr>
          <w:rFonts w:ascii="inter" w:eastAsia="inter" w:hAnsi="inter" w:cs="inter"/>
          <w:color w:val="000000"/>
        </w:rPr>
        <w:t>иррадиирует</w:t>
      </w:r>
      <w:proofErr w:type="spellEnd"/>
      <w:r>
        <w:rPr>
          <w:rFonts w:ascii="inter" w:eastAsia="inter" w:hAnsi="inter" w:cs="inter"/>
          <w:color w:val="000000"/>
        </w:rPr>
        <w:t xml:space="preserve"> в левую руку, купируется нитроглицерином за 2–3 минуты </w:t>
      </w:r>
    </w:p>
    <w:p w14:paraId="4B26BAEA" w14:textId="72033F9D" w:rsidR="00A24CE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Одышка при быстрой ходьбе </w:t>
      </w:r>
    </w:p>
    <w:p w14:paraId="27DD8B4F" w14:textId="19AB5C51" w:rsidR="00A24CE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Повышение АД, головные боли </w:t>
      </w:r>
    </w:p>
    <w:p w14:paraId="7936298A" w14:textId="77777777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Анамнез заболевания</w:t>
      </w:r>
    </w:p>
    <w:p w14:paraId="2DE49D27" w14:textId="00BF1FDB" w:rsidR="00A24CE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Симптомы стабильны 4 месяца; до этого эпизодов нестабильности не было; приступы провоцируются нагрузкой, холодом, эмоциональным стрессом; купируются нитроглицерином </w:t>
      </w:r>
    </w:p>
    <w:p w14:paraId="366DAAF9" w14:textId="1CB2737A" w:rsidR="00A24CE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Ранее ОКС отрицает; госпитализаций по поводу ИБС не было </w:t>
      </w:r>
    </w:p>
    <w:p w14:paraId="2844E913" w14:textId="77777777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Анамнез жизни</w:t>
      </w:r>
    </w:p>
    <w:p w14:paraId="76AE56D7" w14:textId="66ADE7D8" w:rsidR="00A24CE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СД2 8 лет (HbA1c 7.8%), ожирение (ИМТ 33), АГ 10 лет, курение 15 лет</w:t>
      </w:r>
      <w:r w:rsidR="000249D5">
        <w:rPr>
          <w:rFonts w:ascii="inter" w:eastAsia="inter" w:hAnsi="inter" w:cs="inter"/>
          <w:color w:val="000000"/>
        </w:rPr>
        <w:t>, 1 пачка в день</w:t>
      </w:r>
      <w:r>
        <w:rPr>
          <w:rFonts w:ascii="inter" w:eastAsia="inter" w:hAnsi="inter" w:cs="inter"/>
          <w:color w:val="000000"/>
        </w:rPr>
        <w:t>, отягощенный семейный анамнез (отец — ИМ в 54 года)</w:t>
      </w:r>
    </w:p>
    <w:p w14:paraId="19466740" w14:textId="66AE58C5" w:rsidR="00A24CE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Лекарства: метформин 1000 мг×2, амлодипин 5 мг, </w:t>
      </w:r>
      <w:proofErr w:type="spellStart"/>
      <w:r>
        <w:rPr>
          <w:rFonts w:ascii="inter" w:eastAsia="inter" w:hAnsi="inter" w:cs="inter"/>
          <w:color w:val="000000"/>
        </w:rPr>
        <w:t>лозартан</w:t>
      </w:r>
      <w:proofErr w:type="spellEnd"/>
      <w:r>
        <w:rPr>
          <w:rFonts w:ascii="inter" w:eastAsia="inter" w:hAnsi="inter" w:cs="inter"/>
          <w:color w:val="000000"/>
        </w:rPr>
        <w:t xml:space="preserve"> 50 мг, </w:t>
      </w:r>
      <w:proofErr w:type="spellStart"/>
      <w:r>
        <w:rPr>
          <w:rFonts w:ascii="inter" w:eastAsia="inter" w:hAnsi="inter" w:cs="inter"/>
          <w:color w:val="000000"/>
        </w:rPr>
        <w:t>розувастатин</w:t>
      </w:r>
      <w:proofErr w:type="spellEnd"/>
      <w:r>
        <w:rPr>
          <w:rFonts w:ascii="inter" w:eastAsia="inter" w:hAnsi="inter" w:cs="inter"/>
          <w:color w:val="000000"/>
        </w:rPr>
        <w:t xml:space="preserve"> 10 мг нерегулярно </w:t>
      </w:r>
    </w:p>
    <w:p w14:paraId="3CF3C05E" w14:textId="77777777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Объективное обследование</w:t>
      </w:r>
    </w:p>
    <w:p w14:paraId="6E279FE0" w14:textId="77777777" w:rsidR="00A24CE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Общее состояние удовлетворительное, сознание ясное. Кожа чистая.</w:t>
      </w:r>
    </w:p>
    <w:p w14:paraId="012D4A64" w14:textId="1014C15C" w:rsidR="00A24CE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АД 148/92 мм </w:t>
      </w:r>
      <w:proofErr w:type="spellStart"/>
      <w:r>
        <w:rPr>
          <w:rFonts w:ascii="inter" w:eastAsia="inter" w:hAnsi="inter" w:cs="inter"/>
          <w:color w:val="000000"/>
        </w:rPr>
        <w:t>рт.ст</w:t>
      </w:r>
      <w:proofErr w:type="spellEnd"/>
      <w:r>
        <w:rPr>
          <w:rFonts w:ascii="inter" w:eastAsia="inter" w:hAnsi="inter" w:cs="inter"/>
          <w:color w:val="000000"/>
        </w:rPr>
        <w:t xml:space="preserve">. (лежа), 144/90 (сидя), ЧСС 78/мин, ритм синусовый </w:t>
      </w:r>
    </w:p>
    <w:p w14:paraId="418B951A" w14:textId="5BABA72C" w:rsidR="00A24CE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Индекс массы тела 33; окружность талии 110 см </w:t>
      </w:r>
    </w:p>
    <w:p w14:paraId="22E3D7D2" w14:textId="77777777" w:rsidR="00A24CE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Аускультация: тоны ритмичные, шумов нет. В легких дыхание везикулярное.</w:t>
      </w:r>
    </w:p>
    <w:p w14:paraId="19DB5C46" w14:textId="7898E7C7" w:rsidR="00A24CE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Пульс на стопах ослаблен, шум над сонными артериями отсутствует </w:t>
      </w:r>
    </w:p>
    <w:p w14:paraId="476A8762" w14:textId="6BE94800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Предварительный диагноз </w:t>
      </w:r>
    </w:p>
    <w:p w14:paraId="7EA3639D" w14:textId="04E2C251" w:rsidR="00A24CE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Стабильная стенокардия напряжения, ФК II–III — </w:t>
      </w:r>
      <w:r w:rsidRPr="000249D5">
        <w:rPr>
          <w:rFonts w:ascii="inter" w:eastAsia="inter" w:hAnsi="inter" w:cs="inter"/>
          <w:color w:val="000000"/>
          <w:highlight w:val="yellow"/>
        </w:rPr>
        <w:t>верно</w:t>
      </w:r>
      <w:r>
        <w:rPr>
          <w:rFonts w:ascii="inter" w:eastAsia="inter" w:hAnsi="inter" w:cs="inter"/>
          <w:color w:val="000000"/>
        </w:rPr>
        <w:t xml:space="preserve">. Типичные </w:t>
      </w:r>
      <w:r w:rsidR="006B7814">
        <w:rPr>
          <w:rFonts w:ascii="inter" w:eastAsia="inter" w:hAnsi="inter" w:cs="inter"/>
          <w:color w:val="000000"/>
        </w:rPr>
        <w:t>ангинозные</w:t>
      </w:r>
      <w:r>
        <w:rPr>
          <w:rFonts w:ascii="inter" w:eastAsia="inter" w:hAnsi="inter" w:cs="inter"/>
          <w:color w:val="000000"/>
        </w:rPr>
        <w:t xml:space="preserve"> боли, провокация нагрузкой, купирование нитроглицерином; стабильное течение &gt;4 недель [2, раздел 2.1, с.16–18].</w:t>
      </w:r>
    </w:p>
    <w:p w14:paraId="5D316A9B" w14:textId="77777777" w:rsidR="00A24CE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Вазоспастическая стенокардия — </w:t>
      </w:r>
      <w:r w:rsidRPr="000249D5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>. Нет ночных приступов и транзиторных подъемов ST; боли нагрузочные [2, раздел 2.1, с.17; раздел 3.1.3 «Вазоспастическая», с.65–67].</w:t>
      </w:r>
    </w:p>
    <w:p w14:paraId="4BD39DCA" w14:textId="0A455FD1" w:rsidR="00A24CE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Микрососудистая стенокардия — </w:t>
      </w:r>
      <w:r w:rsidRPr="000249D5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>. Боль возникает при нагрузке и быстро купируется, нет плохого ответа на нитраты [2, раздел 2.1, с.17; раздел 3.1.3, с.64–65].</w:t>
      </w:r>
    </w:p>
    <w:p w14:paraId="1059344A" w14:textId="77777777" w:rsidR="00A24CE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Остеохондроз/мышечно‑скелетная боль — </w:t>
      </w:r>
      <w:r w:rsidRPr="000249D5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>. Нет точечной локализации, боль зависит от нагрузки и купируется нитратом [2, раздел 2.1, с.17].</w:t>
      </w:r>
    </w:p>
    <w:p w14:paraId="4937AF8F" w14:textId="77777777" w:rsidR="00A24CE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ГЭРБ — </w:t>
      </w:r>
      <w:r w:rsidRPr="000249D5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>. Нет связи с приемом пищи/положением, есть эффект нитрата [2, раздел 2.1, с.17].</w:t>
      </w:r>
    </w:p>
    <w:p w14:paraId="3550FD5C" w14:textId="77777777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Назначение лабораторных исследований</w:t>
      </w:r>
    </w:p>
    <w:p w14:paraId="51810195" w14:textId="77777777" w:rsidR="00A24CE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Общий анализ крови (</w:t>
      </w:r>
      <w:proofErr w:type="spellStart"/>
      <w:r>
        <w:rPr>
          <w:rFonts w:ascii="inter" w:eastAsia="inter" w:hAnsi="inter" w:cs="inter"/>
          <w:color w:val="000000"/>
        </w:rPr>
        <w:t>Hb</w:t>
      </w:r>
      <w:proofErr w:type="spellEnd"/>
      <w:r>
        <w:rPr>
          <w:rFonts w:ascii="inter" w:eastAsia="inter" w:hAnsi="inter" w:cs="inter"/>
          <w:color w:val="000000"/>
        </w:rPr>
        <w:t xml:space="preserve">, лейкоциты, тромбоциты)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Для исключения анемии и сопутствующих состояний [2, раздел 2.3, с.20–23].</w:t>
      </w:r>
    </w:p>
    <w:p w14:paraId="5D268892" w14:textId="0571B960" w:rsidR="00A24CE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Глюкоза натощак, HbA1c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Скрининг и контроль СД [2, раздел 2.3, с.21–22].</w:t>
      </w:r>
    </w:p>
    <w:p w14:paraId="2A5221E8" w14:textId="7B6FD6B0" w:rsidR="00A24CE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Липидный профиль (ОХС, </w:t>
      </w:r>
      <w:proofErr w:type="spellStart"/>
      <w:r>
        <w:rPr>
          <w:rFonts w:ascii="inter" w:eastAsia="inter" w:hAnsi="inter" w:cs="inter"/>
          <w:color w:val="000000"/>
        </w:rPr>
        <w:t>ХсЛНП</w:t>
      </w:r>
      <w:proofErr w:type="spellEnd"/>
      <w:r>
        <w:rPr>
          <w:rFonts w:ascii="inter" w:eastAsia="inter" w:hAnsi="inter" w:cs="inter"/>
          <w:color w:val="000000"/>
        </w:rPr>
        <w:t xml:space="preserve">, ТГ, </w:t>
      </w:r>
      <w:proofErr w:type="spellStart"/>
      <w:r>
        <w:rPr>
          <w:rFonts w:ascii="inter" w:eastAsia="inter" w:hAnsi="inter" w:cs="inter"/>
          <w:color w:val="000000"/>
        </w:rPr>
        <w:t>ХсЛВП</w:t>
      </w:r>
      <w:proofErr w:type="spellEnd"/>
      <w:r>
        <w:rPr>
          <w:rFonts w:ascii="inter" w:eastAsia="inter" w:hAnsi="inter" w:cs="inter"/>
          <w:color w:val="000000"/>
        </w:rPr>
        <w:t xml:space="preserve">)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Ключ для риска и целей терапии [2, раздел 2.3, с.21–23].</w:t>
      </w:r>
    </w:p>
    <w:p w14:paraId="2BEB8518" w14:textId="77777777" w:rsidR="00A24CE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Креатинин, расчет СКФ/КК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Для подбора доз и оценки риска [2, раздел 2.3, с.21].</w:t>
      </w:r>
    </w:p>
    <w:p w14:paraId="055DABF6" w14:textId="77777777" w:rsidR="00A24CE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АЛТ/АСТ при терапии статинами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Мониторинг безопасности [2, раздел 2.3, с.23].</w:t>
      </w:r>
    </w:p>
    <w:p w14:paraId="759A9F5B" w14:textId="41504B89" w:rsidR="00A24CE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NT‑</w:t>
      </w:r>
      <w:proofErr w:type="spellStart"/>
      <w:r>
        <w:rPr>
          <w:rFonts w:ascii="inter" w:eastAsia="inter" w:hAnsi="inter" w:cs="inter"/>
          <w:color w:val="000000"/>
        </w:rPr>
        <w:t>proBNP</w:t>
      </w:r>
      <w:proofErr w:type="spellEnd"/>
      <w:r>
        <w:rPr>
          <w:rFonts w:ascii="inter" w:eastAsia="inter" w:hAnsi="inter" w:cs="inter"/>
          <w:color w:val="000000"/>
        </w:rPr>
        <w:t xml:space="preserve"> при подозрении на СН — </w:t>
      </w:r>
      <w:r w:rsidR="000249D5"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Оценка СН и прогноза [2, раздел 2.3, с.22].</w:t>
      </w:r>
    </w:p>
    <w:p w14:paraId="47E05F98" w14:textId="77855F82" w:rsidR="00A24CE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Тропонин высокочувствительный — </w:t>
      </w:r>
      <w:r w:rsidRPr="000249D5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. Назначается при подозрении на ОКС/нестабильность [2, раздел 2.3, с.22].</w:t>
      </w:r>
    </w:p>
    <w:p w14:paraId="05C01587" w14:textId="13CD0445" w:rsidR="00A24CE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ТТГ/Т4 свободный при признаках тиреоидной дисфункции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2.3, с.22].</w:t>
      </w:r>
    </w:p>
    <w:p w14:paraId="35067E36" w14:textId="77777777" w:rsidR="00A24CE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Онкомаркеры — </w:t>
      </w:r>
      <w:r w:rsidRPr="000249D5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. Не показаны при стабильной ИБС [2, раздел 2.3, с.20–23].</w:t>
      </w:r>
    </w:p>
    <w:p w14:paraId="5524B0DD" w14:textId="77777777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Назначение инструментальных исследований</w:t>
      </w:r>
    </w:p>
    <w:p w14:paraId="0C30925D" w14:textId="77777777" w:rsidR="00A24CE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ЭКГ 12 отведений в покое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Базовый скрининг ишемии/рубца/ритма [2, раздел 2.4.1, с.23–24].</w:t>
      </w:r>
    </w:p>
    <w:p w14:paraId="3E6BA71E" w14:textId="209DA0A2" w:rsidR="00A24CE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ЭКГ во время боли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Повышает вероятность ИБС при изменениях ST [2, раздел 2.4.1, с.23–24].</w:t>
      </w:r>
    </w:p>
    <w:p w14:paraId="42F6FF9E" w14:textId="77777777" w:rsidR="00A24CE4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ЭхоКГ</w:t>
      </w:r>
      <w:proofErr w:type="spellEnd"/>
      <w:r>
        <w:rPr>
          <w:rFonts w:ascii="inter" w:eastAsia="inter" w:hAnsi="inter" w:cs="inter"/>
          <w:color w:val="000000"/>
        </w:rPr>
        <w:t xml:space="preserve"> с </w:t>
      </w:r>
      <w:proofErr w:type="spellStart"/>
      <w:r>
        <w:rPr>
          <w:rFonts w:ascii="inter" w:eastAsia="inter" w:hAnsi="inter" w:cs="inter"/>
          <w:color w:val="000000"/>
        </w:rPr>
        <w:t>допплером</w:t>
      </w:r>
      <w:proofErr w:type="spellEnd"/>
      <w:r>
        <w:rPr>
          <w:rFonts w:ascii="inter" w:eastAsia="inter" w:hAnsi="inter" w:cs="inter"/>
          <w:color w:val="000000"/>
        </w:rPr>
        <w:t xml:space="preserve">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ФВ ЛЖ, НЛС, клапаны, диастолическая функция [2, раздел 2.4.1, с.24–25].</w:t>
      </w:r>
    </w:p>
    <w:p w14:paraId="18B92273" w14:textId="5DE829CF" w:rsidR="00A24CE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Дуплексное сканирование сонных артерий — </w:t>
      </w:r>
      <w:proofErr w:type="gramStart"/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 [</w:t>
      </w:r>
      <w:proofErr w:type="gramEnd"/>
      <w:r>
        <w:rPr>
          <w:rFonts w:ascii="inter" w:eastAsia="inter" w:hAnsi="inter" w:cs="inter"/>
          <w:color w:val="000000"/>
        </w:rPr>
        <w:t>2, раздел 2.4.1, с.25–26].</w:t>
      </w:r>
    </w:p>
    <w:p w14:paraId="116B4549" w14:textId="0C8C2AF5" w:rsidR="00A24CE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Рентген грудной клетки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при нетипичных симптомах/подозрении на </w:t>
      </w:r>
      <w:r w:rsidR="006B7814">
        <w:rPr>
          <w:rFonts w:ascii="inter" w:eastAsia="inter" w:hAnsi="inter" w:cs="inter"/>
          <w:color w:val="000000"/>
        </w:rPr>
        <w:t>Х</w:t>
      </w:r>
      <w:r>
        <w:rPr>
          <w:rFonts w:ascii="inter" w:eastAsia="inter" w:hAnsi="inter" w:cs="inter"/>
          <w:color w:val="000000"/>
        </w:rPr>
        <w:t>СН [2, раздел 2.4.1, с.26].</w:t>
      </w:r>
    </w:p>
    <w:p w14:paraId="501121B4" w14:textId="77777777" w:rsidR="00A24CE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Стресс‑визуализация (стресс‑Эхо или </w:t>
      </w:r>
      <w:proofErr w:type="spellStart"/>
      <w:r>
        <w:rPr>
          <w:rFonts w:ascii="inter" w:eastAsia="inter" w:hAnsi="inter" w:cs="inter"/>
          <w:color w:val="000000"/>
        </w:rPr>
        <w:t>перфузионная</w:t>
      </w:r>
      <w:proofErr w:type="spellEnd"/>
      <w:r>
        <w:rPr>
          <w:rFonts w:ascii="inter" w:eastAsia="inter" w:hAnsi="inter" w:cs="inter"/>
          <w:color w:val="000000"/>
        </w:rPr>
        <w:t xml:space="preserve"> ОФЭКТ/ПЭТ/МРТ)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как первый специфический метод при ПТВ &gt;15% для подтверждения ишемии и стратификации [2, раздел 2.4.1, с.30–36].</w:t>
      </w:r>
    </w:p>
    <w:p w14:paraId="3C46D720" w14:textId="7BFD8671" w:rsidR="00A24CE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МСКТ‑КАГ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как альтернатива стресс‑визуализации; допустимо как второй метод при сомнительных стресс‑тестах [2, раздел 2.4.1, с.31–35].</w:t>
      </w:r>
    </w:p>
    <w:p w14:paraId="04B7AD36" w14:textId="717C1CE7" w:rsidR="00A24CE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Нагрузочная ЭКГ без визуализации — </w:t>
      </w:r>
      <w:r w:rsidRPr="000249D5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при недоступности визуализирующих методов, с ограничениями по диагностике [2, раздел 2.4.1, с.32–33].</w:t>
      </w:r>
    </w:p>
    <w:p w14:paraId="157CA824" w14:textId="481B84FA" w:rsidR="00A24CE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Инвазивная КАГ— </w:t>
      </w:r>
      <w:r w:rsidRPr="000249D5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 xml:space="preserve"> на этом этапе при ФК II и без признаков высокого риска; показана при тяжелых симптомах/высоком риске/неубедительных неинвазивных тестах [2, раздел 2.4.2, с.39–41].</w:t>
      </w:r>
    </w:p>
    <w:p w14:paraId="6A4B3768" w14:textId="77777777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Оценка данных лабораторных исследований (пример результатов пациента)</w:t>
      </w:r>
    </w:p>
    <w:p w14:paraId="629971D0" w14:textId="1B80946A" w:rsidR="00A24CE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ОАК: </w:t>
      </w:r>
      <w:proofErr w:type="spellStart"/>
      <w:r>
        <w:rPr>
          <w:rFonts w:ascii="inter" w:eastAsia="inter" w:hAnsi="inter" w:cs="inter"/>
          <w:color w:val="000000"/>
        </w:rPr>
        <w:t>Hb</w:t>
      </w:r>
      <w:proofErr w:type="spellEnd"/>
      <w:r>
        <w:rPr>
          <w:rFonts w:ascii="inter" w:eastAsia="inter" w:hAnsi="inter" w:cs="inter"/>
          <w:color w:val="000000"/>
        </w:rPr>
        <w:t xml:space="preserve"> 13.6 г/</w:t>
      </w:r>
      <w:proofErr w:type="spellStart"/>
      <w:r>
        <w:rPr>
          <w:rFonts w:ascii="inter" w:eastAsia="inter" w:hAnsi="inter" w:cs="inter"/>
          <w:color w:val="000000"/>
        </w:rPr>
        <w:t>дл</w:t>
      </w:r>
      <w:proofErr w:type="spellEnd"/>
      <w:r>
        <w:rPr>
          <w:rFonts w:ascii="inter" w:eastAsia="inter" w:hAnsi="inter" w:cs="inter"/>
          <w:color w:val="000000"/>
        </w:rPr>
        <w:t xml:space="preserve">, лейкоциты 6.5×10^9/л, тромбоциты 240×10^9/л — </w:t>
      </w:r>
      <w:r w:rsidR="006B7814">
        <w:rPr>
          <w:rFonts w:ascii="inter" w:eastAsia="inter" w:hAnsi="inter" w:cs="inter"/>
          <w:color w:val="000000"/>
        </w:rPr>
        <w:t>нет</w:t>
      </w:r>
      <w:r>
        <w:rPr>
          <w:rFonts w:ascii="inter" w:eastAsia="inter" w:hAnsi="inter" w:cs="inter"/>
          <w:color w:val="000000"/>
        </w:rPr>
        <w:t xml:space="preserve"> анемии [2, раздел 2.3, с.20–21].</w:t>
      </w:r>
    </w:p>
    <w:p w14:paraId="33B01B05" w14:textId="7C3DB7A9" w:rsidR="00A24CE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Биохимия: креатинин 1.2 мг/</w:t>
      </w:r>
      <w:proofErr w:type="spellStart"/>
      <w:r>
        <w:rPr>
          <w:rFonts w:ascii="inter" w:eastAsia="inter" w:hAnsi="inter" w:cs="inter"/>
          <w:color w:val="000000"/>
        </w:rPr>
        <w:t>дл</w:t>
      </w:r>
      <w:proofErr w:type="spellEnd"/>
      <w:r>
        <w:rPr>
          <w:rFonts w:ascii="inter" w:eastAsia="inter" w:hAnsi="inter" w:cs="inter"/>
          <w:color w:val="000000"/>
        </w:rPr>
        <w:t xml:space="preserve">, СКФ 68 мл/мин/1.73м2; АЛТ/АСТ </w:t>
      </w:r>
      <w:r w:rsidR="006B7814">
        <w:rPr>
          <w:rFonts w:ascii="inter" w:eastAsia="inter" w:hAnsi="inter" w:cs="inter"/>
          <w:color w:val="000000"/>
        </w:rPr>
        <w:t>– в норме</w:t>
      </w:r>
      <w:r>
        <w:rPr>
          <w:rFonts w:ascii="inter" w:eastAsia="inter" w:hAnsi="inter" w:cs="inter"/>
          <w:color w:val="000000"/>
        </w:rPr>
        <w:t xml:space="preserve"> [2, раздел 2.3, с.21, 23].</w:t>
      </w:r>
    </w:p>
    <w:p w14:paraId="06095C39" w14:textId="0B545F5F" w:rsidR="00A24CE4" w:rsidRDefault="00000000">
      <w:pPr>
        <w:numPr>
          <w:ilvl w:val="0"/>
          <w:numId w:val="8"/>
        </w:numPr>
        <w:spacing w:before="105" w:after="105" w:line="360" w:lineRule="auto"/>
      </w:pPr>
      <w:bookmarkStart w:id="0" w:name="OLE_LINK3"/>
      <w:r>
        <w:rPr>
          <w:rFonts w:ascii="inter" w:eastAsia="inter" w:hAnsi="inter" w:cs="inter"/>
          <w:color w:val="000000"/>
        </w:rPr>
        <w:t xml:space="preserve">Липиды: ОХС </w:t>
      </w:r>
      <w:r w:rsidR="005C7F81">
        <w:rPr>
          <w:rFonts w:ascii="inter" w:eastAsia="inter" w:hAnsi="inter" w:cs="inter"/>
          <w:color w:val="000000"/>
        </w:rPr>
        <w:t>5,9 ммоль</w:t>
      </w:r>
      <w:r w:rsidR="005C7F81" w:rsidRPr="005C7F81">
        <w:rPr>
          <w:rFonts w:ascii="inter" w:eastAsia="inter" w:hAnsi="inter" w:cs="inter"/>
          <w:color w:val="000000"/>
        </w:rPr>
        <w:t>/</w:t>
      </w:r>
      <w:r w:rsidR="005C7F81">
        <w:rPr>
          <w:rFonts w:ascii="inter" w:eastAsia="inter" w:hAnsi="inter" w:cs="inter"/>
          <w:color w:val="000000"/>
        </w:rPr>
        <w:t>л</w:t>
      </w:r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ХсЛНП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5C7F81">
        <w:rPr>
          <w:rFonts w:ascii="inter" w:eastAsia="inter" w:hAnsi="inter" w:cs="inter"/>
          <w:color w:val="000000"/>
        </w:rPr>
        <w:t>3,41 ммоль</w:t>
      </w:r>
      <w:r w:rsidR="005C7F81" w:rsidRPr="005C7F81">
        <w:rPr>
          <w:rFonts w:ascii="inter" w:eastAsia="inter" w:hAnsi="inter" w:cs="inter"/>
          <w:color w:val="000000"/>
        </w:rPr>
        <w:t>/</w:t>
      </w:r>
      <w:r w:rsidR="005C7F81">
        <w:rPr>
          <w:rFonts w:ascii="inter" w:eastAsia="inter" w:hAnsi="inter" w:cs="inter"/>
          <w:color w:val="000000"/>
        </w:rPr>
        <w:t>л</w:t>
      </w:r>
      <w:r>
        <w:rPr>
          <w:rFonts w:ascii="inter" w:eastAsia="inter" w:hAnsi="inter" w:cs="inter"/>
          <w:color w:val="000000"/>
        </w:rPr>
        <w:t xml:space="preserve">, ТГ </w:t>
      </w:r>
      <w:r w:rsidR="005C7F81">
        <w:rPr>
          <w:rFonts w:ascii="inter" w:eastAsia="inter" w:hAnsi="inter" w:cs="inter"/>
          <w:color w:val="000000"/>
        </w:rPr>
        <w:t>2,71 ммоль</w:t>
      </w:r>
      <w:r w:rsidR="005C7F81" w:rsidRPr="005C7F81">
        <w:rPr>
          <w:rFonts w:ascii="inter" w:eastAsia="inter" w:hAnsi="inter" w:cs="inter"/>
          <w:color w:val="000000"/>
        </w:rPr>
        <w:t>/</w:t>
      </w:r>
      <w:r w:rsidR="005C7F81">
        <w:rPr>
          <w:rFonts w:ascii="inter" w:eastAsia="inter" w:hAnsi="inter" w:cs="inter"/>
          <w:color w:val="000000"/>
        </w:rPr>
        <w:t>л</w:t>
      </w:r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ХсЛВП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5C7F81">
        <w:rPr>
          <w:rFonts w:ascii="inter" w:eastAsia="inter" w:hAnsi="inter" w:cs="inter"/>
          <w:color w:val="000000"/>
        </w:rPr>
        <w:t>0,98 ммоль</w:t>
      </w:r>
      <w:r w:rsidR="005C7F81" w:rsidRPr="005C7F81">
        <w:rPr>
          <w:rFonts w:ascii="inter" w:eastAsia="inter" w:hAnsi="inter" w:cs="inter"/>
          <w:color w:val="000000"/>
        </w:rPr>
        <w:t>/</w:t>
      </w:r>
      <w:r w:rsidR="005C7F81">
        <w:rPr>
          <w:rFonts w:ascii="inter" w:eastAsia="inter" w:hAnsi="inter" w:cs="inter"/>
          <w:color w:val="000000"/>
        </w:rPr>
        <w:t>л</w:t>
      </w:r>
      <w:r>
        <w:rPr>
          <w:rFonts w:ascii="inter" w:eastAsia="inter" w:hAnsi="inter" w:cs="inter"/>
          <w:color w:val="000000"/>
        </w:rPr>
        <w:t xml:space="preserve">; </w:t>
      </w:r>
      <w:proofErr w:type="spellStart"/>
      <w:r>
        <w:rPr>
          <w:rFonts w:ascii="inter" w:eastAsia="inter" w:hAnsi="inter" w:cs="inter"/>
          <w:color w:val="000000"/>
        </w:rPr>
        <w:t>non</w:t>
      </w:r>
      <w:proofErr w:type="spellEnd"/>
      <w:r>
        <w:rPr>
          <w:rFonts w:ascii="inter" w:eastAsia="inter" w:hAnsi="inter" w:cs="inter"/>
          <w:color w:val="000000"/>
        </w:rPr>
        <w:t xml:space="preserve">‑HDL </w:t>
      </w:r>
      <w:r w:rsidR="005C7F81">
        <w:rPr>
          <w:rFonts w:ascii="inter" w:eastAsia="inter" w:hAnsi="inter" w:cs="inter"/>
          <w:color w:val="000000"/>
        </w:rPr>
        <w:t>4,91 ммоль</w:t>
      </w:r>
      <w:r w:rsidR="005C7F81" w:rsidRPr="005C7F81">
        <w:rPr>
          <w:rFonts w:ascii="inter" w:eastAsia="inter" w:hAnsi="inter" w:cs="inter"/>
          <w:color w:val="000000"/>
        </w:rPr>
        <w:t>/</w:t>
      </w:r>
      <w:r w:rsidR="005C7F81">
        <w:rPr>
          <w:rFonts w:ascii="inter" w:eastAsia="inter" w:hAnsi="inter" w:cs="inter"/>
          <w:color w:val="000000"/>
        </w:rPr>
        <w:t xml:space="preserve">л </w:t>
      </w:r>
      <w:r>
        <w:rPr>
          <w:rFonts w:ascii="inter" w:eastAsia="inter" w:hAnsi="inter" w:cs="inter"/>
          <w:color w:val="000000"/>
        </w:rPr>
        <w:t>— высокий риск, цель ЛНП &lt;1.4 ммоль/л (&lt;55 мг/</w:t>
      </w:r>
      <w:proofErr w:type="spellStart"/>
      <w:r>
        <w:rPr>
          <w:rFonts w:ascii="inter" w:eastAsia="inter" w:hAnsi="inter" w:cs="inter"/>
          <w:color w:val="000000"/>
        </w:rPr>
        <w:t>дл</w:t>
      </w:r>
      <w:proofErr w:type="spellEnd"/>
      <w:r>
        <w:rPr>
          <w:rFonts w:ascii="inter" w:eastAsia="inter" w:hAnsi="inter" w:cs="inter"/>
          <w:color w:val="000000"/>
        </w:rPr>
        <w:t>) и −50% от исходного</w:t>
      </w:r>
      <w:bookmarkEnd w:id="0"/>
      <w:r w:rsidRPr="005C7F81">
        <w:rPr>
          <w:rFonts w:ascii="inter" w:eastAsia="inter" w:hAnsi="inter" w:cs="inter"/>
          <w:color w:val="000000"/>
          <w:lang/>
        </w:rPr>
        <w:t xml:space="preserve"> </w:t>
      </w:r>
      <w:r>
        <w:rPr>
          <w:rFonts w:ascii="inter" w:eastAsia="inter" w:hAnsi="inter" w:cs="inter"/>
          <w:color w:val="000000"/>
        </w:rPr>
        <w:t>[2, раздел 3 «Гиполипидемическая терапия», с.61–63].</w:t>
      </w:r>
    </w:p>
    <w:p w14:paraId="30239C2C" w14:textId="77777777" w:rsidR="00A24CE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Глюкоза натощак 153 мг/</w:t>
      </w:r>
      <w:proofErr w:type="spellStart"/>
      <w:r>
        <w:rPr>
          <w:rFonts w:ascii="inter" w:eastAsia="inter" w:hAnsi="inter" w:cs="inter"/>
          <w:color w:val="000000"/>
        </w:rPr>
        <w:t>дл</w:t>
      </w:r>
      <w:proofErr w:type="spellEnd"/>
      <w:r>
        <w:rPr>
          <w:rFonts w:ascii="inter" w:eastAsia="inter" w:hAnsi="inter" w:cs="inter"/>
          <w:color w:val="000000"/>
        </w:rPr>
        <w:t>, HbA1c 7.8% — недостаточный гликемический контроль [2, раздел 2.3, с.21–22].</w:t>
      </w:r>
    </w:p>
    <w:p w14:paraId="612B16EE" w14:textId="77777777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Оценка данных инструментальных исследований (пример)</w:t>
      </w:r>
    </w:p>
    <w:p w14:paraId="4D1B8539" w14:textId="7CDA1189" w:rsidR="00A24CE4" w:rsidRPr="005C7F8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ЭКГ: синусовый ритм; признаков острой ишемии нет; патологических Q нет </w:t>
      </w:r>
    </w:p>
    <w:p w14:paraId="3527268F" w14:textId="77777777" w:rsidR="005C7F81" w:rsidRPr="005C7F81" w:rsidRDefault="005C7F81" w:rsidP="005C7F81">
      <w:pPr>
        <w:spacing w:before="105" w:after="105" w:line="360" w:lineRule="auto"/>
        <w:rPr>
          <w:lang/>
        </w:rPr>
      </w:pPr>
    </w:p>
    <w:p w14:paraId="7339DE63" w14:textId="31E83DAC" w:rsidR="000249D5" w:rsidRDefault="000249D5" w:rsidP="000249D5">
      <w:pPr>
        <w:spacing w:before="105" w:after="105" w:line="360" w:lineRule="auto"/>
        <w:ind w:left="180"/>
      </w:pPr>
      <w:r w:rsidRPr="000249D5">
        <w:rPr>
          <w:noProof/>
        </w:rPr>
        <w:drawing>
          <wp:inline distT="0" distB="0" distL="0" distR="0" wp14:anchorId="3592B133" wp14:editId="7ABE3558">
            <wp:extent cx="5493842" cy="3670649"/>
            <wp:effectExtent l="0" t="0" r="5715" b="0"/>
            <wp:docPr id="58126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62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452" cy="369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B09A" w14:textId="77777777" w:rsidR="00A24CE4" w:rsidRDefault="00000000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ЭхоКГ</w:t>
      </w:r>
      <w:proofErr w:type="spellEnd"/>
      <w:r>
        <w:rPr>
          <w:rFonts w:ascii="inter" w:eastAsia="inter" w:hAnsi="inter" w:cs="inter"/>
          <w:color w:val="000000"/>
        </w:rPr>
        <w:t>: ФВ ЛЖ 55%, локальных нарушений сократимости нет; диастолическая дисфункция I типа; клапанная патология незначимая [2, раздел 2.4.1, с.24–25].</w:t>
      </w:r>
    </w:p>
    <w:p w14:paraId="34CDD611" w14:textId="77777777" w:rsidR="00A24CE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Стресс‑</w:t>
      </w:r>
      <w:proofErr w:type="spellStart"/>
      <w:r>
        <w:rPr>
          <w:rFonts w:ascii="inter" w:eastAsia="inter" w:hAnsi="inter" w:cs="inter"/>
          <w:color w:val="000000"/>
        </w:rPr>
        <w:t>ЭхоКГ</w:t>
      </w:r>
      <w:proofErr w:type="spellEnd"/>
      <w:r>
        <w:rPr>
          <w:rFonts w:ascii="inter" w:eastAsia="inter" w:hAnsi="inter" w:cs="inter"/>
          <w:color w:val="000000"/>
        </w:rPr>
        <w:t xml:space="preserve"> с </w:t>
      </w:r>
      <w:proofErr w:type="spellStart"/>
      <w:r>
        <w:rPr>
          <w:rFonts w:ascii="inter" w:eastAsia="inter" w:hAnsi="inter" w:cs="inter"/>
          <w:color w:val="000000"/>
        </w:rPr>
        <w:t>добутамином</w:t>
      </w:r>
      <w:proofErr w:type="spellEnd"/>
      <w:r>
        <w:rPr>
          <w:rFonts w:ascii="inter" w:eastAsia="inter" w:hAnsi="inter" w:cs="inter"/>
          <w:color w:val="000000"/>
        </w:rPr>
        <w:t xml:space="preserve">: индуцируемая гипокинезия в </w:t>
      </w:r>
      <w:proofErr w:type="spellStart"/>
      <w:r>
        <w:rPr>
          <w:rFonts w:ascii="inter" w:eastAsia="inter" w:hAnsi="inter" w:cs="inter"/>
          <w:color w:val="000000"/>
        </w:rPr>
        <w:t>передне</w:t>
      </w:r>
      <w:proofErr w:type="spellEnd"/>
      <w:r>
        <w:rPr>
          <w:rFonts w:ascii="inter" w:eastAsia="inter" w:hAnsi="inter" w:cs="inter"/>
          <w:color w:val="000000"/>
        </w:rPr>
        <w:t>‑перегородочной зоне на пике нагрузки, ограниченная зона ишемии (менее 10% ЛЖ), появление типичной боли и горизонтальная депрессия ST 1 мм — положительный тест низко‑умеренного риска [2, раздел 2.4.1, с.30–36; раздел 2.5, с.43–45].</w:t>
      </w:r>
    </w:p>
    <w:p w14:paraId="4FD779F4" w14:textId="77777777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диагноз</w:t>
      </w:r>
    </w:p>
    <w:p w14:paraId="186E53A5" w14:textId="77777777" w:rsidR="00A24CE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Список вариантов (отметить верные/неверные; комментарии и ссылки):</w:t>
      </w:r>
    </w:p>
    <w:p w14:paraId="5B8B97CA" w14:textId="77777777" w:rsidR="00A24CE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Хроническая ИБС: стабильная стенокардия напряжения ФК II — </w:t>
      </w:r>
      <w:r w:rsidRPr="000249D5">
        <w:rPr>
          <w:rFonts w:ascii="inter" w:eastAsia="inter" w:hAnsi="inter" w:cs="inter"/>
          <w:color w:val="000000"/>
          <w:highlight w:val="yellow"/>
        </w:rPr>
        <w:t>верно</w:t>
      </w:r>
      <w:r>
        <w:rPr>
          <w:rFonts w:ascii="inter" w:eastAsia="inter" w:hAnsi="inter" w:cs="inter"/>
          <w:color w:val="000000"/>
        </w:rPr>
        <w:t>. Симптомы, стресс‑визуализация подтверждают ишемию [2, раздел 1.6 и 2, с.15–18, 30–36].</w:t>
      </w:r>
    </w:p>
    <w:p w14:paraId="7834B0F6" w14:textId="77777777" w:rsidR="00A24CE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Постинфарктный кардиосклероз — </w:t>
      </w:r>
      <w:r w:rsidRPr="000249D5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>. Инфаркта в анамнезе нет, ЭКГ/Эхо без рубца [2, раздел 1.5, с.13–15; раздел 2.4.1, с.24–25].</w:t>
      </w:r>
    </w:p>
    <w:p w14:paraId="1875D2D1" w14:textId="77777777" w:rsidR="00A24CE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Вазоспастическая стенокардия — </w:t>
      </w:r>
      <w:r w:rsidRPr="000249D5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 xml:space="preserve"> (см. выше) [2, раздел 3.1.3, с.65–67].</w:t>
      </w:r>
    </w:p>
    <w:p w14:paraId="7B2562BB" w14:textId="77777777" w:rsidR="00A24CE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Микрососудистая стенокардия — </w:t>
      </w:r>
      <w:r w:rsidRPr="000249D5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 xml:space="preserve"> (см. выше) [2, раздел 3.1.3, с.64–65].</w:t>
      </w:r>
    </w:p>
    <w:p w14:paraId="644992B9" w14:textId="77777777" w:rsidR="00A24CE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Сопутствующие диагнозы:</w:t>
      </w:r>
    </w:p>
    <w:p w14:paraId="758EA788" w14:textId="77777777" w:rsidR="00A24CE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Артериальная гипертензия, неконтролируемая — </w:t>
      </w:r>
      <w:r w:rsidRPr="000249D5">
        <w:rPr>
          <w:rFonts w:ascii="inter" w:eastAsia="inter" w:hAnsi="inter" w:cs="inter"/>
          <w:color w:val="000000"/>
          <w:highlight w:val="yellow"/>
        </w:rPr>
        <w:t>верно</w:t>
      </w:r>
      <w:r>
        <w:rPr>
          <w:rFonts w:ascii="inter" w:eastAsia="inter" w:hAnsi="inter" w:cs="inter"/>
          <w:color w:val="000000"/>
        </w:rPr>
        <w:t xml:space="preserve"> (АД 148/92) [2, раздел 3.1.1, с.47–49].</w:t>
      </w:r>
    </w:p>
    <w:p w14:paraId="7CBE14EC" w14:textId="77777777" w:rsidR="00A24CE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Сахарный диабет 2 типа, </w:t>
      </w:r>
      <w:proofErr w:type="spellStart"/>
      <w:r>
        <w:rPr>
          <w:rFonts w:ascii="inter" w:eastAsia="inter" w:hAnsi="inter" w:cs="inter"/>
          <w:color w:val="000000"/>
        </w:rPr>
        <w:t>субоптимальный</w:t>
      </w:r>
      <w:proofErr w:type="spellEnd"/>
      <w:r>
        <w:rPr>
          <w:rFonts w:ascii="inter" w:eastAsia="inter" w:hAnsi="inter" w:cs="inter"/>
          <w:color w:val="000000"/>
        </w:rPr>
        <w:t xml:space="preserve"> контроль — </w:t>
      </w:r>
      <w:r w:rsidRPr="000249D5">
        <w:rPr>
          <w:rFonts w:ascii="inter" w:eastAsia="inter" w:hAnsi="inter" w:cs="inter"/>
          <w:color w:val="000000"/>
          <w:highlight w:val="yellow"/>
        </w:rPr>
        <w:t>верно</w:t>
      </w:r>
      <w:r>
        <w:rPr>
          <w:rFonts w:ascii="inter" w:eastAsia="inter" w:hAnsi="inter" w:cs="inter"/>
          <w:color w:val="000000"/>
        </w:rPr>
        <w:t xml:space="preserve"> (HbA1c 7.8%) [2, раздел 3.1.1, с.48–49].</w:t>
      </w:r>
    </w:p>
    <w:p w14:paraId="23359FFE" w14:textId="77777777" w:rsidR="00A24CE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Ожирение, ИМТ 33 — </w:t>
      </w:r>
      <w:r w:rsidRPr="000249D5">
        <w:rPr>
          <w:rFonts w:ascii="inter" w:eastAsia="inter" w:hAnsi="inter" w:cs="inter"/>
          <w:color w:val="000000"/>
          <w:highlight w:val="yellow"/>
        </w:rPr>
        <w:t>верно</w:t>
      </w:r>
      <w:r>
        <w:rPr>
          <w:rFonts w:ascii="inter" w:eastAsia="inter" w:hAnsi="inter" w:cs="inter"/>
          <w:color w:val="000000"/>
        </w:rPr>
        <w:t xml:space="preserve"> [2, раздел 3.1.1, с.46–48].</w:t>
      </w:r>
    </w:p>
    <w:p w14:paraId="5B47894C" w14:textId="77777777" w:rsidR="00A24CE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Атерогенная дислипидемия — </w:t>
      </w:r>
      <w:r w:rsidRPr="000249D5">
        <w:rPr>
          <w:rFonts w:ascii="inter" w:eastAsia="inter" w:hAnsi="inter" w:cs="inter"/>
          <w:color w:val="000000"/>
          <w:highlight w:val="yellow"/>
        </w:rPr>
        <w:t>верно</w:t>
      </w:r>
      <w:r>
        <w:rPr>
          <w:rFonts w:ascii="inter" w:eastAsia="inter" w:hAnsi="inter" w:cs="inter"/>
          <w:color w:val="000000"/>
        </w:rPr>
        <w:t xml:space="preserve"> (ЛНП↑, ТГ↑, ЛВП↓) [2, раздел 2.3 и 3 «Липиды», с.21–23, 61–63].</w:t>
      </w:r>
    </w:p>
    <w:p w14:paraId="003B8440" w14:textId="7FB5BA23" w:rsidR="00A24CE4" w:rsidRPr="000249D5" w:rsidRDefault="00000000" w:rsidP="000249D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Лечени</w:t>
      </w:r>
      <w:r w:rsidR="000249D5">
        <w:rPr>
          <w:rFonts w:ascii="inter" w:eastAsia="inter" w:hAnsi="inter" w:cs="inter"/>
          <w:b/>
          <w:color w:val="000000"/>
          <w:sz w:val="24"/>
        </w:rPr>
        <w:t>е</w:t>
      </w:r>
    </w:p>
    <w:p w14:paraId="064D2BFF" w14:textId="77777777" w:rsidR="00A24CE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Нитроглицерин сублингвально для купирования приступа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Быстрый эффект, повтор через 5 мин (до 3 доз) [2, раздел 3.1.2.1, с.49–51].</w:t>
      </w:r>
    </w:p>
    <w:p w14:paraId="599D9793" w14:textId="77777777" w:rsidR="00A24CE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Бета‑блокатор (например, </w:t>
      </w:r>
      <w:proofErr w:type="spellStart"/>
      <w:r>
        <w:rPr>
          <w:rFonts w:ascii="inter" w:eastAsia="inter" w:hAnsi="inter" w:cs="inter"/>
          <w:color w:val="000000"/>
        </w:rPr>
        <w:t>бисопролол</w:t>
      </w:r>
      <w:proofErr w:type="spellEnd"/>
      <w:r>
        <w:rPr>
          <w:rFonts w:ascii="inter" w:eastAsia="inter" w:hAnsi="inter" w:cs="inter"/>
          <w:color w:val="000000"/>
        </w:rPr>
        <w:t xml:space="preserve">/метопролол) титровать до ЧСС 55–60/мин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как 1‑я линия при ФК II и ЧСС&gt;60 [2, раздел 3.1.2.1, с.50–52].</w:t>
      </w:r>
    </w:p>
    <w:p w14:paraId="0DCCC49F" w14:textId="77777777" w:rsidR="00A24CE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ДГП‑БКК (амлодипин) в комбинации при ФК II–III/сопутствующей АГ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, особенно при недостаточном контроле симптомов или для комбинации с ББ [2, раздел 3.1.2.1, с.51–52].</w:t>
      </w:r>
    </w:p>
    <w:p w14:paraId="039FCFC6" w14:textId="3A03F74F" w:rsidR="00A24CE4" w:rsidRDefault="00000000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Ивабрадин</w:t>
      </w:r>
      <w:proofErr w:type="spellEnd"/>
      <w:r>
        <w:rPr>
          <w:rFonts w:ascii="inter" w:eastAsia="inter" w:hAnsi="inter" w:cs="inter"/>
          <w:color w:val="000000"/>
        </w:rPr>
        <w:t xml:space="preserve"> при синусовом ритме и ЧСС&gt;80 при противопоказаниях к ББ </w:t>
      </w:r>
      <w:proofErr w:type="gramStart"/>
      <w:r>
        <w:rPr>
          <w:rFonts w:ascii="inter" w:eastAsia="inter" w:hAnsi="inter" w:cs="inter"/>
          <w:color w:val="000000"/>
        </w:rPr>
        <w:t xml:space="preserve">— 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proofErr w:type="gramEnd"/>
      <w:r>
        <w:rPr>
          <w:rFonts w:ascii="inter" w:eastAsia="inter" w:hAnsi="inter" w:cs="inter"/>
          <w:color w:val="000000"/>
        </w:rPr>
        <w:t xml:space="preserve"> по показаниям [2, раздел 3.1.2.1, с.52].</w:t>
      </w:r>
    </w:p>
    <w:p w14:paraId="24F28166" w14:textId="77777777" w:rsidR="00A24CE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Длительные нитраты (</w:t>
      </w:r>
      <w:proofErr w:type="spellStart"/>
      <w:r>
        <w:rPr>
          <w:rFonts w:ascii="inter" w:eastAsia="inter" w:hAnsi="inter" w:cs="inter"/>
          <w:color w:val="000000"/>
        </w:rPr>
        <w:t>изосорбид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мононитрат</w:t>
      </w:r>
      <w:proofErr w:type="spellEnd"/>
      <w:r>
        <w:rPr>
          <w:rFonts w:ascii="inter" w:eastAsia="inter" w:hAnsi="inter" w:cs="inter"/>
          <w:color w:val="000000"/>
        </w:rPr>
        <w:t xml:space="preserve">) как вторая линия, с </w:t>
      </w:r>
      <w:proofErr w:type="spellStart"/>
      <w:r>
        <w:rPr>
          <w:rFonts w:ascii="inter" w:eastAsia="inter" w:hAnsi="inter" w:cs="inter"/>
          <w:color w:val="000000"/>
        </w:rPr>
        <w:t>безнитратным</w:t>
      </w:r>
      <w:proofErr w:type="spellEnd"/>
      <w:r>
        <w:rPr>
          <w:rFonts w:ascii="inter" w:eastAsia="inter" w:hAnsi="inter" w:cs="inter"/>
          <w:color w:val="000000"/>
        </w:rPr>
        <w:t xml:space="preserve"> интервалом 10–14 ч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3.1.2.1, с.52].</w:t>
      </w:r>
    </w:p>
    <w:p w14:paraId="065AEED0" w14:textId="77777777" w:rsidR="00A24CE4" w:rsidRDefault="00000000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Ранолазин</w:t>
      </w:r>
      <w:proofErr w:type="spellEnd"/>
      <w:r>
        <w:rPr>
          <w:rFonts w:ascii="inter" w:eastAsia="inter" w:hAnsi="inter" w:cs="inter"/>
          <w:color w:val="000000"/>
        </w:rPr>
        <w:t>/триметазидин/</w:t>
      </w:r>
      <w:proofErr w:type="spellStart"/>
      <w:r>
        <w:rPr>
          <w:rFonts w:ascii="inter" w:eastAsia="inter" w:hAnsi="inter" w:cs="inter"/>
          <w:color w:val="000000"/>
        </w:rPr>
        <w:t>никорандил</w:t>
      </w:r>
      <w:proofErr w:type="spellEnd"/>
      <w:r>
        <w:rPr>
          <w:rFonts w:ascii="inter" w:eastAsia="inter" w:hAnsi="inter" w:cs="inter"/>
          <w:color w:val="000000"/>
        </w:rPr>
        <w:t xml:space="preserve"> как добавление при недостаточном контроле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3.1.2.1, с.51–52].</w:t>
      </w:r>
    </w:p>
    <w:p w14:paraId="69886359" w14:textId="77777777" w:rsidR="00A24CE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Комбинация ББ с верапамилом/дилтиаземом — неправильно (риск </w:t>
      </w:r>
      <w:proofErr w:type="spellStart"/>
      <w:r>
        <w:rPr>
          <w:rFonts w:ascii="inter" w:eastAsia="inter" w:hAnsi="inter" w:cs="inter"/>
          <w:color w:val="000000"/>
        </w:rPr>
        <w:t>бради</w:t>
      </w:r>
      <w:proofErr w:type="spellEnd"/>
      <w:r>
        <w:rPr>
          <w:rFonts w:ascii="inter" w:eastAsia="inter" w:hAnsi="inter" w:cs="inter"/>
          <w:color w:val="000000"/>
        </w:rPr>
        <w:t xml:space="preserve">/AV‑блока), избегать, кроме редких случаев под мониторингом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 xml:space="preserve"> как рутина [2, раздел 3.1.2.1, с.51–52].</w:t>
      </w:r>
    </w:p>
    <w:p w14:paraId="3058399B" w14:textId="4404C071" w:rsidR="00A24CE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Профилактика:</w:t>
      </w:r>
    </w:p>
    <w:p w14:paraId="43A6B4D8" w14:textId="77777777" w:rsidR="00A24CE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АСК 75–100 мг/</w:t>
      </w:r>
      <w:proofErr w:type="spellStart"/>
      <w:r>
        <w:rPr>
          <w:rFonts w:ascii="inter" w:eastAsia="inter" w:hAnsi="inter" w:cs="inter"/>
          <w:color w:val="000000"/>
        </w:rPr>
        <w:t>сут</w:t>
      </w:r>
      <w:proofErr w:type="spellEnd"/>
      <w:r>
        <w:rPr>
          <w:rFonts w:ascii="inter" w:eastAsia="inter" w:hAnsi="inter" w:cs="inter"/>
          <w:color w:val="000000"/>
        </w:rPr>
        <w:t xml:space="preserve">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, при подтвержденной ИБС и отсутствии противопоказаний [2, раздел 3.1.2.2 «Антитромботическая терапия», с.53–55].</w:t>
      </w:r>
    </w:p>
    <w:p w14:paraId="6D748B85" w14:textId="77777777" w:rsidR="00A24CE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При непереносимости АСК — клопидогрел 75 мг/</w:t>
      </w:r>
      <w:proofErr w:type="spellStart"/>
      <w:r>
        <w:rPr>
          <w:rFonts w:ascii="inter" w:eastAsia="inter" w:hAnsi="inter" w:cs="inter"/>
          <w:color w:val="000000"/>
        </w:rPr>
        <w:t>сут</w:t>
      </w:r>
      <w:proofErr w:type="spellEnd"/>
      <w:r>
        <w:rPr>
          <w:rFonts w:ascii="inter" w:eastAsia="inter" w:hAnsi="inter" w:cs="inter"/>
          <w:color w:val="000000"/>
        </w:rPr>
        <w:t xml:space="preserve"> — </w:t>
      </w:r>
      <w:r w:rsidRPr="00513D9C">
        <w:rPr>
          <w:rFonts w:ascii="inter" w:eastAsia="inter" w:hAnsi="inter" w:cs="inter"/>
          <w:b/>
          <w:bCs/>
          <w:color w:val="000000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3.1.2.2, с.53–54].</w:t>
      </w:r>
    </w:p>
    <w:p w14:paraId="2B197157" w14:textId="7A0DAB25" w:rsidR="00A24CE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Двойная антитромботическая терапия (</w:t>
      </w:r>
      <w:proofErr w:type="spellStart"/>
      <w:r>
        <w:rPr>
          <w:rFonts w:ascii="inter" w:eastAsia="inter" w:hAnsi="inter" w:cs="inter"/>
          <w:color w:val="000000"/>
        </w:rPr>
        <w:t>АСК+тикагрелор</w:t>
      </w:r>
      <w:proofErr w:type="spellEnd"/>
      <w:r>
        <w:rPr>
          <w:rFonts w:ascii="inter" w:eastAsia="inter" w:hAnsi="inter" w:cs="inter"/>
          <w:color w:val="000000"/>
        </w:rPr>
        <w:t xml:space="preserve"> 60×2 или </w:t>
      </w:r>
      <w:proofErr w:type="spellStart"/>
      <w:r>
        <w:rPr>
          <w:rFonts w:ascii="inter" w:eastAsia="inter" w:hAnsi="inter" w:cs="inter"/>
          <w:color w:val="000000"/>
        </w:rPr>
        <w:t>АСК+ривароксабан</w:t>
      </w:r>
      <w:proofErr w:type="spellEnd"/>
      <w:r>
        <w:rPr>
          <w:rFonts w:ascii="inter" w:eastAsia="inter" w:hAnsi="inter" w:cs="inter"/>
          <w:color w:val="000000"/>
        </w:rPr>
        <w:t xml:space="preserve"> 2.5×2) —при данной небольшой ишемической нагрузке без ЧКВ — как правило, не показана — </w:t>
      </w:r>
      <w:proofErr w:type="gramStart"/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 xml:space="preserve">  [</w:t>
      </w:r>
      <w:proofErr w:type="gramEnd"/>
      <w:r>
        <w:rPr>
          <w:rFonts w:ascii="inter" w:eastAsia="inter" w:hAnsi="inter" w:cs="inter"/>
          <w:color w:val="000000"/>
        </w:rPr>
        <w:t>2, раздел 3.1.2.2, с.54–56].</w:t>
      </w:r>
    </w:p>
    <w:p w14:paraId="0A1DF265" w14:textId="77777777" w:rsidR="00A24CE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Высокоинтенсивный статин с целью ЛНП &lt;1.4 ммоль/л и −50%: </w:t>
      </w:r>
      <w:proofErr w:type="spellStart"/>
      <w:r>
        <w:rPr>
          <w:rFonts w:ascii="inter" w:eastAsia="inter" w:hAnsi="inter" w:cs="inter"/>
          <w:color w:val="000000"/>
        </w:rPr>
        <w:t>розувастатин</w:t>
      </w:r>
      <w:proofErr w:type="spellEnd"/>
      <w:r>
        <w:rPr>
          <w:rFonts w:ascii="inter" w:eastAsia="inter" w:hAnsi="inter" w:cs="inter"/>
          <w:color w:val="000000"/>
        </w:rPr>
        <w:t xml:space="preserve"> 20–40 мг или </w:t>
      </w:r>
      <w:proofErr w:type="spellStart"/>
      <w:r>
        <w:rPr>
          <w:rFonts w:ascii="inter" w:eastAsia="inter" w:hAnsi="inter" w:cs="inter"/>
          <w:color w:val="000000"/>
        </w:rPr>
        <w:t>аторвастатин</w:t>
      </w:r>
      <w:proofErr w:type="spellEnd"/>
      <w:r>
        <w:rPr>
          <w:rFonts w:ascii="inter" w:eastAsia="inter" w:hAnsi="inter" w:cs="inter"/>
          <w:color w:val="000000"/>
        </w:rPr>
        <w:t xml:space="preserve"> 40–80 мг; при недостижении цели — добавить </w:t>
      </w:r>
      <w:proofErr w:type="spellStart"/>
      <w:r>
        <w:rPr>
          <w:rFonts w:ascii="inter" w:eastAsia="inter" w:hAnsi="inter" w:cs="inter"/>
          <w:color w:val="000000"/>
        </w:rPr>
        <w:t>эзетимиб</w:t>
      </w:r>
      <w:proofErr w:type="spellEnd"/>
      <w:r>
        <w:rPr>
          <w:rFonts w:ascii="inter" w:eastAsia="inter" w:hAnsi="inter" w:cs="inter"/>
          <w:color w:val="000000"/>
        </w:rPr>
        <w:t xml:space="preserve">; при дальнейшем недостижении — ингибитор PCSK9/инклисиран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«Гиполипидемическая терапия», с.61–63].</w:t>
      </w:r>
    </w:p>
    <w:p w14:paraId="39E8D3B9" w14:textId="77777777" w:rsidR="00A24CE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Коррекция ТГ: при ТГ 1.7–2.3 ммоль/л — добавить омега‑3 этил‑эфиры до 2 г×2; при ТГ&gt;2.3 — </w:t>
      </w:r>
      <w:proofErr w:type="spellStart"/>
      <w:r>
        <w:rPr>
          <w:rFonts w:ascii="inter" w:eastAsia="inter" w:hAnsi="inter" w:cs="inter"/>
          <w:color w:val="000000"/>
        </w:rPr>
        <w:t>фенофибрат</w:t>
      </w:r>
      <w:proofErr w:type="spellEnd"/>
      <w:r>
        <w:rPr>
          <w:rFonts w:ascii="inter" w:eastAsia="inter" w:hAnsi="inter" w:cs="inter"/>
          <w:color w:val="000000"/>
        </w:rPr>
        <w:t xml:space="preserve"> или омега‑3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«Липиды», с.62–63].</w:t>
      </w:r>
    </w:p>
    <w:p w14:paraId="340F418A" w14:textId="77777777" w:rsidR="00A24CE4" w:rsidRDefault="00000000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иАПФ</w:t>
      </w:r>
      <w:proofErr w:type="spellEnd"/>
      <w:r>
        <w:rPr>
          <w:rFonts w:ascii="inter" w:eastAsia="inter" w:hAnsi="inter" w:cs="inter"/>
          <w:color w:val="000000"/>
        </w:rPr>
        <w:t xml:space="preserve">/БРА у пациентов с ИБС+АГ/СД/ХБП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(например, </w:t>
      </w:r>
      <w:proofErr w:type="spellStart"/>
      <w:r>
        <w:rPr>
          <w:rFonts w:ascii="inter" w:eastAsia="inter" w:hAnsi="inter" w:cs="inter"/>
          <w:color w:val="000000"/>
        </w:rPr>
        <w:t>периндоприл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рамиприл</w:t>
      </w:r>
      <w:proofErr w:type="spellEnd"/>
      <w:r>
        <w:rPr>
          <w:rFonts w:ascii="inter" w:eastAsia="inter" w:hAnsi="inter" w:cs="inter"/>
          <w:color w:val="000000"/>
        </w:rPr>
        <w:t>; при непереносимости — БРА) [2, раздел «Другая медикаментозная терапия», с.63–64].</w:t>
      </w:r>
    </w:p>
    <w:p w14:paraId="48522319" w14:textId="77777777" w:rsidR="00A24CE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Антагонисты альдостерона после ИМ при ФВ≤35% — в данном случае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 xml:space="preserve"> (ИМ не было, ФВ 55%) [2, раздел 3.1.2.2, с.63–64].</w:t>
      </w:r>
    </w:p>
    <w:p w14:paraId="1219595D" w14:textId="72F3C4ED" w:rsidR="00A24CE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АГ/ЧСС/СД и модификация </w:t>
      </w:r>
      <w:r w:rsidR="006B7814">
        <w:rPr>
          <w:rFonts w:ascii="inter" w:eastAsia="inter" w:hAnsi="inter" w:cs="inter"/>
          <w:color w:val="000000"/>
        </w:rPr>
        <w:t>факторов риска</w:t>
      </w:r>
      <w:r>
        <w:rPr>
          <w:rFonts w:ascii="inter" w:eastAsia="inter" w:hAnsi="inter" w:cs="inter"/>
          <w:color w:val="000000"/>
        </w:rPr>
        <w:t>:</w:t>
      </w:r>
    </w:p>
    <w:p w14:paraId="7186121C" w14:textId="6C415208" w:rsidR="00A24CE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Целевое АД: первично &lt;140/90; при переносимости &lt;130/80 до 64 лет; в ≥65 лет 130–139/80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; усилить антигипертензивную терапию (ББ+АМЛ+БРА/</w:t>
      </w:r>
      <w:proofErr w:type="spellStart"/>
      <w:r>
        <w:rPr>
          <w:rFonts w:ascii="inter" w:eastAsia="inter" w:hAnsi="inter" w:cs="inter"/>
          <w:color w:val="000000"/>
        </w:rPr>
        <w:t>иАПФ</w:t>
      </w:r>
      <w:proofErr w:type="spellEnd"/>
      <w:r>
        <w:rPr>
          <w:rFonts w:ascii="inter" w:eastAsia="inter" w:hAnsi="inter" w:cs="inter"/>
          <w:color w:val="000000"/>
        </w:rPr>
        <w:t xml:space="preserve"> с добавлением тиазид</w:t>
      </w:r>
      <w:r w:rsidR="006B7814">
        <w:rPr>
          <w:rFonts w:ascii="inter" w:eastAsia="inter" w:hAnsi="inter" w:cs="inter"/>
          <w:color w:val="000000"/>
        </w:rPr>
        <w:t>ных диуретиков</w:t>
      </w:r>
      <w:r>
        <w:rPr>
          <w:rFonts w:ascii="inter" w:eastAsia="inter" w:hAnsi="inter" w:cs="inter"/>
          <w:color w:val="000000"/>
        </w:rPr>
        <w:t xml:space="preserve"> при необходимости) — </w:t>
      </w:r>
      <w:r w:rsidRPr="006B7814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3.1.1, с.47–49].</w:t>
      </w:r>
    </w:p>
    <w:p w14:paraId="3F71A765" w14:textId="77777777" w:rsidR="00A24CE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СД2: усилить терапию с учетом кардио‑пользы: добавить SGLT2‑ингибитор (</w:t>
      </w:r>
      <w:proofErr w:type="spellStart"/>
      <w:r>
        <w:rPr>
          <w:rFonts w:ascii="inter" w:eastAsia="inter" w:hAnsi="inter" w:cs="inter"/>
          <w:color w:val="000000"/>
        </w:rPr>
        <w:t>эмпаглифлозин</w:t>
      </w:r>
      <w:proofErr w:type="spellEnd"/>
      <w:r>
        <w:rPr>
          <w:rFonts w:ascii="inter" w:eastAsia="inter" w:hAnsi="inter" w:cs="inter"/>
          <w:color w:val="000000"/>
        </w:rPr>
        <w:t xml:space="preserve">/дапаглифлозин) и/или аГПП‑1 при СД2 и ИБС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3.1.1, с.48–49].</w:t>
      </w:r>
    </w:p>
    <w:p w14:paraId="062FA4D6" w14:textId="77777777" w:rsidR="00A24CE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Снижение массы тела, диета с ограничением насыщенных жиров/соли, регулярная физическая активность 150 мин/</w:t>
      </w:r>
      <w:proofErr w:type="spellStart"/>
      <w:r>
        <w:rPr>
          <w:rFonts w:ascii="inter" w:eastAsia="inter" w:hAnsi="inter" w:cs="inter"/>
          <w:color w:val="000000"/>
        </w:rPr>
        <w:t>нед</w:t>
      </w:r>
      <w:proofErr w:type="spellEnd"/>
      <w:r>
        <w:rPr>
          <w:rFonts w:ascii="inter" w:eastAsia="inter" w:hAnsi="inter" w:cs="inter"/>
          <w:color w:val="000000"/>
        </w:rPr>
        <w:t xml:space="preserve">.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3.1.1, с.46–48].</w:t>
      </w:r>
    </w:p>
    <w:p w14:paraId="6CD362BB" w14:textId="77777777" w:rsidR="00A24CE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Отказ от курения, вакцинация от гриппа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3.1.1, с.47–48].</w:t>
      </w:r>
    </w:p>
    <w:p w14:paraId="047F9A98" w14:textId="77777777" w:rsidR="00A24CE4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Реваскуляризация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E5A7A08" w14:textId="77777777" w:rsidR="00A24CE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Показана для улучшения прогноза при стволе ЛКА&gt;50%, проксимальной ПНА&gt;50%, 2–3‑сосудистом поражении с ФВ≤35%, ишемии &gt;10% ЛЖ или ФРК≤0.80/МРК≤0.89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верно</w:t>
      </w:r>
      <w:r>
        <w:rPr>
          <w:rFonts w:ascii="inter" w:eastAsia="inter" w:hAnsi="inter" w:cs="inter"/>
          <w:color w:val="000000"/>
        </w:rPr>
        <w:t xml:space="preserve"> (класс I) [2, раздел 3.2.1, с.66–78].</w:t>
      </w:r>
    </w:p>
    <w:p w14:paraId="60086350" w14:textId="177BDF86" w:rsidR="00A24CE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В данном случае ( ФВ 55%, ФК II, контролируемые симптомы на терапии) — немедленная инвазивная тактика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>; предпочтительна оптимальная медикаментозная терапия с оценкой динамики [2, раздел 2.5, с.43–46; раздел 3.2.1, с.66–78].</w:t>
      </w:r>
    </w:p>
    <w:p w14:paraId="3CD6EF2C" w14:textId="77777777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Диспансеризация (план наблюдения)</w:t>
      </w:r>
    </w:p>
    <w:p w14:paraId="1CA22F2C" w14:textId="77777777" w:rsidR="00A24CE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Варианты (верные/неверные) с комментариями и ссылками:</w:t>
      </w:r>
    </w:p>
    <w:p w14:paraId="14F869B4" w14:textId="77777777" w:rsidR="00A24CE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Осмотр терапевтом/кардиологом не реже 2 раз в год с контрольными анализами (ОАК, биохимия, липиды, глюкоза)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5, с.81–83].</w:t>
      </w:r>
    </w:p>
    <w:p w14:paraId="18FBD325" w14:textId="77777777" w:rsidR="00A24CE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ЭКГ в покое ежегодно (чаще при ухудшении), </w:t>
      </w:r>
      <w:proofErr w:type="spellStart"/>
      <w:r>
        <w:rPr>
          <w:rFonts w:ascii="inter" w:eastAsia="inter" w:hAnsi="inter" w:cs="inter"/>
          <w:color w:val="000000"/>
        </w:rPr>
        <w:t>ЭхоКГ</w:t>
      </w:r>
      <w:proofErr w:type="spellEnd"/>
      <w:r>
        <w:rPr>
          <w:rFonts w:ascii="inter" w:eastAsia="inter" w:hAnsi="inter" w:cs="inter"/>
          <w:color w:val="000000"/>
        </w:rPr>
        <w:t xml:space="preserve"> ежегодно — </w:t>
      </w:r>
      <w:r w:rsidRPr="002765F9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5, с.82–83].</w:t>
      </w:r>
    </w:p>
    <w:p w14:paraId="0FDFE120" w14:textId="77777777" w:rsidR="00A24CE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Стресс‑тест/стресс‑визуализация при появлении/усилении симптомов; рутинно не ранее 2 лет от предыдущего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5, с.83–84].</w:t>
      </w:r>
    </w:p>
    <w:p w14:paraId="1ACC4253" w14:textId="77777777" w:rsidR="00A24CE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МСКТ‑КАГ рутинно ежегодно — </w:t>
      </w:r>
      <w:r w:rsidRPr="00696ADE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 xml:space="preserve"> [2, раздел 2.4.1, с.38; раздел 5, с.83–84].</w:t>
      </w:r>
    </w:p>
    <w:p w14:paraId="29191863" w14:textId="27B99AEC" w:rsidR="00A24CE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Контрольная инвазивная КАГ всем после начала терапии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 xml:space="preserve">; только по показаниям высокого риска/симптомов/для </w:t>
      </w:r>
      <w:proofErr w:type="spellStart"/>
      <w:r>
        <w:rPr>
          <w:rFonts w:ascii="inter" w:eastAsia="inter" w:hAnsi="inter" w:cs="inter"/>
          <w:color w:val="000000"/>
        </w:rPr>
        <w:t>реваскуляризации</w:t>
      </w:r>
      <w:proofErr w:type="spellEnd"/>
      <w:r>
        <w:rPr>
          <w:rFonts w:ascii="inter" w:eastAsia="inter" w:hAnsi="inter" w:cs="inter"/>
          <w:color w:val="000000"/>
        </w:rPr>
        <w:t xml:space="preserve"> — [2, раздел 2.4.2, с.39–42; раздел 5, с.83–84].</w:t>
      </w:r>
    </w:p>
    <w:p w14:paraId="42C94437" w14:textId="77777777" w:rsidR="00A24CE4" w:rsidRDefault="00000000">
      <w:pPr>
        <w:numPr>
          <w:ilvl w:val="0"/>
          <w:numId w:val="1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Кардиореабилитация</w:t>
      </w:r>
      <w:proofErr w:type="spellEnd"/>
      <w:r>
        <w:rPr>
          <w:rFonts w:ascii="inter" w:eastAsia="inter" w:hAnsi="inter" w:cs="inter"/>
          <w:color w:val="000000"/>
        </w:rPr>
        <w:t xml:space="preserve"> с аэробной нагрузкой умеренной интенсивности 3–5 раз/</w:t>
      </w:r>
      <w:proofErr w:type="spellStart"/>
      <w:r>
        <w:rPr>
          <w:rFonts w:ascii="inter" w:eastAsia="inter" w:hAnsi="inter" w:cs="inter"/>
          <w:color w:val="000000"/>
        </w:rPr>
        <w:t>нед</w:t>
      </w:r>
      <w:proofErr w:type="spellEnd"/>
      <w:proofErr w:type="gramStart"/>
      <w:r>
        <w:rPr>
          <w:rFonts w:ascii="inter" w:eastAsia="inter" w:hAnsi="inter" w:cs="inter"/>
          <w:color w:val="000000"/>
        </w:rPr>
        <w:t>.</w:t>
      </w:r>
      <w:proofErr w:type="gramEnd"/>
      <w:r>
        <w:rPr>
          <w:rFonts w:ascii="inter" w:eastAsia="inter" w:hAnsi="inter" w:cs="inter"/>
          <w:color w:val="000000"/>
        </w:rPr>
        <w:t xml:space="preserve"> и обучением — </w:t>
      </w:r>
      <w:r w:rsidRPr="000249D5">
        <w:rPr>
          <w:rFonts w:ascii="inter" w:eastAsia="inter" w:hAnsi="inter" w:cs="inter"/>
          <w:b/>
          <w:bCs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[2, раздел 4, с.76–80].</w:t>
      </w:r>
    </w:p>
    <w:p w14:paraId="3E4AB8F0" w14:textId="77777777" w:rsidR="00A24CE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Дополнительная информация</w:t>
      </w:r>
    </w:p>
    <w:p w14:paraId="53A5A98D" w14:textId="0D92FE9C" w:rsidR="00A24CE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Источник: Клинические рекомендации «Ишемическая болезнь сердца (стабильные формы)»РКО, 2024. Использованы разделы: 1 (с.10–15), 2 (с.16–45), 3 (с.46–80), 4 (с.76–80), 5 (с.81–85), 6 (с.85–87), а также соответствующие подпункты по диагностике, лечению, липидной терапии и </w:t>
      </w:r>
      <w:proofErr w:type="spellStart"/>
      <w:r>
        <w:rPr>
          <w:rFonts w:ascii="inter" w:eastAsia="inter" w:hAnsi="inter" w:cs="inter"/>
          <w:color w:val="000000"/>
        </w:rPr>
        <w:t>реваскуляризации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16D1426A" w14:textId="77777777" w:rsidR="00A24CE4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A24CE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7C03"/>
    <w:multiLevelType w:val="hybridMultilevel"/>
    <w:tmpl w:val="98A0C10E"/>
    <w:lvl w:ilvl="0" w:tplc="B39CE5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BC32DA">
      <w:numFmt w:val="decimal"/>
      <w:lvlText w:val=""/>
      <w:lvlJc w:val="left"/>
    </w:lvl>
    <w:lvl w:ilvl="2" w:tplc="613C9BB0">
      <w:numFmt w:val="decimal"/>
      <w:lvlText w:val=""/>
      <w:lvlJc w:val="left"/>
    </w:lvl>
    <w:lvl w:ilvl="3" w:tplc="4AD2CD84">
      <w:numFmt w:val="decimal"/>
      <w:lvlText w:val=""/>
      <w:lvlJc w:val="left"/>
    </w:lvl>
    <w:lvl w:ilvl="4" w:tplc="DE4A6DF8">
      <w:numFmt w:val="decimal"/>
      <w:lvlText w:val=""/>
      <w:lvlJc w:val="left"/>
    </w:lvl>
    <w:lvl w:ilvl="5" w:tplc="2C869A6A">
      <w:numFmt w:val="decimal"/>
      <w:lvlText w:val=""/>
      <w:lvlJc w:val="left"/>
    </w:lvl>
    <w:lvl w:ilvl="6" w:tplc="3FB6ACF6">
      <w:numFmt w:val="decimal"/>
      <w:lvlText w:val=""/>
      <w:lvlJc w:val="left"/>
    </w:lvl>
    <w:lvl w:ilvl="7" w:tplc="CAD4AB9A">
      <w:numFmt w:val="decimal"/>
      <w:lvlText w:val=""/>
      <w:lvlJc w:val="left"/>
    </w:lvl>
    <w:lvl w:ilvl="8" w:tplc="B498CFBC">
      <w:numFmt w:val="decimal"/>
      <w:lvlText w:val=""/>
      <w:lvlJc w:val="left"/>
    </w:lvl>
  </w:abstractNum>
  <w:abstractNum w:abstractNumId="1" w15:restartNumberingAfterBreak="0">
    <w:nsid w:val="170D0792"/>
    <w:multiLevelType w:val="hybridMultilevel"/>
    <w:tmpl w:val="2E8C17E0"/>
    <w:lvl w:ilvl="0" w:tplc="62D4DE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90F460">
      <w:numFmt w:val="decimal"/>
      <w:lvlText w:val=""/>
      <w:lvlJc w:val="left"/>
    </w:lvl>
    <w:lvl w:ilvl="2" w:tplc="9C200CF6">
      <w:numFmt w:val="decimal"/>
      <w:lvlText w:val=""/>
      <w:lvlJc w:val="left"/>
    </w:lvl>
    <w:lvl w:ilvl="3" w:tplc="AEAA370C">
      <w:numFmt w:val="decimal"/>
      <w:lvlText w:val=""/>
      <w:lvlJc w:val="left"/>
    </w:lvl>
    <w:lvl w:ilvl="4" w:tplc="2A5EB928">
      <w:numFmt w:val="decimal"/>
      <w:lvlText w:val=""/>
      <w:lvlJc w:val="left"/>
    </w:lvl>
    <w:lvl w:ilvl="5" w:tplc="A348A2A2">
      <w:numFmt w:val="decimal"/>
      <w:lvlText w:val=""/>
      <w:lvlJc w:val="left"/>
    </w:lvl>
    <w:lvl w:ilvl="6" w:tplc="A00EB35C">
      <w:numFmt w:val="decimal"/>
      <w:lvlText w:val=""/>
      <w:lvlJc w:val="left"/>
    </w:lvl>
    <w:lvl w:ilvl="7" w:tplc="7EAAA5CE">
      <w:numFmt w:val="decimal"/>
      <w:lvlText w:val=""/>
      <w:lvlJc w:val="left"/>
    </w:lvl>
    <w:lvl w:ilvl="8" w:tplc="7D188476">
      <w:numFmt w:val="decimal"/>
      <w:lvlText w:val=""/>
      <w:lvlJc w:val="left"/>
    </w:lvl>
  </w:abstractNum>
  <w:abstractNum w:abstractNumId="2" w15:restartNumberingAfterBreak="0">
    <w:nsid w:val="1DF0324D"/>
    <w:multiLevelType w:val="hybridMultilevel"/>
    <w:tmpl w:val="D2C0948C"/>
    <w:lvl w:ilvl="0" w:tplc="570270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1227EC">
      <w:numFmt w:val="decimal"/>
      <w:lvlText w:val=""/>
      <w:lvlJc w:val="left"/>
    </w:lvl>
    <w:lvl w:ilvl="2" w:tplc="08FE5D66">
      <w:numFmt w:val="decimal"/>
      <w:lvlText w:val=""/>
      <w:lvlJc w:val="left"/>
    </w:lvl>
    <w:lvl w:ilvl="3" w:tplc="7A987C62">
      <w:numFmt w:val="decimal"/>
      <w:lvlText w:val=""/>
      <w:lvlJc w:val="left"/>
    </w:lvl>
    <w:lvl w:ilvl="4" w:tplc="1DB0554E">
      <w:numFmt w:val="decimal"/>
      <w:lvlText w:val=""/>
      <w:lvlJc w:val="left"/>
    </w:lvl>
    <w:lvl w:ilvl="5" w:tplc="03ECED18">
      <w:numFmt w:val="decimal"/>
      <w:lvlText w:val=""/>
      <w:lvlJc w:val="left"/>
    </w:lvl>
    <w:lvl w:ilvl="6" w:tplc="31F87282">
      <w:numFmt w:val="decimal"/>
      <w:lvlText w:val=""/>
      <w:lvlJc w:val="left"/>
    </w:lvl>
    <w:lvl w:ilvl="7" w:tplc="65E43100">
      <w:numFmt w:val="decimal"/>
      <w:lvlText w:val=""/>
      <w:lvlJc w:val="left"/>
    </w:lvl>
    <w:lvl w:ilvl="8" w:tplc="5A862BCC">
      <w:numFmt w:val="decimal"/>
      <w:lvlText w:val=""/>
      <w:lvlJc w:val="left"/>
    </w:lvl>
  </w:abstractNum>
  <w:abstractNum w:abstractNumId="3" w15:restartNumberingAfterBreak="0">
    <w:nsid w:val="1F9846EF"/>
    <w:multiLevelType w:val="hybridMultilevel"/>
    <w:tmpl w:val="F4DC5042"/>
    <w:lvl w:ilvl="0" w:tplc="566E31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28D6D2">
      <w:numFmt w:val="decimal"/>
      <w:lvlText w:val=""/>
      <w:lvlJc w:val="left"/>
    </w:lvl>
    <w:lvl w:ilvl="2" w:tplc="DAA44018">
      <w:numFmt w:val="decimal"/>
      <w:lvlText w:val=""/>
      <w:lvlJc w:val="left"/>
    </w:lvl>
    <w:lvl w:ilvl="3" w:tplc="2800E4E4">
      <w:numFmt w:val="decimal"/>
      <w:lvlText w:val=""/>
      <w:lvlJc w:val="left"/>
    </w:lvl>
    <w:lvl w:ilvl="4" w:tplc="9D0E97C2">
      <w:numFmt w:val="decimal"/>
      <w:lvlText w:val=""/>
      <w:lvlJc w:val="left"/>
    </w:lvl>
    <w:lvl w:ilvl="5" w:tplc="8C7CD390">
      <w:numFmt w:val="decimal"/>
      <w:lvlText w:val=""/>
      <w:lvlJc w:val="left"/>
    </w:lvl>
    <w:lvl w:ilvl="6" w:tplc="D6F2AE92">
      <w:numFmt w:val="decimal"/>
      <w:lvlText w:val=""/>
      <w:lvlJc w:val="left"/>
    </w:lvl>
    <w:lvl w:ilvl="7" w:tplc="9C98FD76">
      <w:numFmt w:val="decimal"/>
      <w:lvlText w:val=""/>
      <w:lvlJc w:val="left"/>
    </w:lvl>
    <w:lvl w:ilvl="8" w:tplc="222C7E50">
      <w:numFmt w:val="decimal"/>
      <w:lvlText w:val=""/>
      <w:lvlJc w:val="left"/>
    </w:lvl>
  </w:abstractNum>
  <w:abstractNum w:abstractNumId="4" w15:restartNumberingAfterBreak="0">
    <w:nsid w:val="206738F6"/>
    <w:multiLevelType w:val="hybridMultilevel"/>
    <w:tmpl w:val="0722F5C0"/>
    <w:lvl w:ilvl="0" w:tplc="900805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A8EC8">
      <w:numFmt w:val="decimal"/>
      <w:lvlText w:val=""/>
      <w:lvlJc w:val="left"/>
    </w:lvl>
    <w:lvl w:ilvl="2" w:tplc="05282140">
      <w:numFmt w:val="decimal"/>
      <w:lvlText w:val=""/>
      <w:lvlJc w:val="left"/>
    </w:lvl>
    <w:lvl w:ilvl="3" w:tplc="F94EE49C">
      <w:numFmt w:val="decimal"/>
      <w:lvlText w:val=""/>
      <w:lvlJc w:val="left"/>
    </w:lvl>
    <w:lvl w:ilvl="4" w:tplc="C1D82E82">
      <w:numFmt w:val="decimal"/>
      <w:lvlText w:val=""/>
      <w:lvlJc w:val="left"/>
    </w:lvl>
    <w:lvl w:ilvl="5" w:tplc="BA8AF2CC">
      <w:numFmt w:val="decimal"/>
      <w:lvlText w:val=""/>
      <w:lvlJc w:val="left"/>
    </w:lvl>
    <w:lvl w:ilvl="6" w:tplc="40DEFE96">
      <w:numFmt w:val="decimal"/>
      <w:lvlText w:val=""/>
      <w:lvlJc w:val="left"/>
    </w:lvl>
    <w:lvl w:ilvl="7" w:tplc="7FB4AF66">
      <w:numFmt w:val="decimal"/>
      <w:lvlText w:val=""/>
      <w:lvlJc w:val="left"/>
    </w:lvl>
    <w:lvl w:ilvl="8" w:tplc="7FDC92E6">
      <w:numFmt w:val="decimal"/>
      <w:lvlText w:val=""/>
      <w:lvlJc w:val="left"/>
    </w:lvl>
  </w:abstractNum>
  <w:abstractNum w:abstractNumId="5" w15:restartNumberingAfterBreak="0">
    <w:nsid w:val="2F2E354B"/>
    <w:multiLevelType w:val="hybridMultilevel"/>
    <w:tmpl w:val="5DD417DC"/>
    <w:lvl w:ilvl="0" w:tplc="D196ED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BC66A4">
      <w:numFmt w:val="decimal"/>
      <w:lvlText w:val=""/>
      <w:lvlJc w:val="left"/>
    </w:lvl>
    <w:lvl w:ilvl="2" w:tplc="0FAC75EE">
      <w:numFmt w:val="decimal"/>
      <w:lvlText w:val=""/>
      <w:lvlJc w:val="left"/>
    </w:lvl>
    <w:lvl w:ilvl="3" w:tplc="CBF03610">
      <w:numFmt w:val="decimal"/>
      <w:lvlText w:val=""/>
      <w:lvlJc w:val="left"/>
    </w:lvl>
    <w:lvl w:ilvl="4" w:tplc="6DC6BDF4">
      <w:numFmt w:val="decimal"/>
      <w:lvlText w:val=""/>
      <w:lvlJc w:val="left"/>
    </w:lvl>
    <w:lvl w:ilvl="5" w:tplc="E898CCF8">
      <w:numFmt w:val="decimal"/>
      <w:lvlText w:val=""/>
      <w:lvlJc w:val="left"/>
    </w:lvl>
    <w:lvl w:ilvl="6" w:tplc="F066FF1E">
      <w:numFmt w:val="decimal"/>
      <w:lvlText w:val=""/>
      <w:lvlJc w:val="left"/>
    </w:lvl>
    <w:lvl w:ilvl="7" w:tplc="C04E0C6C">
      <w:numFmt w:val="decimal"/>
      <w:lvlText w:val=""/>
      <w:lvlJc w:val="left"/>
    </w:lvl>
    <w:lvl w:ilvl="8" w:tplc="D8C468D0">
      <w:numFmt w:val="decimal"/>
      <w:lvlText w:val=""/>
      <w:lvlJc w:val="left"/>
    </w:lvl>
  </w:abstractNum>
  <w:abstractNum w:abstractNumId="6" w15:restartNumberingAfterBreak="0">
    <w:nsid w:val="2FFA34F3"/>
    <w:multiLevelType w:val="hybridMultilevel"/>
    <w:tmpl w:val="1756C0C2"/>
    <w:lvl w:ilvl="0" w:tplc="4F1430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42A126">
      <w:numFmt w:val="decimal"/>
      <w:lvlText w:val=""/>
      <w:lvlJc w:val="left"/>
    </w:lvl>
    <w:lvl w:ilvl="2" w:tplc="BA644028">
      <w:numFmt w:val="decimal"/>
      <w:lvlText w:val=""/>
      <w:lvlJc w:val="left"/>
    </w:lvl>
    <w:lvl w:ilvl="3" w:tplc="9A2057F6">
      <w:numFmt w:val="decimal"/>
      <w:lvlText w:val=""/>
      <w:lvlJc w:val="left"/>
    </w:lvl>
    <w:lvl w:ilvl="4" w:tplc="D92856EE">
      <w:numFmt w:val="decimal"/>
      <w:lvlText w:val=""/>
      <w:lvlJc w:val="left"/>
    </w:lvl>
    <w:lvl w:ilvl="5" w:tplc="6E029B94">
      <w:numFmt w:val="decimal"/>
      <w:lvlText w:val=""/>
      <w:lvlJc w:val="left"/>
    </w:lvl>
    <w:lvl w:ilvl="6" w:tplc="FA92412E">
      <w:numFmt w:val="decimal"/>
      <w:lvlText w:val=""/>
      <w:lvlJc w:val="left"/>
    </w:lvl>
    <w:lvl w:ilvl="7" w:tplc="007C0D44">
      <w:numFmt w:val="decimal"/>
      <w:lvlText w:val=""/>
      <w:lvlJc w:val="left"/>
    </w:lvl>
    <w:lvl w:ilvl="8" w:tplc="2C9E33FA">
      <w:numFmt w:val="decimal"/>
      <w:lvlText w:val=""/>
      <w:lvlJc w:val="left"/>
    </w:lvl>
  </w:abstractNum>
  <w:abstractNum w:abstractNumId="7" w15:restartNumberingAfterBreak="0">
    <w:nsid w:val="364400C8"/>
    <w:multiLevelType w:val="hybridMultilevel"/>
    <w:tmpl w:val="6340E2FC"/>
    <w:lvl w:ilvl="0" w:tplc="88AEFF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447E7C">
      <w:numFmt w:val="decimal"/>
      <w:lvlText w:val=""/>
      <w:lvlJc w:val="left"/>
    </w:lvl>
    <w:lvl w:ilvl="2" w:tplc="03646504">
      <w:numFmt w:val="decimal"/>
      <w:lvlText w:val=""/>
      <w:lvlJc w:val="left"/>
    </w:lvl>
    <w:lvl w:ilvl="3" w:tplc="D7D49578">
      <w:numFmt w:val="decimal"/>
      <w:lvlText w:val=""/>
      <w:lvlJc w:val="left"/>
    </w:lvl>
    <w:lvl w:ilvl="4" w:tplc="955EE342">
      <w:numFmt w:val="decimal"/>
      <w:lvlText w:val=""/>
      <w:lvlJc w:val="left"/>
    </w:lvl>
    <w:lvl w:ilvl="5" w:tplc="F5E2A020">
      <w:numFmt w:val="decimal"/>
      <w:lvlText w:val=""/>
      <w:lvlJc w:val="left"/>
    </w:lvl>
    <w:lvl w:ilvl="6" w:tplc="58FE88E0">
      <w:numFmt w:val="decimal"/>
      <w:lvlText w:val=""/>
      <w:lvlJc w:val="left"/>
    </w:lvl>
    <w:lvl w:ilvl="7" w:tplc="7BE21D8C">
      <w:numFmt w:val="decimal"/>
      <w:lvlText w:val=""/>
      <w:lvlJc w:val="left"/>
    </w:lvl>
    <w:lvl w:ilvl="8" w:tplc="FAE028C2">
      <w:numFmt w:val="decimal"/>
      <w:lvlText w:val=""/>
      <w:lvlJc w:val="left"/>
    </w:lvl>
  </w:abstractNum>
  <w:abstractNum w:abstractNumId="8" w15:restartNumberingAfterBreak="0">
    <w:nsid w:val="3EEB06DC"/>
    <w:multiLevelType w:val="hybridMultilevel"/>
    <w:tmpl w:val="99FCCD26"/>
    <w:lvl w:ilvl="0" w:tplc="9FC027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FC206A">
      <w:numFmt w:val="decimal"/>
      <w:lvlText w:val=""/>
      <w:lvlJc w:val="left"/>
    </w:lvl>
    <w:lvl w:ilvl="2" w:tplc="E746E3EE">
      <w:numFmt w:val="decimal"/>
      <w:lvlText w:val=""/>
      <w:lvlJc w:val="left"/>
    </w:lvl>
    <w:lvl w:ilvl="3" w:tplc="C562E9D8">
      <w:numFmt w:val="decimal"/>
      <w:lvlText w:val=""/>
      <w:lvlJc w:val="left"/>
    </w:lvl>
    <w:lvl w:ilvl="4" w:tplc="9626A424">
      <w:numFmt w:val="decimal"/>
      <w:lvlText w:val=""/>
      <w:lvlJc w:val="left"/>
    </w:lvl>
    <w:lvl w:ilvl="5" w:tplc="6C0A2898">
      <w:numFmt w:val="decimal"/>
      <w:lvlText w:val=""/>
      <w:lvlJc w:val="left"/>
    </w:lvl>
    <w:lvl w:ilvl="6" w:tplc="98846EF8">
      <w:numFmt w:val="decimal"/>
      <w:lvlText w:val=""/>
      <w:lvlJc w:val="left"/>
    </w:lvl>
    <w:lvl w:ilvl="7" w:tplc="8AE60D22">
      <w:numFmt w:val="decimal"/>
      <w:lvlText w:val=""/>
      <w:lvlJc w:val="left"/>
    </w:lvl>
    <w:lvl w:ilvl="8" w:tplc="30EAF63C">
      <w:numFmt w:val="decimal"/>
      <w:lvlText w:val=""/>
      <w:lvlJc w:val="left"/>
    </w:lvl>
  </w:abstractNum>
  <w:abstractNum w:abstractNumId="9" w15:restartNumberingAfterBreak="0">
    <w:nsid w:val="45883A55"/>
    <w:multiLevelType w:val="hybridMultilevel"/>
    <w:tmpl w:val="0ED8F1A8"/>
    <w:lvl w:ilvl="0" w:tplc="764E2E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181D60">
      <w:numFmt w:val="decimal"/>
      <w:lvlText w:val=""/>
      <w:lvlJc w:val="left"/>
    </w:lvl>
    <w:lvl w:ilvl="2" w:tplc="40C08F3A">
      <w:numFmt w:val="decimal"/>
      <w:lvlText w:val=""/>
      <w:lvlJc w:val="left"/>
    </w:lvl>
    <w:lvl w:ilvl="3" w:tplc="0D5256D2">
      <w:numFmt w:val="decimal"/>
      <w:lvlText w:val=""/>
      <w:lvlJc w:val="left"/>
    </w:lvl>
    <w:lvl w:ilvl="4" w:tplc="4A3AFFEE">
      <w:numFmt w:val="decimal"/>
      <w:lvlText w:val=""/>
      <w:lvlJc w:val="left"/>
    </w:lvl>
    <w:lvl w:ilvl="5" w:tplc="FC7A885A">
      <w:numFmt w:val="decimal"/>
      <w:lvlText w:val=""/>
      <w:lvlJc w:val="left"/>
    </w:lvl>
    <w:lvl w:ilvl="6" w:tplc="88268FF0">
      <w:numFmt w:val="decimal"/>
      <w:lvlText w:val=""/>
      <w:lvlJc w:val="left"/>
    </w:lvl>
    <w:lvl w:ilvl="7" w:tplc="668ED0B0">
      <w:numFmt w:val="decimal"/>
      <w:lvlText w:val=""/>
      <w:lvlJc w:val="left"/>
    </w:lvl>
    <w:lvl w:ilvl="8" w:tplc="A91E90CA">
      <w:numFmt w:val="decimal"/>
      <w:lvlText w:val=""/>
      <w:lvlJc w:val="left"/>
    </w:lvl>
  </w:abstractNum>
  <w:abstractNum w:abstractNumId="10" w15:restartNumberingAfterBreak="0">
    <w:nsid w:val="4F786185"/>
    <w:multiLevelType w:val="hybridMultilevel"/>
    <w:tmpl w:val="F87A1F08"/>
    <w:lvl w:ilvl="0" w:tplc="C5F6E9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6A2C72">
      <w:numFmt w:val="decimal"/>
      <w:lvlText w:val=""/>
      <w:lvlJc w:val="left"/>
    </w:lvl>
    <w:lvl w:ilvl="2" w:tplc="5824C12A">
      <w:numFmt w:val="decimal"/>
      <w:lvlText w:val=""/>
      <w:lvlJc w:val="left"/>
    </w:lvl>
    <w:lvl w:ilvl="3" w:tplc="00F65B4C">
      <w:numFmt w:val="decimal"/>
      <w:lvlText w:val=""/>
      <w:lvlJc w:val="left"/>
    </w:lvl>
    <w:lvl w:ilvl="4" w:tplc="D598C236">
      <w:numFmt w:val="decimal"/>
      <w:lvlText w:val=""/>
      <w:lvlJc w:val="left"/>
    </w:lvl>
    <w:lvl w:ilvl="5" w:tplc="49908370">
      <w:numFmt w:val="decimal"/>
      <w:lvlText w:val=""/>
      <w:lvlJc w:val="left"/>
    </w:lvl>
    <w:lvl w:ilvl="6" w:tplc="DADA9BF4">
      <w:numFmt w:val="decimal"/>
      <w:lvlText w:val=""/>
      <w:lvlJc w:val="left"/>
    </w:lvl>
    <w:lvl w:ilvl="7" w:tplc="61B2531A">
      <w:numFmt w:val="decimal"/>
      <w:lvlText w:val=""/>
      <w:lvlJc w:val="left"/>
    </w:lvl>
    <w:lvl w:ilvl="8" w:tplc="5BFA1430">
      <w:numFmt w:val="decimal"/>
      <w:lvlText w:val=""/>
      <w:lvlJc w:val="left"/>
    </w:lvl>
  </w:abstractNum>
  <w:abstractNum w:abstractNumId="11" w15:restartNumberingAfterBreak="0">
    <w:nsid w:val="58225AEF"/>
    <w:multiLevelType w:val="hybridMultilevel"/>
    <w:tmpl w:val="79FC3F56"/>
    <w:lvl w:ilvl="0" w:tplc="40EE46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DC954E">
      <w:numFmt w:val="decimal"/>
      <w:lvlText w:val=""/>
      <w:lvlJc w:val="left"/>
    </w:lvl>
    <w:lvl w:ilvl="2" w:tplc="805E31C6">
      <w:numFmt w:val="decimal"/>
      <w:lvlText w:val=""/>
      <w:lvlJc w:val="left"/>
    </w:lvl>
    <w:lvl w:ilvl="3" w:tplc="C3EE310C">
      <w:numFmt w:val="decimal"/>
      <w:lvlText w:val=""/>
      <w:lvlJc w:val="left"/>
    </w:lvl>
    <w:lvl w:ilvl="4" w:tplc="E0246F0C">
      <w:numFmt w:val="decimal"/>
      <w:lvlText w:val=""/>
      <w:lvlJc w:val="left"/>
    </w:lvl>
    <w:lvl w:ilvl="5" w:tplc="AC407D12">
      <w:numFmt w:val="decimal"/>
      <w:lvlText w:val=""/>
      <w:lvlJc w:val="left"/>
    </w:lvl>
    <w:lvl w:ilvl="6" w:tplc="A75CF4F8">
      <w:numFmt w:val="decimal"/>
      <w:lvlText w:val=""/>
      <w:lvlJc w:val="left"/>
    </w:lvl>
    <w:lvl w:ilvl="7" w:tplc="8FA050A2">
      <w:numFmt w:val="decimal"/>
      <w:lvlText w:val=""/>
      <w:lvlJc w:val="left"/>
    </w:lvl>
    <w:lvl w:ilvl="8" w:tplc="D9EA7414">
      <w:numFmt w:val="decimal"/>
      <w:lvlText w:val=""/>
      <w:lvlJc w:val="left"/>
    </w:lvl>
  </w:abstractNum>
  <w:abstractNum w:abstractNumId="12" w15:restartNumberingAfterBreak="0">
    <w:nsid w:val="5A245AB4"/>
    <w:multiLevelType w:val="hybridMultilevel"/>
    <w:tmpl w:val="EDA21DF8"/>
    <w:lvl w:ilvl="0" w:tplc="1F0ED1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D6B2D8">
      <w:numFmt w:val="decimal"/>
      <w:lvlText w:val=""/>
      <w:lvlJc w:val="left"/>
    </w:lvl>
    <w:lvl w:ilvl="2" w:tplc="AEFEC256">
      <w:numFmt w:val="decimal"/>
      <w:lvlText w:val=""/>
      <w:lvlJc w:val="left"/>
    </w:lvl>
    <w:lvl w:ilvl="3" w:tplc="DD7A29C8">
      <w:numFmt w:val="decimal"/>
      <w:lvlText w:val=""/>
      <w:lvlJc w:val="left"/>
    </w:lvl>
    <w:lvl w:ilvl="4" w:tplc="219EFECC">
      <w:numFmt w:val="decimal"/>
      <w:lvlText w:val=""/>
      <w:lvlJc w:val="left"/>
    </w:lvl>
    <w:lvl w:ilvl="5" w:tplc="827AEF14">
      <w:numFmt w:val="decimal"/>
      <w:lvlText w:val=""/>
      <w:lvlJc w:val="left"/>
    </w:lvl>
    <w:lvl w:ilvl="6" w:tplc="71901F00">
      <w:numFmt w:val="decimal"/>
      <w:lvlText w:val=""/>
      <w:lvlJc w:val="left"/>
    </w:lvl>
    <w:lvl w:ilvl="7" w:tplc="BA585FA4">
      <w:numFmt w:val="decimal"/>
      <w:lvlText w:val=""/>
      <w:lvlJc w:val="left"/>
    </w:lvl>
    <w:lvl w:ilvl="8" w:tplc="7C52ED68">
      <w:numFmt w:val="decimal"/>
      <w:lvlText w:val=""/>
      <w:lvlJc w:val="left"/>
    </w:lvl>
  </w:abstractNum>
  <w:abstractNum w:abstractNumId="13" w15:restartNumberingAfterBreak="0">
    <w:nsid w:val="5E495DD0"/>
    <w:multiLevelType w:val="hybridMultilevel"/>
    <w:tmpl w:val="6FE8BAB0"/>
    <w:lvl w:ilvl="0" w:tplc="A88EEB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DA78B8">
      <w:numFmt w:val="decimal"/>
      <w:lvlText w:val=""/>
      <w:lvlJc w:val="left"/>
    </w:lvl>
    <w:lvl w:ilvl="2" w:tplc="CA5A65C4">
      <w:numFmt w:val="decimal"/>
      <w:lvlText w:val=""/>
      <w:lvlJc w:val="left"/>
    </w:lvl>
    <w:lvl w:ilvl="3" w:tplc="82B865C6">
      <w:numFmt w:val="decimal"/>
      <w:lvlText w:val=""/>
      <w:lvlJc w:val="left"/>
    </w:lvl>
    <w:lvl w:ilvl="4" w:tplc="EAB26EDA">
      <w:numFmt w:val="decimal"/>
      <w:lvlText w:val=""/>
      <w:lvlJc w:val="left"/>
    </w:lvl>
    <w:lvl w:ilvl="5" w:tplc="0FEC1034">
      <w:numFmt w:val="decimal"/>
      <w:lvlText w:val=""/>
      <w:lvlJc w:val="left"/>
    </w:lvl>
    <w:lvl w:ilvl="6" w:tplc="01F0D0BC">
      <w:numFmt w:val="decimal"/>
      <w:lvlText w:val=""/>
      <w:lvlJc w:val="left"/>
    </w:lvl>
    <w:lvl w:ilvl="7" w:tplc="7250EE84">
      <w:numFmt w:val="decimal"/>
      <w:lvlText w:val=""/>
      <w:lvlJc w:val="left"/>
    </w:lvl>
    <w:lvl w:ilvl="8" w:tplc="02749500">
      <w:numFmt w:val="decimal"/>
      <w:lvlText w:val=""/>
      <w:lvlJc w:val="left"/>
    </w:lvl>
  </w:abstractNum>
  <w:abstractNum w:abstractNumId="14" w15:restartNumberingAfterBreak="0">
    <w:nsid w:val="7B2E79B9"/>
    <w:multiLevelType w:val="hybridMultilevel"/>
    <w:tmpl w:val="F22643EE"/>
    <w:lvl w:ilvl="0" w:tplc="8EF855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D496F4">
      <w:numFmt w:val="decimal"/>
      <w:lvlText w:val=""/>
      <w:lvlJc w:val="left"/>
    </w:lvl>
    <w:lvl w:ilvl="2" w:tplc="932C85D4">
      <w:numFmt w:val="decimal"/>
      <w:lvlText w:val=""/>
      <w:lvlJc w:val="left"/>
    </w:lvl>
    <w:lvl w:ilvl="3" w:tplc="9B185B2A">
      <w:numFmt w:val="decimal"/>
      <w:lvlText w:val=""/>
      <w:lvlJc w:val="left"/>
    </w:lvl>
    <w:lvl w:ilvl="4" w:tplc="AEC094BA">
      <w:numFmt w:val="decimal"/>
      <w:lvlText w:val=""/>
      <w:lvlJc w:val="left"/>
    </w:lvl>
    <w:lvl w:ilvl="5" w:tplc="3ADA34E4">
      <w:numFmt w:val="decimal"/>
      <w:lvlText w:val=""/>
      <w:lvlJc w:val="left"/>
    </w:lvl>
    <w:lvl w:ilvl="6" w:tplc="56B02ADA">
      <w:numFmt w:val="decimal"/>
      <w:lvlText w:val=""/>
      <w:lvlJc w:val="left"/>
    </w:lvl>
    <w:lvl w:ilvl="7" w:tplc="6DE8D0B6">
      <w:numFmt w:val="decimal"/>
      <w:lvlText w:val=""/>
      <w:lvlJc w:val="left"/>
    </w:lvl>
    <w:lvl w:ilvl="8" w:tplc="6A6AFEC4">
      <w:numFmt w:val="decimal"/>
      <w:lvlText w:val=""/>
      <w:lvlJc w:val="left"/>
    </w:lvl>
  </w:abstractNum>
  <w:abstractNum w:abstractNumId="15" w15:restartNumberingAfterBreak="0">
    <w:nsid w:val="7BDF75A7"/>
    <w:multiLevelType w:val="hybridMultilevel"/>
    <w:tmpl w:val="90707C50"/>
    <w:lvl w:ilvl="0" w:tplc="68202E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4A4C52">
      <w:numFmt w:val="decimal"/>
      <w:lvlText w:val=""/>
      <w:lvlJc w:val="left"/>
    </w:lvl>
    <w:lvl w:ilvl="2" w:tplc="4DDC844C">
      <w:numFmt w:val="decimal"/>
      <w:lvlText w:val=""/>
      <w:lvlJc w:val="left"/>
    </w:lvl>
    <w:lvl w:ilvl="3" w:tplc="E7BCA7E4">
      <w:numFmt w:val="decimal"/>
      <w:lvlText w:val=""/>
      <w:lvlJc w:val="left"/>
    </w:lvl>
    <w:lvl w:ilvl="4" w:tplc="49EC66B0">
      <w:numFmt w:val="decimal"/>
      <w:lvlText w:val=""/>
      <w:lvlJc w:val="left"/>
    </w:lvl>
    <w:lvl w:ilvl="5" w:tplc="D132FBAE">
      <w:numFmt w:val="decimal"/>
      <w:lvlText w:val=""/>
      <w:lvlJc w:val="left"/>
    </w:lvl>
    <w:lvl w:ilvl="6" w:tplc="F13419F6">
      <w:numFmt w:val="decimal"/>
      <w:lvlText w:val=""/>
      <w:lvlJc w:val="left"/>
    </w:lvl>
    <w:lvl w:ilvl="7" w:tplc="482633D6">
      <w:numFmt w:val="decimal"/>
      <w:lvlText w:val=""/>
      <w:lvlJc w:val="left"/>
    </w:lvl>
    <w:lvl w:ilvl="8" w:tplc="13645A20">
      <w:numFmt w:val="decimal"/>
      <w:lvlText w:val=""/>
      <w:lvlJc w:val="left"/>
    </w:lvl>
  </w:abstractNum>
  <w:abstractNum w:abstractNumId="16" w15:restartNumberingAfterBreak="0">
    <w:nsid w:val="7D625CF3"/>
    <w:multiLevelType w:val="hybridMultilevel"/>
    <w:tmpl w:val="330A8FC4"/>
    <w:lvl w:ilvl="0" w:tplc="D36A3F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644AA8">
      <w:numFmt w:val="decimal"/>
      <w:lvlText w:val=""/>
      <w:lvlJc w:val="left"/>
    </w:lvl>
    <w:lvl w:ilvl="2" w:tplc="84FC4ECA">
      <w:numFmt w:val="decimal"/>
      <w:lvlText w:val=""/>
      <w:lvlJc w:val="left"/>
    </w:lvl>
    <w:lvl w:ilvl="3" w:tplc="273ED480">
      <w:numFmt w:val="decimal"/>
      <w:lvlText w:val=""/>
      <w:lvlJc w:val="left"/>
    </w:lvl>
    <w:lvl w:ilvl="4" w:tplc="D7463562">
      <w:numFmt w:val="decimal"/>
      <w:lvlText w:val=""/>
      <w:lvlJc w:val="left"/>
    </w:lvl>
    <w:lvl w:ilvl="5" w:tplc="54B07804">
      <w:numFmt w:val="decimal"/>
      <w:lvlText w:val=""/>
      <w:lvlJc w:val="left"/>
    </w:lvl>
    <w:lvl w:ilvl="6" w:tplc="A42E1866">
      <w:numFmt w:val="decimal"/>
      <w:lvlText w:val=""/>
      <w:lvlJc w:val="left"/>
    </w:lvl>
    <w:lvl w:ilvl="7" w:tplc="71C2BC96">
      <w:numFmt w:val="decimal"/>
      <w:lvlText w:val=""/>
      <w:lvlJc w:val="left"/>
    </w:lvl>
    <w:lvl w:ilvl="8" w:tplc="77B27B62">
      <w:numFmt w:val="decimal"/>
      <w:lvlText w:val=""/>
      <w:lvlJc w:val="left"/>
    </w:lvl>
  </w:abstractNum>
  <w:num w:numId="1" w16cid:durableId="596251330">
    <w:abstractNumId w:val="9"/>
  </w:num>
  <w:num w:numId="2" w16cid:durableId="892278311">
    <w:abstractNumId w:val="3"/>
  </w:num>
  <w:num w:numId="3" w16cid:durableId="260920825">
    <w:abstractNumId w:val="1"/>
  </w:num>
  <w:num w:numId="4" w16cid:durableId="1827359500">
    <w:abstractNumId w:val="0"/>
  </w:num>
  <w:num w:numId="5" w16cid:durableId="1367296536">
    <w:abstractNumId w:val="6"/>
  </w:num>
  <w:num w:numId="6" w16cid:durableId="577523827">
    <w:abstractNumId w:val="13"/>
  </w:num>
  <w:num w:numId="7" w16cid:durableId="1835215786">
    <w:abstractNumId w:val="12"/>
  </w:num>
  <w:num w:numId="8" w16cid:durableId="330329479">
    <w:abstractNumId w:val="16"/>
  </w:num>
  <w:num w:numId="9" w16cid:durableId="500511652">
    <w:abstractNumId w:val="10"/>
  </w:num>
  <w:num w:numId="10" w16cid:durableId="63071236">
    <w:abstractNumId w:val="2"/>
  </w:num>
  <w:num w:numId="11" w16cid:durableId="611547340">
    <w:abstractNumId w:val="4"/>
  </w:num>
  <w:num w:numId="12" w16cid:durableId="2076586487">
    <w:abstractNumId w:val="7"/>
  </w:num>
  <w:num w:numId="13" w16cid:durableId="1416168452">
    <w:abstractNumId w:val="8"/>
  </w:num>
  <w:num w:numId="14" w16cid:durableId="209078612">
    <w:abstractNumId w:val="5"/>
  </w:num>
  <w:num w:numId="15" w16cid:durableId="739904049">
    <w:abstractNumId w:val="14"/>
  </w:num>
  <w:num w:numId="16" w16cid:durableId="354812110">
    <w:abstractNumId w:val="15"/>
  </w:num>
  <w:num w:numId="17" w16cid:durableId="1654337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CE4"/>
    <w:rsid w:val="000249D5"/>
    <w:rsid w:val="00167D76"/>
    <w:rsid w:val="001D70FA"/>
    <w:rsid w:val="002765F9"/>
    <w:rsid w:val="00472566"/>
    <w:rsid w:val="00513D9C"/>
    <w:rsid w:val="005C7F81"/>
    <w:rsid w:val="00696ADE"/>
    <w:rsid w:val="006B7814"/>
    <w:rsid w:val="00A2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E9EB3C5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Normal (Web)"/>
    <w:basedOn w:val="a"/>
    <w:uiPriority w:val="99"/>
    <w:semiHidden/>
    <w:unhideWhenUsed/>
    <w:rsid w:val="005C7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a4">
    <w:name w:val="Strong"/>
    <w:basedOn w:val="a0"/>
    <w:uiPriority w:val="22"/>
    <w:qFormat/>
    <w:rsid w:val="005C7F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1740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5</cp:revision>
  <dcterms:created xsi:type="dcterms:W3CDTF">2025-08-15T18:57:00Z</dcterms:created>
  <dcterms:modified xsi:type="dcterms:W3CDTF">2026-01-14T10:31:00Z</dcterms:modified>
</cp:coreProperties>
</file>