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8B25" w14:textId="476F6E01" w:rsidR="007E45D4" w:rsidRDefault="00D523FB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5.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7"/>
        <w:gridCol w:w="7587"/>
      </w:tblGrid>
      <w:tr w:rsidR="00D523FB" w14:paraId="5D3DB1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EB0F5" w14:textId="77777777" w:rsidR="007E45D4" w:rsidRDefault="007E45D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07686B" w14:textId="77777777" w:rsidR="007E45D4" w:rsidRDefault="007E45D4"/>
        </w:tc>
      </w:tr>
      <w:tr w:rsidR="00D523FB" w14:paraId="693CA1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7CE69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465A26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62 года.</w:t>
            </w:r>
          </w:p>
          <w:p w14:paraId="33FD5300" w14:textId="042AEC74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 бригадой скорой медицинской помощи в приемное отделение стационара, имеющего возможность выполнения чрескожных коронарных вмешательств (ЧКВ) 24/7.</w:t>
            </w:r>
          </w:p>
          <w:p w14:paraId="1865EFC2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диагноз, определите степень риска и выберите оптимальную тактику лечения.</w:t>
            </w:r>
          </w:p>
          <w:p w14:paraId="19ABA74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«Острый коронарный синдром без подъема сегмента ST электрокардиограммы», Российское кардиологическое общество (РКО), 2024 г.</w:t>
            </w:r>
          </w:p>
        </w:tc>
      </w:tr>
      <w:tr w:rsidR="00D523FB" w14:paraId="0A7709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0C99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1AF1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давящую боль за грудиной, возникшую около 1 часа назад. Боль иррадиирует в левое плечо, сопровождается выраженной слабостью, тошнотой и чувством нехватки воздуха. Прием нитроглицерина эффекта не принес.</w:t>
            </w:r>
          </w:p>
        </w:tc>
      </w:tr>
      <w:tr w:rsidR="00D523FB" w14:paraId="77E909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FAA0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1A959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течение последних 3 месяцев отмечает появление давящих болей за грудиной при умеренной физической нагрузке, которые проходили в покое. За последние сутки боли стали возникать чаще, при меньшей нагрузке и в покое. Последний приступ был наиболее интенсивным и продолжительным.</w:t>
            </w:r>
          </w:p>
        </w:tc>
      </w:tr>
      <w:tr w:rsidR="00D523FB" w14:paraId="59B7AF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7494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2729E" w14:textId="1161CC93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в течение 10 лет, принимает конкор 5 мг/сут. Гиперхолестеринемия, принимает аторвастатин 20 мг/сут нерегулярно.</w:t>
            </w:r>
          </w:p>
          <w:p w14:paraId="42640B1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 по 1 пачке сигарет в день на протяжении 35 лет.</w:t>
            </w:r>
          </w:p>
          <w:p w14:paraId="130A363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перенес инфаркт миокарда в возрасте 60 лет.</w:t>
            </w:r>
          </w:p>
          <w:p w14:paraId="09CEB30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D523FB" w14:paraId="3D2981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E0AC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514133" w14:textId="3A4D31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2B3F1C9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но пациент встревожен.</w:t>
            </w:r>
          </w:p>
          <w:p w14:paraId="2F37B4C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влажные.</w:t>
            </w:r>
          </w:p>
          <w:p w14:paraId="071E0DE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Частота дыхательных движений (ЧДД) — 20 в минуту. SpO2 — 95%.</w:t>
            </w:r>
          </w:p>
          <w:p w14:paraId="270937A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Частота сердечных сокращений (ЧСС) — 90 ударов в минуту. Артериальное давление (АД) — 130/80 мм рт. ст.</w:t>
            </w:r>
          </w:p>
          <w:p w14:paraId="27A9EE59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D523FB" w14:paraId="281A78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B16E5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8A3CE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4B4EA74E" w14:textId="77777777" w:rsidR="007E45D4" w:rsidRDefault="007E45D4"/>
          <w:p w14:paraId="2375492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без подъема сегмента ST (ОКСбпST)</w:t>
            </w:r>
          </w:p>
          <w:p w14:paraId="65854E7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(нарастающая по частоте и интенсивности стенокардия, возникновение боли в покое, отсутствие полного купирования нитроглицерином), наличие множественных факторов риска (АГ, дислипидемия, курение, отягощенная наследственность) и признаки острой ишемии миокарда на ЭКГ (депрессия ST) характерны для ОКСбпST, который включает нестабильную стенокардию и инфаркт миокарда без подъема ST.</w:t>
            </w:r>
          </w:p>
          <w:p w14:paraId="4620F703" w14:textId="69B707AF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15; раздел 1.6, стр. 23; раздел 2.1, стр. 25-26.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 w:rsidR="00D523FB">
              <w:t xml:space="preserve"> </w:t>
            </w:r>
          </w:p>
          <w:p w14:paraId="79B1139D" w14:textId="77777777" w:rsidR="007E45D4" w:rsidRDefault="007E45D4"/>
          <w:p w14:paraId="194A72F6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</w:t>
            </w:r>
          </w:p>
          <w:p w14:paraId="582903A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симптомы прогрессирующей стенокардии присутствуют, термин "ОКСбпST" является более точным предварительным диагнозом на раннем госпитальном этапе, поскольку он охватывает как нестабильную стенокардию, так и инфаркт миокарда без подъема ST. Окончательный диагноз будет установлен после получения результатов лабораторных исследований (тропонины) и стратификации риска.</w:t>
            </w:r>
          </w:p>
          <w:p w14:paraId="387F32E2" w14:textId="2DAEA8FB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15.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2"/>
          </w:p>
          <w:p w14:paraId="02CFC792" w14:textId="77777777" w:rsidR="007E45D4" w:rsidRDefault="007E45D4"/>
          <w:p w14:paraId="7827D9BE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Острый миокардит</w:t>
            </w:r>
          </w:p>
          <w:p w14:paraId="2BD94696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миокардита боль в груди может быть атипичной, часто с повышением температуры и признаками вирусной инфекции. Хотя ЭКГ-изменения могут быть схожими, отсутствие типичного анамнеза и наличие выраженных факторов риска ИБС делают этот диагноз менее вероятным.</w:t>
            </w:r>
          </w:p>
          <w:p w14:paraId="4975BCF0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44DE11DD" w14:textId="77777777" w:rsidR="007E45D4" w:rsidRDefault="007E45D4"/>
          <w:p w14:paraId="16601A7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Нейроциркуляторная дистония</w:t>
            </w:r>
          </w:p>
          <w:p w14:paraId="7FE4E0A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Учитывая возраст пациента, наличие выраженных факторов риска атеросклероза, типичный характер болевого синдрома и изменения на ЭКГ, такой диагноз является крайне маловероятным и может привести к недооценке тяжести состояния.</w:t>
            </w:r>
          </w:p>
          <w:p w14:paraId="0A8B968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23FB" w14:paraId="4D85E6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DE74C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F20CE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 при поступлении:</w:t>
            </w:r>
          </w:p>
          <w:p w14:paraId="00CA62A5" w14:textId="77777777" w:rsidR="007E45D4" w:rsidRDefault="007E45D4"/>
          <w:p w14:paraId="6F37055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 (высокочувствительным методом) в динамике</w:t>
            </w:r>
          </w:p>
          <w:p w14:paraId="2CD3E92B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ключевое исследование для дифференциальной диагностики между нестабильной стенокардией и инфарктом миокарда без подъема ST, а также для стратификации риска. Результат должен быть получен в течение 60 минут.</w:t>
            </w:r>
          </w:p>
          <w:p w14:paraId="58A4D57C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27.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469EDF19" w14:textId="77777777" w:rsidR="007E45D4" w:rsidRDefault="007E45D4"/>
          <w:p w14:paraId="57E18EE2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(клинический) анализ крови</w:t>
            </w:r>
          </w:p>
          <w:p w14:paraId="033354EA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оценки уровня гемоглобина и тромбоцитов, что важно для оценки рисков кровотечения перед назначением антиагрегантов.</w:t>
            </w:r>
          </w:p>
          <w:p w14:paraId="634D3C32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29.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250B23EF" w14:textId="77777777" w:rsidR="007E45D4" w:rsidRDefault="007E45D4"/>
          <w:p w14:paraId="376E432B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Анализ крови биохимический (креатинин с расчетом рСКФ, глюкоза, калий, липидный профиль)</w:t>
            </w:r>
          </w:p>
          <w:p w14:paraId="1C139D1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критически важна для выбора доз препаратов и оценки риска контраст-индуцированной нефропатии. Уровень глюкозы — для стратификации риска. Липидный профиль необходим для планирования вторичной профилактики.</w:t>
            </w:r>
          </w:p>
          <w:p w14:paraId="377D63DA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30-31.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606C7165" w14:textId="77777777" w:rsidR="007E45D4" w:rsidRDefault="007E45D4"/>
          <w:p w14:paraId="3B47094E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 (АЧТВ, МНО)</w:t>
            </w:r>
          </w:p>
          <w:p w14:paraId="2F3CD87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Базовые показатели гемостаза необходимы для оценки исходного состояния свертывающей системы перед началом антитромботической терапии.</w:t>
            </w:r>
          </w:p>
          <w:p w14:paraId="4C4932FC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31.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2F35BAA6" w14:textId="77777777" w:rsidR="007E45D4" w:rsidRDefault="007E45D4"/>
          <w:p w14:paraId="3B46489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Исследование уровня D-димера</w:t>
            </w:r>
          </w:p>
          <w:p w14:paraId="125CDF32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типичной клинике ОКС и характерных изменениях на ЭКГ рутинное определение D-димера не показано и может привести к неоправданной задержке лечения. Это исследование более актуально при подозрении на ТЭЛА.</w:t>
            </w:r>
          </w:p>
          <w:p w14:paraId="0FEB361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29 (обсуждение D-димера для исключения ТЭЛА, но не как рутинный маркер при ОКСбпST).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23FB" w14:paraId="279FFD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3D190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BB56A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05F8409A" w14:textId="77777777" w:rsidR="007E45D4" w:rsidRDefault="007E45D4"/>
          <w:p w14:paraId="1FD3180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ее динамический контроль</w:t>
            </w:r>
          </w:p>
          <w:p w14:paraId="004EAF3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является основным методом первичной диагностики, позволяющим определить тип ОКС и выявить ишемические изменения. Динамический контроль обязателен для оценки эволюции ишемии.</w:t>
            </w:r>
          </w:p>
          <w:p w14:paraId="65A3F065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32.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5D4A4DB9" w14:textId="77777777" w:rsidR="007E45D4" w:rsidRDefault="007E45D4"/>
          <w:p w14:paraId="0694A42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</w:t>
            </w:r>
          </w:p>
          <w:p w14:paraId="0F6B106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ЭхоКГ необходима для оценки глобальной и локальной сократимости ЛЖ (поиск зон гипокинезии, соответствующих ишемии), фракции выброса и для исключения других причин боли в груди. Ее выполнение не должно задерживать КГ, но может быть выполнено у постели больного.</w:t>
            </w:r>
          </w:p>
          <w:p w14:paraId="19608F1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34.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285E3921" w14:textId="77777777" w:rsidR="007E45D4" w:rsidRDefault="007E45D4"/>
          <w:p w14:paraId="41C25D50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Коронарография (КГ)</w:t>
            </w:r>
          </w:p>
          <w:p w14:paraId="588293F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 с подтвержденным диагнозом ОКСбпST и клиникой высокого риска (рецидивирующая боль, динамика ЭКГ) относится к группе, которой показана ранняя инвазивная стратегия. КГ необходима для определения анатомии коронарных артерий и возможности реваскуляризации.</w:t>
            </w:r>
          </w:p>
          <w:p w14:paraId="2474272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39-40.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170EDFA2" w14:textId="77777777" w:rsidR="007E45D4" w:rsidRDefault="007E45D4"/>
          <w:p w14:paraId="30A602E0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Рентгенография органов грудной клетки</w:t>
            </w:r>
          </w:p>
          <w:p w14:paraId="6BC9079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это исследование может быть полезно для дифференциальной диагностики, оно не является первоочередным при ОКСбпST и не должно задерживать проведение жизненно важных исследований, таких как ЭКГ и коронарография.</w:t>
            </w:r>
          </w:p>
          <w:p w14:paraId="1A3613B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35.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23FB" w14:paraId="47092F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60D7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EECB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6DCCE11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 (высокочувствительный):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 поступлении — 85 нг/л, через 1 час — 250 нг/л (норма &lt; 14 нг/л).</w:t>
            </w:r>
          </w:p>
          <w:p w14:paraId="67E3B4F9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140 г/л, лейкоциты 11.8х10⁹/л, тромбоциты 270х10⁹/л.</w:t>
            </w:r>
          </w:p>
          <w:p w14:paraId="25A2A646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92 мкмоль/л (рСКФ 70 мл/мин/1.73 м²), глюкоза 9.0 ммоль/л, ХС-ЛНП 3.8 ммоль/л.</w:t>
            </w:r>
          </w:p>
          <w:p w14:paraId="6BD1A1E5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АЧТВ 30 сек, МНО 1.0.</w:t>
            </w:r>
          </w:p>
          <w:p w14:paraId="643CBF8E" w14:textId="77777777" w:rsidR="007E45D4" w:rsidRDefault="007E45D4"/>
          <w:p w14:paraId="098DA40C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4B35E6E8" w14:textId="6BD441F1" w:rsidR="00D523F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D523FB">
              <w:rPr>
                <w:rFonts w:ascii="inter" w:eastAsia="inter" w:hAnsi="inter" w:cs="inter"/>
                <w:color w:val="000000"/>
                <w:sz w:val="17"/>
              </w:rPr>
              <w:t xml:space="preserve">Горизонтальная </w:t>
            </w:r>
            <w:r w:rsidR="00D523FB" w:rsidRPr="00D523FB">
              <w:rPr>
                <w:rFonts w:ascii="inter" w:eastAsia="inter" w:hAnsi="inter" w:cs="inter"/>
                <w:color w:val="000000"/>
                <w:sz w:val="17"/>
              </w:rPr>
              <w:t>депрессия сегмента ST до 2 мм в отведениях aVL, V2-V6.</w:t>
            </w:r>
            <w:r w:rsidR="00D523FB" w:rsidRPr="00A81E16">
              <w:rPr>
                <w:noProof/>
                <w:lang w:val="en-US"/>
              </w:rPr>
              <w:drawing>
                <wp:inline distT="0" distB="0" distL="0" distR="0" wp14:anchorId="7CFD496F" wp14:editId="407FCB81">
                  <wp:extent cx="4620472" cy="2266995"/>
                  <wp:effectExtent l="0" t="0" r="2540" b="0"/>
                  <wp:docPr id="546378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3781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465" cy="231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B8D52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 (у постели больного):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гипокинезии в области передне-боковой стенки и верхушки левого желудочка (ЛЖ). Фракция выброса (ФВ) ЛЖ — 50%.</w:t>
            </w:r>
          </w:p>
        </w:tc>
      </w:tr>
      <w:tr w:rsidR="00D523FB" w14:paraId="27306A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684C6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47E46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23134813" w14:textId="77777777" w:rsidR="007E45D4" w:rsidRDefault="007E45D4"/>
          <w:p w14:paraId="35C0BAE6" w14:textId="1D46443B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субэндокардиальный инфаркт миокарда (Инфаркт миокарда без подъема сегмента ST) передне-боковой локализации.</w:t>
            </w:r>
          </w:p>
          <w:p w14:paraId="3DCED3A9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установлен на основании клинической картины, значительного повышения уровня тропонина (подтверждающего некроз миокарда), а также характерных изменений на ЭКГ (горизонтальная депрессия ST в aVL, V2-V6) и ЭхоКГ (гипокинезия передне-боковой стенки), указывающих на ишемию и некроз субэндокарда в этой области.</w:t>
            </w:r>
          </w:p>
          <w:p w14:paraId="429AC686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16; раздел 1.4, стр. 20; раздел 2.4, стр. 32.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</w:p>
          <w:p w14:paraId="46BECB23" w14:textId="77777777" w:rsidR="007E45D4" w:rsidRDefault="007E45D4"/>
          <w:p w14:paraId="2083C9FE" w14:textId="7589F72A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стенокардия.</w:t>
            </w:r>
          </w:p>
          <w:p w14:paraId="7AE8EBAA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Значимое повышение уровня тропонина (более 99-го перцентиля) свидетельствует о наличии некроза кардиомиоцитов, что по определению является инфарктом миокарда, а не нестабильной стенокардией.</w:t>
            </w:r>
          </w:p>
          <w:p w14:paraId="54A5C328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16.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</w:p>
          <w:p w14:paraId="763CACAB" w14:textId="77777777" w:rsidR="007E45D4" w:rsidRDefault="007E45D4"/>
          <w:p w14:paraId="10B925D8" w14:textId="082F63C3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Другие формы острой ишемической болезни сердца.</w:t>
            </w:r>
          </w:p>
          <w:p w14:paraId="29ED7D6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имеются все критерии для постановки диагноза «Острый инфаркт миокарда без подъема сегмента ST», поэтому использование менее определенной формулировки некорректно.</w:t>
            </w:r>
          </w:p>
          <w:p w14:paraId="16F09929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23FB" w14:paraId="6D71C6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4AB5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AD52F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и полную тактику лечения:</w:t>
            </w:r>
          </w:p>
          <w:p w14:paraId="1F548FF8" w14:textId="77777777" w:rsidR="007E45D4" w:rsidRDefault="007E45D4"/>
          <w:p w14:paraId="0A23E67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Ранняя инвазивная стратегия: коронарография в течение 24 часов с намерением выполнить ЧКВ. Назначить двойную антитромбоцитарную терапию (ДАТТ: АСК 150-300 мг разжевать + тикагрелор 180 мг нагрузочная доза) и парентеральный антикоагулянт (фондапаринукс 2.5 мг подкожно или НФГ).</w:t>
            </w:r>
          </w:p>
          <w:p w14:paraId="1E4C9CF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 относится к категории высокого риска (подтвержденный ИМбпST, сохраняющаяся симптоматика). Таким пациентам показана ранняя инвазивная стратегия (КГ в пределах 24 часов). ДАТТ (АСК + тикагрелор) и антикоагулянт являются стандартом терапии при ОКСбпST, предпочтение отдается тикагрелору как более мощному ингибитору P2Y12.</w:t>
            </w:r>
          </w:p>
          <w:p w14:paraId="7C2DE19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40; раздел 3.2.3, стр. 51-54, 58, 60.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0733D9AA" w14:textId="77777777" w:rsidR="007E45D4" w:rsidRDefault="007E45D4"/>
          <w:p w14:paraId="6B31FBA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Проведение тромболитической терапии (ТЛТ) в приемном отделении.</w:t>
            </w:r>
          </w:p>
          <w:p w14:paraId="778F94D9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Тромболитическая терапия не показана и потенциально вредна у пациентов с ОКС без стойкого подъема сегмента ST. Основным методом реперфузии при ИМбпST является ЧКВ.</w:t>
            </w:r>
          </w:p>
          <w:p w14:paraId="5A4E339B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 (тромболизис не рассматривается как опция для ОКСбпST).</w:t>
            </w:r>
          </w:p>
          <w:p w14:paraId="051E9502" w14:textId="77777777" w:rsidR="007E45D4" w:rsidRDefault="007E45D4"/>
          <w:p w14:paraId="01471D16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Назначение консервативной терапии (обезболивание, нитраты, бета-блокаторы, антикоагулянты, антиагреганты) с последующим плановым обследованием.</w:t>
            </w:r>
          </w:p>
          <w:p w14:paraId="203380AD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высокий риск, и откладывание инвазивного лечения значительно увеличивает риск неблагоприятных исходов, включая повторный инфаркт и смерть. Инвазивная стратегия должна быть реализована в рамках текущей госпитализации.</w:t>
            </w:r>
          </w:p>
          <w:p w14:paraId="72DC42B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41.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06F851F8" w14:textId="77777777" w:rsidR="007E45D4" w:rsidRDefault="007E45D4"/>
          <w:p w14:paraId="7F6D4CF7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Экстренное аортокоронарное шунтирование (АКШ).</w:t>
            </w:r>
          </w:p>
          <w:p w14:paraId="1F2E9093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9325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АКШ является методом реваскуляризации, но не является методом выбора в острой фазе ИМбпST. Показания к АКШ определяются по результатам коронарографии и обсуждаются кардиохирургом. Первичное ЧКВ — предпочтительный метод.</w:t>
            </w:r>
          </w:p>
          <w:p w14:paraId="586D2002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3.1.2, стр. 42.</w:t>
            </w:r>
            <w:hyperlink w:anchor="fn1">
              <w:r w:rsidR="007E45D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23FB" w14:paraId="032660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9D9B4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51933F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628AD551" w14:textId="77777777" w:rsidR="007E45D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Острый коронарный синдром без подъема сегмента ST электрокардиограммы.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725CE3FA" w14:textId="77777777" w:rsidR="007E45D4" w:rsidRDefault="007E45D4"/>
    <w:p w14:paraId="70A2D48C" w14:textId="77777777" w:rsidR="007E45D4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31C0F0D4" w14:textId="77777777" w:rsidR="007E45D4" w:rsidRDefault="009C05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C8D8A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E3B321" w14:textId="71E0F480" w:rsidR="007E45D4" w:rsidRPr="00D523FB" w:rsidRDefault="00000000">
      <w:pPr>
        <w:numPr>
          <w:ilvl w:val="0"/>
          <w:numId w:val="2"/>
        </w:numPr>
        <w:spacing w:after="210" w:line="360" w:lineRule="auto"/>
        <w:rPr>
          <w:lang w:val="pl-PL"/>
        </w:rPr>
      </w:pPr>
      <w:bookmarkStart w:id="0" w:name="fn1"/>
      <w:bookmarkStart w:id="1" w:name="fn2"/>
      <w:bookmarkEnd w:id="0"/>
      <w:bookmarkEnd w:id="1"/>
      <w:r w:rsidRPr="00D523FB">
        <w:rPr>
          <w:rFonts w:ascii="inter" w:eastAsia="inter" w:hAnsi="inter" w:cs="inter"/>
          <w:color w:val="000000"/>
          <w:sz w:val="18"/>
          <w:lang w:val="pl-PL"/>
        </w:rPr>
        <w:lastRenderedPageBreak/>
        <w:t xml:space="preserve">Infarkt-miokarda-bez-podema-segmenta-ST-2024-1.pdf                   </w:t>
      </w:r>
    </w:p>
    <w:p w14:paraId="275BE915" w14:textId="48F2B848" w:rsidR="007E45D4" w:rsidRPr="00D523FB" w:rsidRDefault="007E45D4" w:rsidP="00893252">
      <w:pPr>
        <w:spacing w:after="210" w:line="360" w:lineRule="auto"/>
        <w:ind w:left="180"/>
        <w:rPr>
          <w:lang w:val="pl-PL"/>
        </w:rPr>
      </w:pPr>
    </w:p>
    <w:sectPr w:rsidR="007E45D4" w:rsidRPr="00D523F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D4C"/>
    <w:multiLevelType w:val="hybridMultilevel"/>
    <w:tmpl w:val="9A02A61E"/>
    <w:lvl w:ilvl="0" w:tplc="79308E60">
      <w:numFmt w:val="decimal"/>
      <w:lvlText w:val=""/>
      <w:lvlJc w:val="left"/>
    </w:lvl>
    <w:lvl w:ilvl="1" w:tplc="8F9A8EC0">
      <w:numFmt w:val="decimal"/>
      <w:lvlText w:val=""/>
      <w:lvlJc w:val="left"/>
    </w:lvl>
    <w:lvl w:ilvl="2" w:tplc="E19CE26C">
      <w:numFmt w:val="decimal"/>
      <w:lvlText w:val=""/>
      <w:lvlJc w:val="left"/>
    </w:lvl>
    <w:lvl w:ilvl="3" w:tplc="0CB27720">
      <w:numFmt w:val="decimal"/>
      <w:lvlText w:val=""/>
      <w:lvlJc w:val="left"/>
    </w:lvl>
    <w:lvl w:ilvl="4" w:tplc="8488D1E0">
      <w:numFmt w:val="decimal"/>
      <w:lvlText w:val=""/>
      <w:lvlJc w:val="left"/>
    </w:lvl>
    <w:lvl w:ilvl="5" w:tplc="16D2C810">
      <w:numFmt w:val="decimal"/>
      <w:lvlText w:val=""/>
      <w:lvlJc w:val="left"/>
    </w:lvl>
    <w:lvl w:ilvl="6" w:tplc="803CDC96">
      <w:numFmt w:val="decimal"/>
      <w:lvlText w:val=""/>
      <w:lvlJc w:val="left"/>
    </w:lvl>
    <w:lvl w:ilvl="7" w:tplc="1C2627D6">
      <w:numFmt w:val="decimal"/>
      <w:lvlText w:val=""/>
      <w:lvlJc w:val="left"/>
    </w:lvl>
    <w:lvl w:ilvl="8" w:tplc="BCCA226A">
      <w:numFmt w:val="decimal"/>
      <w:lvlText w:val=""/>
      <w:lvlJc w:val="left"/>
    </w:lvl>
  </w:abstractNum>
  <w:abstractNum w:abstractNumId="1" w15:restartNumberingAfterBreak="0">
    <w:nsid w:val="18CF6D47"/>
    <w:multiLevelType w:val="hybridMultilevel"/>
    <w:tmpl w:val="1C5A0F8E"/>
    <w:lvl w:ilvl="0" w:tplc="2BEC60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701D7A">
      <w:numFmt w:val="decimal"/>
      <w:lvlText w:val=""/>
      <w:lvlJc w:val="left"/>
    </w:lvl>
    <w:lvl w:ilvl="2" w:tplc="3F82D64A">
      <w:numFmt w:val="decimal"/>
      <w:lvlText w:val=""/>
      <w:lvlJc w:val="left"/>
    </w:lvl>
    <w:lvl w:ilvl="3" w:tplc="8478632E">
      <w:numFmt w:val="decimal"/>
      <w:lvlText w:val=""/>
      <w:lvlJc w:val="left"/>
    </w:lvl>
    <w:lvl w:ilvl="4" w:tplc="684E14C6">
      <w:numFmt w:val="decimal"/>
      <w:lvlText w:val=""/>
      <w:lvlJc w:val="left"/>
    </w:lvl>
    <w:lvl w:ilvl="5" w:tplc="5B16BFA2">
      <w:numFmt w:val="decimal"/>
      <w:lvlText w:val=""/>
      <w:lvlJc w:val="left"/>
    </w:lvl>
    <w:lvl w:ilvl="6" w:tplc="2958948A">
      <w:numFmt w:val="decimal"/>
      <w:lvlText w:val=""/>
      <w:lvlJc w:val="left"/>
    </w:lvl>
    <w:lvl w:ilvl="7" w:tplc="0EA8A33C">
      <w:numFmt w:val="decimal"/>
      <w:lvlText w:val=""/>
      <w:lvlJc w:val="left"/>
    </w:lvl>
    <w:lvl w:ilvl="8" w:tplc="B7023848">
      <w:numFmt w:val="decimal"/>
      <w:lvlText w:val=""/>
      <w:lvlJc w:val="left"/>
    </w:lvl>
  </w:abstractNum>
  <w:num w:numId="1" w16cid:durableId="535044297">
    <w:abstractNumId w:val="0"/>
  </w:num>
  <w:num w:numId="2" w16cid:durableId="93790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5D4"/>
    <w:rsid w:val="00151D5C"/>
    <w:rsid w:val="00167D76"/>
    <w:rsid w:val="00472566"/>
    <w:rsid w:val="007E45D4"/>
    <w:rsid w:val="00893252"/>
    <w:rsid w:val="00985002"/>
    <w:rsid w:val="009C0566"/>
    <w:rsid w:val="00AF4D9A"/>
    <w:rsid w:val="00CA2D3E"/>
    <w:rsid w:val="00D5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6427D5B5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2025-08-13T20:26:00Z</dcterms:created>
  <dcterms:modified xsi:type="dcterms:W3CDTF">2026-01-14T11:31:00Z</dcterms:modified>
</cp:coreProperties>
</file>